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w w:val="90"/>
          <w:sz w:val="76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90"/>
          <w:sz w:val="76"/>
          <w:szCs w:val="48"/>
        </w:rPr>
        <w:t>儋州市住房和城乡建设局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eastAsia="黑体"/>
          <w:b/>
          <w:color w:val="FF0000"/>
          <w:sz w:val="44"/>
          <w:szCs w:val="44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45085</wp:posOffset>
                </wp:positionV>
                <wp:extent cx="5600700" cy="635"/>
                <wp:effectExtent l="0" t="28575" r="0" b="4699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pt;margin-top:3.55pt;height:0.05pt;width:441pt;z-index:251658240;mso-width-relative:page;mso-height-relative:page;" filled="f" stroked="t" coordsize="21600,21600" o:gfxdata="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o9PVdIAAAAGAQAADwAAAAAAAAABACAAAAAiAAAAZHJzL2Rvd25yZXYu&#10;eG1sUEsBAhQAFAAAAAgAh07iQITsLVLIAQAAnAMAAA4AAAAAAAAAAQAgAAAAIQEAAGRycy9lMm9E&#10;b2MueG1sUEsFBgAAAAAGAAYAWQEAAFsFAAAAAA==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>儋建罚决字</w:t>
      </w:r>
      <w:r>
        <w:rPr>
          <w:rFonts w:hint="eastAsia" w:ascii="仿宋_GB2312" w:eastAsia="仿宋_GB2312"/>
          <w:sz w:val="32"/>
          <w:szCs w:val="32"/>
          <w:lang w:eastAsia="zh-CN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行政处罚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决定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方正仿宋简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方正仿宋简体" w:eastAsia="仿宋_GB2312"/>
          <w:sz w:val="32"/>
          <w:szCs w:val="32"/>
        </w:rPr>
        <w:t>被处罚人：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中南宏茂（海南）建设工程有限公司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 w:firstLine="1600" w:firstLineChars="500"/>
        <w:jc w:val="left"/>
        <w:outlineLvl w:val="9"/>
        <w:rPr>
          <w:rFonts w:hint="eastAsia" w:ascii="仿宋_GB2312" w:hAnsi="方正仿宋简体" w:eastAsia="仿宋_GB2312"/>
          <w:sz w:val="32"/>
          <w:szCs w:val="32"/>
          <w:lang w:eastAsia="zh-CN"/>
        </w:rPr>
      </w:pPr>
      <w:r>
        <w:rPr>
          <w:rFonts w:hint="eastAsia" w:ascii="仿宋_GB2312" w:hAnsi="方正仿宋简体" w:eastAsia="仿宋_GB2312"/>
          <w:sz w:val="32"/>
          <w:szCs w:val="32"/>
          <w:lang w:eastAsia="zh-CN"/>
        </w:rPr>
        <w:t>郭喜勇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方正仿宋简体" w:eastAsia="仿宋_GB2312"/>
          <w:sz w:val="32"/>
          <w:szCs w:val="32"/>
        </w:rPr>
        <w:t>地址：</w:t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eastAsia="zh-CN" w:bidi="ar-SA"/>
        </w:rPr>
        <w:t>海南省海口市龙华区滨河路</w:t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 w:bidi="ar-SA"/>
        </w:rPr>
        <w:t>9号展兴龙华豪居C栋-C23D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方正仿宋简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中南宏茂（海南）建设工程有限公司、</w:t>
      </w:r>
      <w:r>
        <w:rPr>
          <w:rFonts w:hint="eastAsia" w:ascii="仿宋_GB2312" w:hAnsi="方正仿宋简体" w:eastAsia="仿宋_GB2312"/>
          <w:sz w:val="32"/>
          <w:szCs w:val="32"/>
          <w:lang w:eastAsia="zh-CN"/>
        </w:rPr>
        <w:t>郭喜勇</w:t>
      </w:r>
      <w:r>
        <w:rPr>
          <w:rFonts w:hint="eastAsia" w:ascii="仿宋_GB2312" w:hAnsi="方正仿宋简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方正仿宋简体" w:eastAsia="仿宋_GB2312"/>
          <w:sz w:val="32"/>
          <w:szCs w:val="32"/>
          <w:lang w:eastAsia="zh-CN"/>
        </w:rPr>
      </w:pPr>
      <w:r>
        <w:rPr>
          <w:rFonts w:hint="eastAsia" w:ascii="仿宋_GB2312" w:hAnsi="方正仿宋简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方正仿宋简体" w:eastAsia="仿宋_GB2312"/>
          <w:sz w:val="32"/>
          <w:szCs w:val="32"/>
          <w:lang w:eastAsia="zh-CN"/>
        </w:rPr>
        <w:t>经查实，你公司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在2021年5月6日已中标省级应急救援指挥中心附属楼修缮项目（二次招标），工期240日历天，项目经理为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林瑞慧（证书编号：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02349008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。2021年6月1日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你公司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在参与公共安全：儋州院区科研辅助用房修缮（一期）施工项目投标时，公共安全：儋州院区科研辅助用房修缮（一期）施工项目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招标文件中明确载明“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投标人拟派项目负责人（项目经理）须具备建筑工程专业贰级（含以上级）注册建造师执业资格，要求未担任其他在施建设工程项目的项目负责人（项目经理）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但你公司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参与投标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理为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林瑞慧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当时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省级应急救援指挥中心附属楼修缮项目（二次招标）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未竣工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因此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你公司在参与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公共安全：儋州院区科研辅助用房修缮（一期）施工项目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投标时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存在弄虚作假的行为。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方正仿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根据《招标投标法》第五十四条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招标投标法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实施条例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第六十七条的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规定，现决定对你公司存在弄虚作假的行为进行行政处罚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公共安全：儋州院区科研辅助用房修缮（一期）施工项目中标金额人民币肆佰肆拾肆万伍仟玖佰贰拾元伍角叁分（¥4445920.53）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对你公司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该项目中标金额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千分之十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罚款，罚款金额</w:t>
      </w:r>
      <w:r>
        <w:rPr>
          <w:rFonts w:hint="eastAsia" w:ascii="仿宋_GB2312" w:hAnsi="方正仿宋简体" w:eastAsia="仿宋_GB2312"/>
          <w:sz w:val="32"/>
          <w:szCs w:val="32"/>
          <w:u w:val="none"/>
          <w:lang w:val="en-US" w:eastAsia="zh-CN"/>
        </w:rPr>
        <w:t>肆万肆仟肆佰伍拾玖元贰角壹分（¥44459.21）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；对你单位直接负责的主管人员郭喜勇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单位罚款金额百分之十的罚款，罚款金额</w:t>
      </w:r>
      <w:r>
        <w:rPr>
          <w:rFonts w:hint="eastAsia" w:ascii="仿宋_GB2312" w:hAnsi="方正仿宋简体" w:eastAsia="仿宋_GB2312"/>
          <w:color w:val="auto"/>
          <w:sz w:val="32"/>
          <w:szCs w:val="32"/>
          <w:u w:val="none"/>
          <w:lang w:val="en-US" w:eastAsia="zh-CN"/>
        </w:rPr>
        <w:t>肆仟肆佰肆拾伍元玖角贰分（</w:t>
      </w:r>
      <w:r>
        <w:rPr>
          <w:rFonts w:hint="eastAsia" w:ascii="仿宋_GB2312" w:hAnsi="方正仿宋简体" w:eastAsia="仿宋_GB2312"/>
          <w:sz w:val="32"/>
          <w:szCs w:val="32"/>
          <w:u w:val="none"/>
          <w:lang w:val="en-US" w:eastAsia="zh-CN"/>
        </w:rPr>
        <w:t>¥4445.92</w:t>
      </w:r>
      <w:r>
        <w:rPr>
          <w:rFonts w:hint="eastAsia" w:ascii="仿宋_GB2312" w:hAnsi="方正仿宋简体" w:eastAsia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方正仿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仿宋简体" w:eastAsia="仿宋_GB2312"/>
          <w:sz w:val="32"/>
          <w:szCs w:val="32"/>
          <w:lang w:val="en-US" w:eastAsia="zh-CN"/>
        </w:rPr>
        <w:t>以上两项共处罚款金额肆万捌仟玖佰零伍元壹角叁分（¥48905.13）。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应当自收到本处罚决定书之日起15日内将罚款缴纳到以下银行账号：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儋州市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财政性资金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账号：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9558852201000049594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工行儋州城北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支行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逾期不缴纳罚款的，依据《行政处罚法》第五十一条第（一）项规定，每日按罚款数额的百分之三加处罚款。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如对本处罚决定不服，可以在收到本处罚决定书之日起60日内向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儋州市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人民政府或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海南省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住房和城乡建设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申请行政复议，也可以在6个月内向人民法院提起行政诉讼。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本机关地址：海南省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儋州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市直机关办公大楼六楼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7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联系电话：0898-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23327553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right="0" w:rightChars="0" w:firstLine="4480" w:firstLineChars="14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儋州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市住房和城乡建设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baseline"/>
        <w:outlineLvl w:val="9"/>
      </w:pPr>
      <w:r>
        <w:rPr>
          <w:rFonts w:hint="eastAsia" w:ascii="仿宋_GB2312" w:hAnsi="方正仿宋简体" w:eastAsia="仿宋_GB2312"/>
          <w:sz w:val="32"/>
          <w:szCs w:val="32"/>
        </w:rPr>
        <w:t>（此件</w:t>
      </w:r>
      <w:r>
        <w:rPr>
          <w:rFonts w:hint="eastAsia" w:ascii="仿宋_GB2312" w:hAnsi="方正仿宋简体" w:eastAsia="仿宋_GB2312"/>
          <w:sz w:val="32"/>
          <w:szCs w:val="32"/>
          <w:lang w:eastAsia="zh-CN"/>
        </w:rPr>
        <w:t>主动</w:t>
      </w:r>
      <w:r>
        <w:rPr>
          <w:rFonts w:hint="eastAsia" w:ascii="仿宋_GB2312" w:hAnsi="方正仿宋简体" w:eastAsia="仿宋_GB2312"/>
          <w:sz w:val="32"/>
          <w:szCs w:val="32"/>
        </w:rPr>
        <w:t>公开）</w:t>
      </w:r>
    </w:p>
    <w:sectPr>
      <w:pgSz w:w="11906" w:h="16838"/>
      <w:pgMar w:top="1814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46E1F"/>
    <w:rsid w:val="02C11689"/>
    <w:rsid w:val="093F7C13"/>
    <w:rsid w:val="0C915578"/>
    <w:rsid w:val="2E446E1F"/>
    <w:rsid w:val="32FB2376"/>
    <w:rsid w:val="351F1BCA"/>
    <w:rsid w:val="3B8721AE"/>
    <w:rsid w:val="3D5078A2"/>
    <w:rsid w:val="46815399"/>
    <w:rsid w:val="50CD4959"/>
    <w:rsid w:val="7552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2021-05-12T01:01:00Z</dcterms:created>
  <dc:creator>12</dc:creator>
  <cp:lastModifiedBy>12</cp:lastModifiedBy>
  <cp:lastPrinted>2021-11-02T07:53:00Z</cp:lastPrinted>
  <dcterms:modified xsi:type="dcterms:W3CDTF">2021-11-09T07:16:08Z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