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w w:val="90"/>
          <w:sz w:val="76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90"/>
          <w:sz w:val="76"/>
          <w:szCs w:val="48"/>
        </w:rPr>
        <w:t>儋州市住房和城乡建设局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黑体" w:eastAsia="黑体"/>
          <w:b/>
          <w:color w:val="FF0000"/>
          <w:sz w:val="44"/>
          <w:szCs w:val="44"/>
        </w:rPr>
      </w:pPr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45085</wp:posOffset>
                </wp:positionV>
                <wp:extent cx="5600700" cy="635"/>
                <wp:effectExtent l="0" t="28575" r="0" b="4699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1pt;margin-top:3.55pt;height:0.05pt;width:441pt;z-index:251658240;mso-width-relative:page;mso-height-relative:page;" filled="f" stroked="t" coordsize="21600,21600" o:gfxdata="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Ko9PVdIAAAAGAQAADwAAAAAAAAABACAAAAAiAAAAZHJzL2Rvd25yZXYu&#10;eG1sUEsBAhQAFAAAAAgAh07iQITsLVLIAQAAnAMAAA4AAAAAAAAAAQAgAAAAIQEAAGRycy9lMm9E&#10;b2MueG1sUEsFBgAAAAAGAAYAWQEAAFsFAAAAAA==&#10;">
                <v:fill on="f" focussize="0,0"/>
                <v:stroke weight="4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仿宋_GB2312" w:eastAsia="仿宋_GB2312"/>
          <w:sz w:val="32"/>
          <w:szCs w:val="32"/>
        </w:rPr>
        <w:t>儋建罚决字</w:t>
      </w:r>
      <w:r>
        <w:rPr>
          <w:rFonts w:hint="eastAsia" w:ascii="仿宋_GB2312" w:eastAsia="仿宋_GB2312"/>
          <w:sz w:val="32"/>
          <w:szCs w:val="32"/>
          <w:lang w:eastAsia="zh-CN"/>
        </w:rPr>
        <w:t>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  <w:lang w:eastAsia="zh-CN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96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行政处罚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决定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0" w:leftChars="0" w:right="0" w:rightChars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7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/>
        <w:jc w:val="left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方正仿宋简体" w:eastAsia="仿宋_GB2312"/>
          <w:sz w:val="32"/>
          <w:szCs w:val="32"/>
        </w:rPr>
        <w:t>被处罚人：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海南荣诚建筑工程有限公司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7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right="0" w:rightChars="0" w:firstLine="1600" w:firstLineChars="500"/>
        <w:jc w:val="left"/>
        <w:outlineLvl w:val="9"/>
        <w:rPr>
          <w:rFonts w:hint="eastAsia" w:ascii="仿宋_GB2312" w:hAnsi="方正仿宋简体" w:eastAsia="仿宋_GB2312"/>
          <w:sz w:val="32"/>
          <w:szCs w:val="32"/>
          <w:lang w:eastAsia="zh-CN"/>
        </w:rPr>
      </w:pPr>
      <w:r>
        <w:rPr>
          <w:rFonts w:hint="eastAsia" w:ascii="仿宋_GB2312" w:hAnsi="方正仿宋简体" w:eastAsia="仿宋_GB2312"/>
          <w:sz w:val="32"/>
          <w:szCs w:val="32"/>
          <w:lang w:eastAsia="zh-CN"/>
        </w:rPr>
        <w:t>王松源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7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/>
        <w:jc w:val="left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方正仿宋简体" w:eastAsia="仿宋_GB2312"/>
          <w:sz w:val="32"/>
          <w:szCs w:val="32"/>
        </w:rPr>
        <w:t>地址：</w:t>
      </w:r>
      <w:r>
        <w:rPr>
          <w:rFonts w:hint="eastAsia" w:ascii="仿宋_GB2312" w:hAnsi="宋体" w:eastAsia="仿宋_GB2312"/>
          <w:color w:val="000000"/>
          <w:sz w:val="32"/>
          <w:szCs w:val="32"/>
          <w:u w:val="none"/>
          <w:lang w:eastAsia="zh-CN" w:bidi="ar-SA"/>
        </w:rPr>
        <w:t>海南省海口市琼山区兴丹路</w:t>
      </w:r>
      <w:r>
        <w:rPr>
          <w:rFonts w:hint="eastAsia" w:ascii="仿宋_GB2312" w:hAnsi="宋体" w:eastAsia="仿宋_GB2312"/>
          <w:color w:val="000000"/>
          <w:sz w:val="32"/>
          <w:szCs w:val="32"/>
          <w:u w:val="none"/>
          <w:lang w:val="en-US" w:eastAsia="zh-CN" w:bidi="ar-SA"/>
        </w:rPr>
        <w:t>12号夏瑶花苑2栋1901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7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/>
        <w:jc w:val="left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7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outlineLvl w:val="9"/>
        <w:rPr>
          <w:rFonts w:hint="eastAsia" w:ascii="仿宋_GB2312" w:hAnsi="方正仿宋简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海南荣诚建筑工程有限公司、</w:t>
      </w:r>
      <w:r>
        <w:rPr>
          <w:rFonts w:hint="eastAsia" w:ascii="仿宋_GB2312" w:hAnsi="方正仿宋简体" w:eastAsia="仿宋_GB2312"/>
          <w:sz w:val="32"/>
          <w:szCs w:val="32"/>
          <w:lang w:eastAsia="zh-CN"/>
        </w:rPr>
        <w:t>王松源</w:t>
      </w:r>
      <w:r>
        <w:rPr>
          <w:rFonts w:hint="eastAsia" w:ascii="仿宋_GB2312" w:hAnsi="方正仿宋简体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7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方正仿宋简体" w:eastAsia="仿宋_GB2312"/>
          <w:sz w:val="32"/>
          <w:szCs w:val="32"/>
          <w:lang w:eastAsia="zh-CN"/>
        </w:rPr>
      </w:pPr>
      <w:r>
        <w:rPr>
          <w:rFonts w:hint="eastAsia" w:ascii="仿宋_GB2312" w:hAnsi="方正仿宋简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方正仿宋简体" w:eastAsia="仿宋_GB2312"/>
          <w:sz w:val="32"/>
          <w:szCs w:val="32"/>
          <w:lang w:eastAsia="zh-CN"/>
        </w:rPr>
        <w:t>经查实，你公司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在2021年4月9日已中标阜龙乡新村村委会新村路灯工程项目，工期60日历天，项目经理为陈路生（执业证书信息：琼246141606803）。2021年5月17日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你公司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参与海南省第二中级人民法院专用刑场建设项目投标，海南省第二中级人民法院专用刑场建设项目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招标文件中明确载明“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投标人拟派项目负责人（项目经理）须具备建筑工程专业贰级（含以上级）注册建造师执业资格，要求未担任其他在施建设工程项目的项目负责人（项目经理）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”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但你公司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参与投标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项目经理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陈路生，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当时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阜龙乡新村村委会新村路灯工程项目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未竣工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因此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你公司在参与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海南省第二中级人民法院专用刑场建设项目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投标时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存在弄虚作假的行为</w:t>
      </w:r>
      <w:r>
        <w:rPr>
          <w:rFonts w:hint="eastAsia" w:ascii="仿宋_GB2312" w:hAnsi="方正仿宋简体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7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方正仿宋简体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根据《招标投标法》第五十四条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eastAsia="zh-CN"/>
        </w:rPr>
        <w:t>、《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招标投标法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实施条例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第六十七条的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规定，现决定对你公司存在弄虚作假的行为进行行政处罚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海南省第二中级人民法院专用刑场建设项目中标金额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人民币肆佰贰拾陆万陆仟零捌拾柒元柒角贰分（¥4266087.72）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对你公司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该项目中标金额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千分之十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罚款，罚款金额</w:t>
      </w:r>
      <w:r>
        <w:rPr>
          <w:rFonts w:hint="eastAsia" w:ascii="仿宋_GB2312" w:hAnsi="方正仿宋简体" w:eastAsia="仿宋_GB2312"/>
          <w:sz w:val="32"/>
          <w:szCs w:val="32"/>
          <w:u w:val="none"/>
          <w:lang w:val="en-US" w:eastAsia="zh-CN"/>
        </w:rPr>
        <w:t>肆万贰仟陆佰陆拾元捌角捌分（¥42660.88）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；对你公司直接负责的主管人员王松源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单位罚款金额百分之十的罚款，罚款金额</w:t>
      </w:r>
      <w:r>
        <w:rPr>
          <w:rFonts w:hint="eastAsia" w:ascii="仿宋_GB2312" w:hAnsi="方正仿宋简体" w:eastAsia="仿宋_GB2312"/>
          <w:color w:val="auto"/>
          <w:sz w:val="32"/>
          <w:szCs w:val="32"/>
          <w:u w:val="none"/>
          <w:lang w:val="en-US" w:eastAsia="zh-CN"/>
        </w:rPr>
        <w:t>肆仟贰佰陆拾陆元零玖分（</w:t>
      </w:r>
      <w:r>
        <w:rPr>
          <w:rFonts w:hint="eastAsia" w:ascii="仿宋_GB2312" w:hAnsi="方正仿宋简体" w:eastAsia="仿宋_GB2312"/>
          <w:sz w:val="32"/>
          <w:szCs w:val="32"/>
          <w:u w:val="none"/>
          <w:lang w:val="en-US" w:eastAsia="zh-CN"/>
        </w:rPr>
        <w:t>¥4266.09</w:t>
      </w:r>
      <w:r>
        <w:rPr>
          <w:rFonts w:hint="eastAsia" w:ascii="仿宋_GB2312" w:hAnsi="方正仿宋简体" w:eastAsia="仿宋_GB2312"/>
          <w:color w:val="auto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7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方正仿宋简体" w:eastAsia="仿宋_GB2312"/>
          <w:sz w:val="32"/>
          <w:szCs w:val="32"/>
          <w:lang w:val="en-US" w:eastAsia="zh-CN"/>
        </w:rPr>
      </w:pPr>
      <w:r>
        <w:rPr>
          <w:rFonts w:hint="eastAsia" w:ascii="仿宋_GB2312" w:hAnsi="方正仿宋简体" w:eastAsia="仿宋_GB2312"/>
          <w:sz w:val="32"/>
          <w:szCs w:val="32"/>
          <w:lang w:val="en-US" w:eastAsia="zh-CN"/>
        </w:rPr>
        <w:t>以上两项共处罚款金额肆万陆仟玖佰贰拾陆元玖角柒分（¥46926.97）。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7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应当自收到本处罚决定书之日起15日内将罚款缴纳到以下银行账号：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7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名称：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儋州市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财政性资金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7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账号：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9558852201000049594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7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开户银行：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工行儋州城北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支行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7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逾期不缴纳罚款的，依据《行政处罚法》第五十一条第（一）项规定，每日按罚款数额的百分之三加处罚款。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7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如对本处罚决定不服，可以在收到本处罚决定书之日起60日内向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儋州市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人民政府或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海南省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住房和城乡建设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厅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申请行政复议，也可以在6个月内向人民法院提起行政诉讼。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7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本机关地址：海南省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儋州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市直机关办公大楼六楼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7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联系电话：0898-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23327553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right="0" w:rightChars="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right="0" w:rightChars="0" w:firstLine="4480" w:firstLineChars="140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儋州</w:t>
      </w:r>
      <w:r>
        <w:rPr>
          <w:rFonts w:hint="eastAsia" w:ascii="仿宋_GB2312" w:hAnsi="仿宋_GB2312" w:eastAsia="仿宋_GB2312" w:cs="仿宋_GB2312"/>
          <w:sz w:val="32"/>
          <w:szCs w:val="32"/>
        </w:rPr>
        <w:t>市住房和城乡建设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baseline"/>
        <w:outlineLvl w:val="9"/>
      </w:pPr>
      <w:r>
        <w:rPr>
          <w:rFonts w:hint="eastAsia" w:ascii="仿宋_GB2312" w:hAnsi="方正仿宋简体" w:eastAsia="仿宋_GB2312"/>
          <w:sz w:val="32"/>
          <w:szCs w:val="32"/>
        </w:rPr>
        <w:t>（此件</w:t>
      </w:r>
      <w:r>
        <w:rPr>
          <w:rFonts w:hint="eastAsia" w:ascii="仿宋_GB2312" w:hAnsi="方正仿宋简体" w:eastAsia="仿宋_GB2312"/>
          <w:sz w:val="32"/>
          <w:szCs w:val="32"/>
          <w:lang w:eastAsia="zh-CN"/>
        </w:rPr>
        <w:t>主动</w:t>
      </w:r>
      <w:r>
        <w:rPr>
          <w:rFonts w:hint="eastAsia" w:ascii="仿宋_GB2312" w:hAnsi="方正仿宋简体" w:eastAsia="仿宋_GB2312"/>
          <w:sz w:val="32"/>
          <w:szCs w:val="32"/>
        </w:rPr>
        <w:t>公开）</w:t>
      </w:r>
    </w:p>
    <w:sectPr>
      <w:pgSz w:w="11906" w:h="16838"/>
      <w:pgMar w:top="1814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46E1F"/>
    <w:rsid w:val="04CF0DE0"/>
    <w:rsid w:val="093F7C13"/>
    <w:rsid w:val="09E05367"/>
    <w:rsid w:val="147E5B28"/>
    <w:rsid w:val="14EB214C"/>
    <w:rsid w:val="1CE01130"/>
    <w:rsid w:val="2E446E1F"/>
    <w:rsid w:val="329826FE"/>
    <w:rsid w:val="32FB2376"/>
    <w:rsid w:val="3D5078A2"/>
    <w:rsid w:val="46815399"/>
    <w:rsid w:val="50CD4959"/>
    <w:rsid w:val="55C86907"/>
    <w:rsid w:val="697B0288"/>
    <w:rsid w:val="7552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那大镇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2021-05-12T01:01:00Z</dcterms:created>
  <dc:creator>12</dc:creator>
  <cp:lastModifiedBy>12</cp:lastModifiedBy>
  <cp:lastPrinted>2021-11-09T07:14:01Z</cp:lastPrinted>
  <dcterms:modified xsi:type="dcterms:W3CDTF">2021-11-09T07:14:38Z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