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469" w:beforeLines="150" w:line="240" w:lineRule="auto"/>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FF0000"/>
          <w:w w:val="90"/>
          <w:sz w:val="76"/>
          <w:szCs w:val="48"/>
        </w:rPr>
      </w:pPr>
      <w:r>
        <w:rPr>
          <w:rFonts w:hint="eastAsia" w:ascii="方正小标宋简体" w:hAnsi="方正小标宋简体" w:eastAsia="方正小标宋简体" w:cs="方正小标宋简体"/>
          <w:color w:val="FF0000"/>
          <w:w w:val="90"/>
          <w:sz w:val="76"/>
          <w:szCs w:val="48"/>
        </w:rPr>
        <w:t>儋州市住房和城乡建设局</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黑体" w:eastAsia="黑体"/>
          <w:b/>
          <w:color w:val="FF0000"/>
          <w:sz w:val="44"/>
          <w:szCs w:val="44"/>
        </w:rPr>
      </w:pPr>
      <w:r>
        <w:rPr>
          <w:color w:val="FF0000"/>
        </w:rPr>
        <mc:AlternateContent>
          <mc:Choice Requires="wps">
            <w:drawing>
              <wp:anchor distT="0" distB="0" distL="114300" distR="114300" simplePos="0" relativeHeight="251658240" behindDoc="0" locked="0" layoutInCell="1" allowOverlap="1">
                <wp:simplePos x="0" y="0"/>
                <wp:positionH relativeFrom="column">
                  <wp:posOffset>-12700</wp:posOffset>
                </wp:positionH>
                <wp:positionV relativeFrom="paragraph">
                  <wp:posOffset>45085</wp:posOffset>
                </wp:positionV>
                <wp:extent cx="5600700" cy="635"/>
                <wp:effectExtent l="0" t="28575" r="0" b="46990"/>
                <wp:wrapNone/>
                <wp:docPr id="2" name="Line 2"/>
                <wp:cNvGraphicFramePr/>
                <a:graphic xmlns:a="http://schemas.openxmlformats.org/drawingml/2006/main">
                  <a:graphicData uri="http://schemas.microsoft.com/office/word/2010/wordprocessingShape">
                    <wps:wsp>
                      <wps:cNvCnPr/>
                      <wps:spPr>
                        <a:xfrm>
                          <a:off x="0" y="0"/>
                          <a:ext cx="5600700" cy="635"/>
                        </a:xfrm>
                        <a:prstGeom prst="line">
                          <a:avLst/>
                        </a:prstGeom>
                        <a:ln w="57150" cap="flat" cmpd="sng">
                          <a:solidFill>
                            <a:srgbClr val="FF0000"/>
                          </a:solidFill>
                          <a:prstDash val="solid"/>
                          <a:headEnd type="none" w="med" len="med"/>
                          <a:tailEnd type="none" w="med" len="med"/>
                        </a:ln>
                        <a:effectLst/>
                      </wps:spPr>
                      <wps:bodyPr upright="1"/>
                    </wps:wsp>
                  </a:graphicData>
                </a:graphic>
              </wp:anchor>
            </w:drawing>
          </mc:Choice>
          <mc:Fallback>
            <w:pict>
              <v:line id="Line 2" o:spid="_x0000_s1026" o:spt="20" style="position:absolute;left:0pt;margin-left:-1pt;margin-top:3.55pt;height:0.05pt;width:441pt;z-index:251658240;mso-width-relative:page;mso-height-relative:page;" filled="f" stroked="t" coordsize="21600,21600" o:gfxdata="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Ko9PVdIAAAAGAQAADwAAAAAAAAABACAAAAAiAAAAZHJzL2Rvd25yZXYu&#10;eG1sUEsBAhQAFAAAAAgAh07iQITsLVLIAQAAnAMAAA4AAAAAAAAAAQAgAAAAIQEAAGRycy9lMm9E&#10;b2MueG1sUEsFBgAAAAAGAAYAWQEAAFsFAAAAAA==&#10;">
                <v:fill on="f" focussize="0,0"/>
                <v:stroke weight="4.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0" w:firstLineChars="0"/>
        <w:jc w:val="center"/>
        <w:textAlignment w:val="baseline"/>
        <w:outlineLvl w:val="9"/>
        <w:rPr>
          <w:rFonts w:hint="eastAsia" w:ascii="仿宋_GB2312" w:eastAsia="仿宋_GB2312"/>
          <w:sz w:val="32"/>
          <w:szCs w:val="32"/>
        </w:rPr>
      </w:pPr>
      <w:r>
        <w:rPr>
          <w:rFonts w:hint="eastAsia" w:ascii="仿宋_GB2312" w:eastAsia="仿宋_GB2312"/>
          <w:sz w:val="28"/>
          <w:szCs w:val="28"/>
          <w:lang w:val="en-US" w:eastAsia="zh-CN"/>
        </w:rPr>
        <w:t xml:space="preserve">                                     </w:t>
      </w:r>
      <w:r>
        <w:rPr>
          <w:rFonts w:hint="eastAsia" w:ascii="仿宋_GB2312" w:eastAsia="仿宋_GB2312"/>
          <w:sz w:val="32"/>
          <w:szCs w:val="32"/>
        </w:rPr>
        <w:t>儋建罚决字</w:t>
      </w:r>
      <w:r>
        <w:rPr>
          <w:rFonts w:hint="eastAsia" w:ascii="仿宋_GB2312" w:eastAsia="仿宋_GB2312"/>
          <w:sz w:val="32"/>
          <w:szCs w:val="32"/>
          <w:lang w:eastAsia="zh-CN"/>
        </w:rPr>
        <w:t>〔</w:t>
      </w:r>
      <w:r>
        <w:rPr>
          <w:rFonts w:hint="eastAsia" w:ascii="仿宋_GB2312" w:eastAsia="仿宋_GB2312"/>
          <w:sz w:val="32"/>
          <w:szCs w:val="32"/>
          <w:lang w:val="en-US" w:eastAsia="zh-CN"/>
        </w:rPr>
        <w:t>2021</w:t>
      </w:r>
      <w:r>
        <w:rPr>
          <w:rFonts w:hint="eastAsia" w:ascii="仿宋_GB2312" w:eastAsia="仿宋_GB2312"/>
          <w:sz w:val="32"/>
          <w:szCs w:val="32"/>
          <w:lang w:eastAsia="zh-CN"/>
        </w:rPr>
        <w:t>〕</w:t>
      </w:r>
      <w:r>
        <w:rPr>
          <w:rFonts w:hint="eastAsia" w:ascii="仿宋_GB2312" w:eastAsia="仿宋_GB2312"/>
          <w:sz w:val="32"/>
          <w:szCs w:val="32"/>
          <w:lang w:val="en-US" w:eastAsia="zh-CN"/>
        </w:rPr>
        <w:t>21</w:t>
      </w:r>
      <w:r>
        <w:rPr>
          <w:rFonts w:hint="eastAsia" w:ascii="仿宋_GB2312" w:eastAsia="仿宋_GB2312"/>
          <w:sz w:val="32"/>
          <w:szCs w:val="32"/>
        </w:rPr>
        <w:t>号</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baseline"/>
        <w:rPr>
          <w:rFonts w:hint="eastAsia" w:ascii="方正小标宋简体" w:hAnsi="方正小标宋简体" w:eastAsia="方正小标宋简体" w:cs="方正小标宋简体"/>
          <w:b w:val="0"/>
          <w:bCs w:val="0"/>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baseline"/>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行政处罚</w:t>
      </w:r>
      <w:r>
        <w:rPr>
          <w:rFonts w:hint="eastAsia" w:ascii="方正小标宋简体" w:hAnsi="方正小标宋简体" w:eastAsia="方正小标宋简体" w:cs="方正小标宋简体"/>
          <w:b w:val="0"/>
          <w:bCs w:val="0"/>
          <w:sz w:val="44"/>
          <w:szCs w:val="44"/>
          <w:lang w:eastAsia="zh-CN"/>
        </w:rPr>
        <w:t>决定</w:t>
      </w:r>
      <w:r>
        <w:rPr>
          <w:rFonts w:hint="eastAsia" w:ascii="方正小标宋简体" w:hAnsi="方正小标宋简体" w:eastAsia="方正小标宋简体" w:cs="方正小标宋简体"/>
          <w:b w:val="0"/>
          <w:bCs w:val="0"/>
          <w:sz w:val="44"/>
          <w:szCs w:val="44"/>
        </w:rPr>
        <w:t>书</w:t>
      </w:r>
    </w:p>
    <w:p>
      <w:pPr>
        <w:keepNext w:val="0"/>
        <w:keepLines w:val="0"/>
        <w:pageBreakBefore w:val="0"/>
        <w:widowControl w:val="0"/>
        <w:kinsoku/>
        <w:wordWrap/>
        <w:overflowPunct/>
        <w:topLinePunct w:val="0"/>
        <w:autoSpaceDE/>
        <w:bidi w:val="0"/>
        <w:adjustRightInd/>
        <w:snapToGrid/>
        <w:spacing w:line="560" w:lineRule="exact"/>
        <w:ind w:left="0" w:leftChars="0" w:right="0" w:rightChars="0"/>
        <w:jc w:val="center"/>
        <w:textAlignment w:val="baseline"/>
        <w:rPr>
          <w:rFonts w:hint="eastAsia" w:ascii="仿宋_GB2312" w:hAnsi="仿宋_GB2312" w:eastAsia="仿宋_GB2312" w:cs="仿宋_GB2312"/>
          <w:color w:val="auto"/>
          <w:sz w:val="32"/>
          <w:szCs w:val="32"/>
        </w:rPr>
      </w:pP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jc w:val="left"/>
        <w:outlineLvl w:val="9"/>
        <w:rPr>
          <w:rFonts w:hint="eastAsia" w:ascii="仿宋_GB2312" w:hAnsi="仿宋_GB2312" w:eastAsia="仿宋_GB2312" w:cs="仿宋_GB2312"/>
          <w:color w:val="000000"/>
          <w:sz w:val="32"/>
          <w:szCs w:val="32"/>
          <w:u w:val="none"/>
          <w:lang w:val="en-US" w:eastAsia="zh-CN"/>
        </w:rPr>
      </w:pPr>
      <w:bookmarkStart w:id="0" w:name="_GoBack"/>
      <w:bookmarkEnd w:id="0"/>
      <w:r>
        <w:rPr>
          <w:rFonts w:hint="eastAsia" w:ascii="仿宋_GB2312" w:hAnsi="方正仿宋简体" w:eastAsia="仿宋_GB2312"/>
          <w:sz w:val="32"/>
          <w:szCs w:val="32"/>
        </w:rPr>
        <w:t>被处罚人：</w:t>
      </w:r>
      <w:r>
        <w:rPr>
          <w:rFonts w:hint="eastAsia" w:ascii="仿宋_GB2312" w:hAnsi="仿宋_GB2312" w:eastAsia="仿宋_GB2312" w:cs="仿宋_GB2312"/>
          <w:color w:val="000000"/>
          <w:sz w:val="32"/>
          <w:szCs w:val="32"/>
          <w:u w:val="none"/>
          <w:lang w:val="en-US" w:eastAsia="zh-CN"/>
        </w:rPr>
        <w:t>海南泓信工程咨询有限公司</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jc w:val="left"/>
        <w:outlineLvl w:val="9"/>
        <w:rPr>
          <w:rFonts w:hint="eastAsia" w:ascii="仿宋_GB2312" w:hAnsi="方正仿宋简体" w:eastAsia="仿宋_GB2312"/>
          <w:sz w:val="32"/>
          <w:szCs w:val="32"/>
          <w:lang w:eastAsia="zh-CN"/>
        </w:rPr>
      </w:pPr>
      <w:r>
        <w:rPr>
          <w:rFonts w:hint="eastAsia" w:ascii="仿宋_GB2312" w:hAnsi="方正仿宋简体" w:eastAsia="仿宋_GB2312"/>
          <w:sz w:val="32"/>
          <w:szCs w:val="32"/>
        </w:rPr>
        <w:t>法定代表人：</w:t>
      </w:r>
      <w:r>
        <w:rPr>
          <w:rFonts w:hint="eastAsia" w:ascii="仿宋_GB2312" w:hAnsi="方正仿宋简体" w:eastAsia="仿宋_GB2312"/>
          <w:sz w:val="32"/>
          <w:szCs w:val="32"/>
          <w:lang w:eastAsia="zh-CN"/>
        </w:rPr>
        <w:t>邱志国</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jc w:val="left"/>
        <w:outlineLvl w:val="9"/>
        <w:rPr>
          <w:rFonts w:hint="eastAsia" w:ascii="仿宋_GB2312" w:hAnsi="仿宋_GB2312" w:eastAsia="仿宋_GB2312" w:cs="仿宋_GB2312"/>
          <w:sz w:val="32"/>
          <w:szCs w:val="32"/>
          <w:lang w:eastAsia="zh-CN"/>
        </w:rPr>
      </w:pPr>
      <w:r>
        <w:rPr>
          <w:rFonts w:hint="eastAsia" w:ascii="仿宋_GB2312" w:hAnsi="方正仿宋简体" w:eastAsia="仿宋_GB2312"/>
          <w:sz w:val="32"/>
          <w:szCs w:val="32"/>
        </w:rPr>
        <w:t>地址：</w:t>
      </w:r>
      <w:r>
        <w:rPr>
          <w:rFonts w:hint="eastAsia" w:ascii="仿宋_GB2312" w:hAnsi="宋体" w:eastAsia="仿宋_GB2312"/>
          <w:color w:val="000000"/>
          <w:sz w:val="32"/>
          <w:szCs w:val="32"/>
          <w:u w:val="none"/>
          <w:lang w:eastAsia="zh-CN" w:bidi="ar-SA"/>
        </w:rPr>
        <w:t>三亚市红沙胜利街北路安置区</w:t>
      </w:r>
      <w:r>
        <w:rPr>
          <w:rFonts w:hint="eastAsia" w:ascii="仿宋_GB2312" w:hAnsi="宋体" w:eastAsia="仿宋_GB2312"/>
          <w:color w:val="000000"/>
          <w:sz w:val="32"/>
          <w:szCs w:val="32"/>
          <w:u w:val="none"/>
          <w:lang w:val="en-US" w:eastAsia="zh-CN" w:bidi="ar-SA"/>
        </w:rPr>
        <w:t>A区26号二楼</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jc w:val="left"/>
        <w:outlineLvl w:val="9"/>
        <w:rPr>
          <w:rFonts w:hint="eastAsia" w:ascii="仿宋_GB2312" w:hAnsi="仿宋_GB2312" w:eastAsia="仿宋_GB2312" w:cs="仿宋_GB2312"/>
          <w:sz w:val="32"/>
          <w:szCs w:val="32"/>
          <w:lang w:val="en-US" w:eastAsia="zh-CN"/>
        </w:rPr>
      </w:pP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0" w:firstLineChars="0"/>
        <w:jc w:val="left"/>
        <w:outlineLvl w:val="9"/>
        <w:rPr>
          <w:rFonts w:hint="eastAsia" w:ascii="仿宋_GB2312" w:hAnsi="方正仿宋简体" w:eastAsia="仿宋_GB2312"/>
          <w:sz w:val="32"/>
          <w:szCs w:val="32"/>
        </w:rPr>
      </w:pPr>
      <w:r>
        <w:rPr>
          <w:rFonts w:hint="eastAsia" w:ascii="仿宋_GB2312" w:hAnsi="仿宋_GB2312" w:eastAsia="仿宋_GB2312" w:cs="仿宋_GB2312"/>
          <w:color w:val="000000"/>
          <w:sz w:val="32"/>
          <w:szCs w:val="32"/>
          <w:u w:val="none"/>
          <w:lang w:val="en-US" w:eastAsia="zh-CN"/>
        </w:rPr>
        <w:t>海南泓信工程咨询有限公司</w:t>
      </w:r>
      <w:r>
        <w:rPr>
          <w:rFonts w:hint="eastAsia" w:ascii="仿宋_GB2312" w:hAnsi="方正仿宋简体" w:eastAsia="仿宋_GB2312"/>
          <w:sz w:val="32"/>
          <w:szCs w:val="32"/>
        </w:rPr>
        <w:t>：</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0" w:firstLineChars="0"/>
        <w:jc w:val="both"/>
        <w:textAlignment w:val="auto"/>
        <w:outlineLvl w:val="9"/>
        <w:rPr>
          <w:rFonts w:hint="eastAsia" w:ascii="仿宋_GB2312" w:hAnsi="方正仿宋简体" w:eastAsia="仿宋_GB2312"/>
          <w:sz w:val="32"/>
          <w:szCs w:val="32"/>
          <w:lang w:eastAsia="zh-CN"/>
        </w:rPr>
      </w:pPr>
      <w:r>
        <w:rPr>
          <w:rFonts w:hint="eastAsia" w:ascii="仿宋_GB2312" w:hAnsi="方正仿宋简体" w:eastAsia="仿宋_GB2312"/>
          <w:sz w:val="32"/>
          <w:szCs w:val="32"/>
          <w:lang w:val="en-US" w:eastAsia="zh-CN"/>
        </w:rPr>
        <w:t xml:space="preserve">    </w:t>
      </w:r>
      <w:r>
        <w:rPr>
          <w:rFonts w:hint="eastAsia" w:ascii="仿宋_GB2312" w:hAnsi="方正仿宋简体" w:eastAsia="仿宋_GB2312"/>
          <w:sz w:val="32"/>
          <w:szCs w:val="32"/>
          <w:lang w:eastAsia="zh-CN"/>
        </w:rPr>
        <w:t>经查实，你公司在“</w:t>
      </w:r>
      <w:r>
        <w:rPr>
          <w:rFonts w:hint="eastAsia" w:ascii="仿宋_GB2312" w:hAnsi="仿宋_GB2312" w:eastAsia="仿宋_GB2312" w:cs="仿宋_GB2312"/>
          <w:color w:val="000000"/>
          <w:sz w:val="32"/>
          <w:szCs w:val="32"/>
          <w:u w:val="none"/>
          <w:lang w:eastAsia="zh-CN"/>
        </w:rPr>
        <w:t>30万头生猪全产业链项目东田、新伟种猪场附属用房及相关配套工程</w:t>
      </w:r>
      <w:r>
        <w:rPr>
          <w:rFonts w:hint="eastAsia" w:ascii="仿宋_GB2312" w:hAnsi="方正仿宋简体" w:eastAsia="仿宋_GB2312"/>
          <w:sz w:val="32"/>
          <w:szCs w:val="32"/>
          <w:lang w:eastAsia="zh-CN"/>
        </w:rPr>
        <w:t>”项目中，</w:t>
      </w:r>
      <w:r>
        <w:rPr>
          <w:rFonts w:hint="eastAsia" w:ascii="仿宋_GB2312" w:hAnsi="仿宋_GB2312" w:eastAsia="仿宋_GB2312" w:cs="仿宋_GB2312"/>
          <w:color w:val="000000"/>
          <w:sz w:val="32"/>
          <w:szCs w:val="32"/>
          <w:u w:val="none"/>
          <w:lang w:val="en-US" w:eastAsia="zh-CN"/>
        </w:rPr>
        <w:t>同时接受招标人</w:t>
      </w:r>
      <w:r>
        <w:rPr>
          <w:rFonts w:hint="eastAsia" w:ascii="仿宋_GB2312" w:hAnsi="仿宋_GB2312" w:eastAsia="仿宋_GB2312" w:cs="仿宋_GB2312"/>
          <w:color w:val="000000"/>
          <w:sz w:val="32"/>
          <w:szCs w:val="32"/>
          <w:u w:val="none"/>
          <w:lang w:eastAsia="zh-CN"/>
        </w:rPr>
        <w:t>海南农垦草畜猪业有限公司</w:t>
      </w:r>
      <w:r>
        <w:rPr>
          <w:rFonts w:hint="eastAsia" w:ascii="仿宋_GB2312" w:hAnsi="宋体" w:eastAsia="仿宋_GB2312"/>
          <w:sz w:val="32"/>
          <w:szCs w:val="32"/>
          <w:u w:val="none"/>
          <w:lang w:eastAsia="zh-CN" w:bidi="ar-SA"/>
        </w:rPr>
        <w:t>编制招标控制价及工程量清单业务</w:t>
      </w:r>
      <w:r>
        <w:rPr>
          <w:rFonts w:hint="eastAsia" w:ascii="仿宋_GB2312" w:hAnsi="仿宋_GB2312" w:eastAsia="仿宋_GB2312" w:cs="仿宋_GB2312"/>
          <w:color w:val="000000"/>
          <w:sz w:val="32"/>
          <w:szCs w:val="32"/>
          <w:u w:val="none"/>
          <w:lang w:val="en-US" w:eastAsia="zh-CN"/>
        </w:rPr>
        <w:t>和投标人</w:t>
      </w:r>
      <w:r>
        <w:rPr>
          <w:rFonts w:hint="eastAsia" w:ascii="仿宋_GB2312" w:hAnsi="宋体" w:eastAsia="仿宋_GB2312"/>
          <w:color w:val="000000"/>
          <w:sz w:val="32"/>
          <w:szCs w:val="32"/>
          <w:u w:val="none"/>
          <w:lang w:eastAsia="zh-CN"/>
        </w:rPr>
        <w:t>海南隆昌建筑工程有限公司</w:t>
      </w:r>
      <w:r>
        <w:rPr>
          <w:rFonts w:hint="eastAsia" w:ascii="仿宋_GB2312" w:hAnsi="宋体" w:eastAsia="仿宋_GB2312"/>
          <w:sz w:val="32"/>
          <w:szCs w:val="32"/>
          <w:u w:val="none"/>
          <w:lang w:eastAsia="zh-CN" w:bidi="ar-SA"/>
        </w:rPr>
        <w:t>编制投标工程量清单业务，</w:t>
      </w:r>
      <w:r>
        <w:rPr>
          <w:rFonts w:hint="eastAsia" w:ascii="仿宋_GB2312" w:hAnsi="方正仿宋简体" w:eastAsia="仿宋_GB2312"/>
          <w:sz w:val="32"/>
          <w:szCs w:val="32"/>
          <w:lang w:val="en-US" w:eastAsia="zh-CN"/>
        </w:rPr>
        <w:t>违反了《工程造价咨询企业管理办法》（2020修订版）第二十五条第三款规定。</w:t>
      </w:r>
    </w:p>
    <w:p>
      <w:pPr>
        <w:keepNext w:val="0"/>
        <w:keepLines w:val="0"/>
        <w:pageBreakBefore w:val="0"/>
        <w:widowControl w:val="0"/>
        <w:numPr>
          <w:ilvl w:val="0"/>
          <w:numId w:val="0"/>
        </w:numPr>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right="0" w:rightChars="0" w:firstLine="640" w:firstLineChars="200"/>
        <w:jc w:val="both"/>
        <w:textAlignment w:val="auto"/>
        <w:outlineLvl w:val="9"/>
        <w:rPr>
          <w:rFonts w:hint="eastAsia" w:ascii="仿宋_GB2312" w:hAnsi="方正仿宋简体" w:eastAsia="仿宋_GB2312"/>
          <w:sz w:val="32"/>
          <w:szCs w:val="32"/>
          <w:lang w:val="en-US" w:eastAsia="zh-CN"/>
        </w:rPr>
      </w:pPr>
      <w:r>
        <w:rPr>
          <w:rFonts w:hint="eastAsia" w:ascii="仿宋_GB2312" w:hAnsi="方正仿宋简体" w:eastAsia="仿宋_GB2312"/>
          <w:sz w:val="32"/>
          <w:szCs w:val="32"/>
          <w:lang w:val="en-US" w:eastAsia="zh-CN"/>
        </w:rPr>
        <w:t>依据《工程造价咨询企业管理办法》（2020修订版）第三十九条规定，对你公司</w:t>
      </w:r>
      <w:r>
        <w:rPr>
          <w:rFonts w:hint="eastAsia" w:ascii="仿宋_GB2312" w:hAnsi="仿宋_GB2312" w:eastAsia="仿宋_GB2312" w:cs="仿宋_GB2312"/>
          <w:color w:val="000000"/>
          <w:sz w:val="32"/>
          <w:szCs w:val="32"/>
        </w:rPr>
        <w:t>同时接受招标人和投标人或两个以上投标人对同一工程项目的工程造价咨询业务</w:t>
      </w:r>
      <w:r>
        <w:rPr>
          <w:rFonts w:hint="eastAsia" w:ascii="仿宋_GB2312" w:hAnsi="方正仿宋简体" w:eastAsia="仿宋_GB2312"/>
          <w:sz w:val="32"/>
          <w:szCs w:val="32"/>
          <w:lang w:val="en-US" w:eastAsia="zh-CN"/>
        </w:rPr>
        <w:t>行为，处人民币一万元整（¥10000.00）罚款。</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你</w:t>
      </w:r>
      <w:r>
        <w:rPr>
          <w:rFonts w:hint="eastAsia" w:ascii="仿宋_GB2312" w:hAnsi="仿宋_GB2312" w:eastAsia="仿宋_GB2312" w:cs="仿宋_GB2312"/>
          <w:sz w:val="32"/>
          <w:szCs w:val="32"/>
          <w:shd w:val="clear" w:color="auto" w:fill="FFFFFF"/>
          <w:lang w:eastAsia="zh-CN"/>
        </w:rPr>
        <w:t>单位</w:t>
      </w:r>
      <w:r>
        <w:rPr>
          <w:rFonts w:hint="eastAsia" w:ascii="仿宋_GB2312" w:hAnsi="仿宋_GB2312" w:eastAsia="仿宋_GB2312" w:cs="仿宋_GB2312"/>
          <w:sz w:val="32"/>
          <w:szCs w:val="32"/>
          <w:shd w:val="clear" w:color="auto" w:fill="FFFFFF"/>
        </w:rPr>
        <w:t>应当自收到本处罚决定书之日起15日内将罚款缴纳到以下银行账号：</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名称：</w:t>
      </w:r>
      <w:r>
        <w:rPr>
          <w:rFonts w:hint="eastAsia" w:ascii="仿宋_GB2312" w:hAnsi="仿宋_GB2312" w:eastAsia="仿宋_GB2312" w:cs="仿宋_GB2312"/>
          <w:sz w:val="32"/>
          <w:szCs w:val="32"/>
          <w:shd w:val="clear" w:color="auto" w:fill="FFFFFF"/>
          <w:lang w:eastAsia="zh-CN"/>
        </w:rPr>
        <w:t>儋州市</w:t>
      </w:r>
      <w:r>
        <w:rPr>
          <w:rFonts w:hint="eastAsia" w:ascii="仿宋_GB2312" w:hAnsi="仿宋_GB2312" w:eastAsia="仿宋_GB2312" w:cs="仿宋_GB2312"/>
          <w:sz w:val="32"/>
          <w:szCs w:val="32"/>
          <w:shd w:val="clear" w:color="auto" w:fill="FFFFFF"/>
        </w:rPr>
        <w:t>财政</w:t>
      </w:r>
      <w:r>
        <w:rPr>
          <w:rFonts w:hint="eastAsia" w:ascii="仿宋_GB2312" w:hAnsi="仿宋_GB2312" w:eastAsia="仿宋_GB2312" w:cs="仿宋_GB2312"/>
          <w:sz w:val="32"/>
          <w:szCs w:val="32"/>
          <w:shd w:val="clear" w:color="auto" w:fill="FFFFFF"/>
          <w:lang w:eastAsia="zh-CN"/>
        </w:rPr>
        <w:t>局</w:t>
      </w:r>
      <w:r>
        <w:rPr>
          <w:rFonts w:hint="eastAsia" w:ascii="仿宋_GB2312" w:hAnsi="仿宋_GB2312" w:eastAsia="仿宋_GB2312" w:cs="仿宋_GB2312"/>
          <w:sz w:val="32"/>
          <w:szCs w:val="32"/>
          <w:shd w:val="clear" w:color="auto" w:fill="FFFFFF"/>
        </w:rPr>
        <w:t>财政性资金</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shd w:val="clear" w:color="auto" w:fill="FFFFFF"/>
          <w:lang w:val="en-US" w:eastAsia="zh-CN"/>
        </w:rPr>
      </w:pPr>
      <w:r>
        <w:rPr>
          <w:rFonts w:hint="eastAsia" w:ascii="仿宋_GB2312" w:hAnsi="仿宋_GB2312" w:eastAsia="仿宋_GB2312" w:cs="仿宋_GB2312"/>
          <w:sz w:val="32"/>
          <w:szCs w:val="32"/>
          <w:shd w:val="clear" w:color="auto" w:fill="FFFFFF"/>
        </w:rPr>
        <w:t>账号：</w:t>
      </w:r>
      <w:r>
        <w:rPr>
          <w:rFonts w:hint="eastAsia" w:ascii="仿宋_GB2312" w:hAnsi="仿宋_GB2312" w:eastAsia="仿宋_GB2312" w:cs="仿宋_GB2312"/>
          <w:sz w:val="32"/>
          <w:szCs w:val="32"/>
          <w:shd w:val="clear" w:color="auto" w:fill="FFFFFF"/>
          <w:lang w:val="en-US" w:eastAsia="zh-CN"/>
        </w:rPr>
        <w:t>9558852201000049594</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开户银行：</w:t>
      </w:r>
      <w:r>
        <w:rPr>
          <w:rFonts w:hint="eastAsia" w:ascii="仿宋_GB2312" w:hAnsi="仿宋_GB2312" w:eastAsia="仿宋_GB2312" w:cs="仿宋_GB2312"/>
          <w:sz w:val="32"/>
          <w:szCs w:val="32"/>
          <w:shd w:val="clear" w:color="auto" w:fill="FFFFFF"/>
          <w:lang w:eastAsia="zh-CN"/>
        </w:rPr>
        <w:t>工行儋州城北</w:t>
      </w:r>
      <w:r>
        <w:rPr>
          <w:rFonts w:hint="eastAsia" w:ascii="仿宋_GB2312" w:hAnsi="仿宋_GB2312" w:eastAsia="仿宋_GB2312" w:cs="仿宋_GB2312"/>
          <w:sz w:val="32"/>
          <w:szCs w:val="32"/>
          <w:shd w:val="clear" w:color="auto" w:fill="FFFFFF"/>
        </w:rPr>
        <w:t>支行</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逾期不缴纳罚款的，依据《行政处罚法》第五十一条第（一）项规定，每日按罚款数额的百分之三加处罚款。</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如对本处罚决定不服，可以在收到本处罚决定书之日起60日内向</w:t>
      </w:r>
      <w:r>
        <w:rPr>
          <w:rFonts w:hint="eastAsia" w:ascii="仿宋_GB2312" w:hAnsi="仿宋_GB2312" w:eastAsia="仿宋_GB2312" w:cs="仿宋_GB2312"/>
          <w:sz w:val="32"/>
          <w:szCs w:val="32"/>
          <w:shd w:val="clear" w:color="auto" w:fill="FFFFFF"/>
          <w:lang w:eastAsia="zh-CN"/>
        </w:rPr>
        <w:t>儋州市</w:t>
      </w:r>
      <w:r>
        <w:rPr>
          <w:rFonts w:hint="eastAsia" w:ascii="仿宋_GB2312" w:hAnsi="仿宋_GB2312" w:eastAsia="仿宋_GB2312" w:cs="仿宋_GB2312"/>
          <w:sz w:val="32"/>
          <w:szCs w:val="32"/>
          <w:shd w:val="clear" w:color="auto" w:fill="FFFFFF"/>
        </w:rPr>
        <w:t>人民政府或</w:t>
      </w:r>
      <w:r>
        <w:rPr>
          <w:rFonts w:hint="eastAsia" w:ascii="仿宋_GB2312" w:hAnsi="仿宋_GB2312" w:eastAsia="仿宋_GB2312" w:cs="仿宋_GB2312"/>
          <w:sz w:val="32"/>
          <w:szCs w:val="32"/>
          <w:shd w:val="clear" w:color="auto" w:fill="FFFFFF"/>
          <w:lang w:eastAsia="zh-CN"/>
        </w:rPr>
        <w:t>海南省</w:t>
      </w:r>
      <w:r>
        <w:rPr>
          <w:rFonts w:hint="eastAsia" w:ascii="仿宋_GB2312" w:hAnsi="仿宋_GB2312" w:eastAsia="仿宋_GB2312" w:cs="仿宋_GB2312"/>
          <w:sz w:val="32"/>
          <w:szCs w:val="32"/>
          <w:shd w:val="clear" w:color="auto" w:fill="FFFFFF"/>
        </w:rPr>
        <w:t>住房和城乡建设</w:t>
      </w:r>
      <w:r>
        <w:rPr>
          <w:rFonts w:hint="eastAsia" w:ascii="仿宋_GB2312" w:hAnsi="仿宋_GB2312" w:eastAsia="仿宋_GB2312" w:cs="仿宋_GB2312"/>
          <w:sz w:val="32"/>
          <w:szCs w:val="32"/>
          <w:shd w:val="clear" w:color="auto" w:fill="FFFFFF"/>
          <w:lang w:eastAsia="zh-CN"/>
        </w:rPr>
        <w:t>厅</w:t>
      </w:r>
      <w:r>
        <w:rPr>
          <w:rFonts w:hint="eastAsia" w:ascii="仿宋_GB2312" w:hAnsi="仿宋_GB2312" w:eastAsia="仿宋_GB2312" w:cs="仿宋_GB2312"/>
          <w:sz w:val="32"/>
          <w:szCs w:val="32"/>
          <w:shd w:val="clear" w:color="auto" w:fill="FFFFFF"/>
        </w:rPr>
        <w:t>申请行政复议，也可以在6个月内向人民法院提起行政诉讼。</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本机关地址：海南省</w:t>
      </w:r>
      <w:r>
        <w:rPr>
          <w:rFonts w:hint="eastAsia" w:ascii="仿宋_GB2312" w:hAnsi="仿宋_GB2312" w:eastAsia="仿宋_GB2312" w:cs="仿宋_GB2312"/>
          <w:sz w:val="32"/>
          <w:szCs w:val="32"/>
          <w:lang w:eastAsia="zh-CN"/>
        </w:rPr>
        <w:t>儋州</w:t>
      </w:r>
      <w:r>
        <w:rPr>
          <w:rFonts w:hint="eastAsia" w:ascii="仿宋_GB2312" w:hAnsi="仿宋_GB2312" w:eastAsia="仿宋_GB2312" w:cs="仿宋_GB2312"/>
          <w:sz w:val="32"/>
          <w:szCs w:val="32"/>
        </w:rPr>
        <w:t>市</w:t>
      </w:r>
      <w:r>
        <w:rPr>
          <w:rFonts w:hint="eastAsia" w:ascii="仿宋_GB2312" w:hAnsi="仿宋_GB2312" w:eastAsia="仿宋_GB2312" w:cs="仿宋_GB2312"/>
          <w:sz w:val="32"/>
          <w:szCs w:val="32"/>
          <w:lang w:eastAsia="zh-CN"/>
        </w:rPr>
        <w:t>市直机关办公大楼六楼</w:t>
      </w:r>
    </w:p>
    <w:p>
      <w:pPr>
        <w:keepNext w:val="0"/>
        <w:keepLines w:val="0"/>
        <w:pageBreakBefore w:val="0"/>
        <w:widowControl w:val="0"/>
        <w:pBdr>
          <w:top w:val="none" w:color="000000" w:sz="0" w:space="0"/>
          <w:left w:val="none" w:color="000000" w:sz="0" w:space="0"/>
          <w:bottom w:val="none" w:color="000000" w:sz="0" w:space="7"/>
          <w:right w:val="none" w:color="000000" w:sz="0" w:space="0"/>
        </w:pBdr>
        <w:shd w:val="solid" w:color="FFFFFF" w:fill="auto"/>
        <w:kinsoku/>
        <w:wordWrap/>
        <w:overflowPunct/>
        <w:topLinePunct w:val="0"/>
        <w:autoSpaceDE/>
        <w:autoSpaceDN w:val="0"/>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联系电话：0898-</w:t>
      </w:r>
      <w:r>
        <w:rPr>
          <w:rFonts w:hint="eastAsia" w:ascii="仿宋_GB2312" w:hAnsi="仿宋_GB2312" w:eastAsia="仿宋_GB2312" w:cs="仿宋_GB2312"/>
          <w:sz w:val="32"/>
          <w:szCs w:val="32"/>
          <w:lang w:val="en-US" w:eastAsia="zh-CN"/>
        </w:rPr>
        <w:t>23327553</w:t>
      </w:r>
    </w:p>
    <w:p>
      <w:pPr>
        <w:keepNext w:val="0"/>
        <w:keepLines w:val="0"/>
        <w:pageBreakBefore w:val="0"/>
        <w:widowControl w:val="0"/>
        <w:kinsoku/>
        <w:wordWrap/>
        <w:overflowPunct/>
        <w:topLinePunct w:val="0"/>
        <w:autoSpaceDE/>
        <w:bidi w:val="0"/>
        <w:adjustRightInd/>
        <w:snapToGrid/>
        <w:spacing w:line="560" w:lineRule="exact"/>
        <w:ind w:left="0" w:leftChars="0" w:right="0" w:rightChars="0" w:firstLine="640" w:firstLineChars="200"/>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bidi w:val="0"/>
        <w:adjustRightInd/>
        <w:snapToGrid/>
        <w:spacing w:line="560" w:lineRule="exact"/>
        <w:ind w:left="0" w:leftChars="0" w:right="0" w:rightChars="0" w:firstLine="640" w:firstLineChars="200"/>
        <w:textAlignment w:val="baseline"/>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bidi w:val="0"/>
        <w:adjustRightInd/>
        <w:snapToGrid/>
        <w:spacing w:line="560" w:lineRule="exact"/>
        <w:ind w:left="0" w:leftChars="0" w:right="0" w:rightChars="0" w:firstLine="640" w:firstLineChars="200"/>
        <w:textAlignment w:val="baseline"/>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bidi w:val="0"/>
        <w:adjustRightInd/>
        <w:snapToGrid/>
        <w:spacing w:line="560" w:lineRule="exact"/>
        <w:ind w:right="0" w:rightChars="0" w:firstLine="4480" w:firstLineChars="1400"/>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儋州</w:t>
      </w:r>
      <w:r>
        <w:rPr>
          <w:rFonts w:hint="eastAsia" w:ascii="仿宋_GB2312" w:hAnsi="仿宋_GB2312" w:eastAsia="仿宋_GB2312" w:cs="仿宋_GB2312"/>
          <w:sz w:val="32"/>
          <w:szCs w:val="32"/>
        </w:rPr>
        <w:t>市住房和城乡建设</w:t>
      </w:r>
      <w:r>
        <w:rPr>
          <w:rFonts w:hint="eastAsia" w:ascii="仿宋_GB2312" w:hAnsi="仿宋_GB2312" w:eastAsia="仿宋_GB2312" w:cs="仿宋_GB2312"/>
          <w:sz w:val="32"/>
          <w:szCs w:val="32"/>
          <w:lang w:eastAsia="zh-CN"/>
        </w:rPr>
        <w:t>局</w:t>
      </w:r>
    </w:p>
    <w:p>
      <w:pPr>
        <w:keepNext w:val="0"/>
        <w:keepLines w:val="0"/>
        <w:pageBreakBefore w:val="0"/>
        <w:widowControl w:val="0"/>
        <w:kinsoku/>
        <w:wordWrap/>
        <w:overflowPunct/>
        <w:topLinePunct w:val="0"/>
        <w:autoSpaceDE/>
        <w:bidi w:val="0"/>
        <w:adjustRightInd/>
        <w:snapToGrid/>
        <w:spacing w:line="560" w:lineRule="exact"/>
        <w:ind w:left="0" w:leftChars="0" w:right="0" w:rightChars="0" w:firstLine="640" w:firstLineChars="200"/>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rPr>
        <w:t>日</w:t>
      </w:r>
    </w:p>
    <w:p>
      <w:pPr>
        <w:keepNext w:val="0"/>
        <w:keepLines w:val="0"/>
        <w:pageBreakBefore w:val="0"/>
        <w:widowControl w:val="0"/>
        <w:kinsoku/>
        <w:wordWrap/>
        <w:overflowPunct/>
        <w:topLinePunct w:val="0"/>
        <w:autoSpaceDE/>
        <w:bidi w:val="0"/>
        <w:adjustRightInd/>
        <w:snapToGrid/>
        <w:spacing w:line="560" w:lineRule="exact"/>
        <w:rPr>
          <w:rFonts w:hint="eastAsia" w:ascii="仿宋_GB2312" w:hAnsi="方正仿宋简体" w:eastAsia="仿宋_GB2312"/>
          <w:sz w:val="32"/>
          <w:szCs w:val="32"/>
        </w:rPr>
      </w:pPr>
    </w:p>
    <w:p>
      <w:pPr>
        <w:keepNext w:val="0"/>
        <w:keepLines w:val="0"/>
        <w:pageBreakBefore w:val="0"/>
        <w:widowControl w:val="0"/>
        <w:kinsoku/>
        <w:wordWrap/>
        <w:overflowPunct/>
        <w:topLinePunct w:val="0"/>
        <w:autoSpaceDE/>
        <w:bidi w:val="0"/>
        <w:adjustRightInd/>
        <w:snapToGrid/>
        <w:spacing w:line="560" w:lineRule="exact"/>
        <w:ind w:firstLine="640" w:firstLineChars="200"/>
      </w:pPr>
      <w:r>
        <w:rPr>
          <w:rFonts w:hint="eastAsia" w:ascii="仿宋_GB2312" w:hAnsi="方正仿宋简体" w:eastAsia="仿宋_GB2312"/>
          <w:sz w:val="32"/>
          <w:szCs w:val="32"/>
        </w:rPr>
        <w:t>（此件</w:t>
      </w:r>
      <w:r>
        <w:rPr>
          <w:rFonts w:hint="eastAsia" w:ascii="仿宋_GB2312" w:hAnsi="方正仿宋简体" w:eastAsia="仿宋_GB2312"/>
          <w:sz w:val="32"/>
          <w:szCs w:val="32"/>
          <w:lang w:eastAsia="zh-CN"/>
        </w:rPr>
        <w:t>主动</w:t>
      </w:r>
      <w:r>
        <w:rPr>
          <w:rFonts w:hint="eastAsia" w:ascii="仿宋_GB2312" w:hAnsi="方正仿宋简体" w:eastAsia="仿宋_GB2312"/>
          <w:sz w:val="32"/>
          <w:szCs w:val="32"/>
        </w:rPr>
        <w:t>公开）</w:t>
      </w:r>
    </w:p>
    <w:p>
      <w:pPr>
        <w:keepNext w:val="0"/>
        <w:keepLines w:val="0"/>
        <w:pageBreakBefore w:val="0"/>
        <w:widowControl w:val="0"/>
        <w:kinsoku/>
        <w:wordWrap/>
        <w:overflowPunct/>
        <w:topLinePunct w:val="0"/>
        <w:autoSpaceDE/>
        <w:bidi w:val="0"/>
        <w:adjustRightInd/>
        <w:snapToGrid/>
        <w:spacing w:line="560" w:lineRule="exact"/>
      </w:pPr>
    </w:p>
    <w:p/>
    <w:sectPr>
      <w:pgSz w:w="11906" w:h="16838"/>
      <w:pgMar w:top="1814" w:right="1531" w:bottom="153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E446E1F"/>
    <w:rsid w:val="08FB4E48"/>
    <w:rsid w:val="093F7C13"/>
    <w:rsid w:val="2E446E1F"/>
    <w:rsid w:val="3D5078A2"/>
    <w:rsid w:val="50CD4959"/>
    <w:rsid w:val="75525E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微软雅黑"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那大镇</Company>
  <Pages>1</Pages>
  <Words>0</Words>
  <Characters>0</Characters>
  <Lines>0</Lines>
  <Paragraphs>0</Paragraphs>
  <TotalTime>4</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2021-05-12T01:01:00Z</dcterms:created>
  <dc:creator>12</dc:creator>
  <cp:lastModifiedBy>12</cp:lastModifiedBy>
  <dcterms:modified xsi:type="dcterms:W3CDTF">2021-12-02T07:11:56Z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