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opLinePunct/>
        <w:adjustRightInd w:val="0"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2023年“万里行”活动成效汇总表</w:t>
      </w:r>
    </w:p>
    <w:p>
      <w:pPr>
        <w:topLinePunct/>
        <w:adjustRightInd w:val="0"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49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报送单位：                                               报送日期：   年   月   日   </w:t>
      </w:r>
    </w:p>
    <w:tbl>
      <w:tblPr>
        <w:tblStyle w:val="4"/>
        <w:tblW w:w="13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2"/>
        <w:gridCol w:w="1692"/>
        <w:gridCol w:w="1392"/>
        <w:gridCol w:w="138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95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重点任务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开展形式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开展次数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惠企数量</w:t>
            </w: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其他成效</w:t>
            </w:r>
          </w:p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黑体" w:cs="Nimbus Roman No9 L"/>
                <w:kern w:val="0"/>
                <w:sz w:val="28"/>
                <w:szCs w:val="28"/>
              </w:rPr>
              <w:t>（自行补充，可加列）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952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  <w:t>推动知识产权服务业高质量发展行动</w:t>
            </w:r>
          </w:p>
        </w:tc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形式1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952" w:type="dxa"/>
            <w:vMerge w:val="continue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5952" w:type="dxa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知识产权服务赋能创新发展行动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形式1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952" w:type="dxa"/>
            <w:vMerge w:val="continue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形式2……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95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知识产权服务助力产业链安全行动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……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5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知识产权服务促进转移转化行动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952" w:type="dxa"/>
            <w:vAlign w:val="center"/>
          </w:tcPr>
          <w:p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8"/>
                <w:szCs w:val="28"/>
              </w:rPr>
              <w:t>知识产权服务提升品牌价值行动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95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  <w:t>其他（如开展重点任务之外的其他工作，请自行补充）</w:t>
            </w:r>
          </w:p>
        </w:tc>
        <w:tc>
          <w:tcPr>
            <w:tcW w:w="16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vAlign w:val="center"/>
          </w:tcPr>
          <w:p>
            <w:pPr>
              <w:adjustRightInd w:val="0"/>
              <w:spacing w:line="400" w:lineRule="exact"/>
              <w:textAlignment w:val="baseline"/>
              <w:rPr>
                <w:rFonts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spacing w:line="440" w:lineRule="exact"/>
      </w:pPr>
      <w:r>
        <w:rPr>
          <w:rFonts w:eastAsia="黑体"/>
          <w:kern w:val="0"/>
          <w:sz w:val="28"/>
          <w:szCs w:val="28"/>
        </w:rPr>
        <w:t>备注：</w:t>
      </w:r>
      <w:r>
        <w:rPr>
          <w:rFonts w:eastAsia="楷体_GB2312"/>
          <w:kern w:val="0"/>
          <w:sz w:val="28"/>
          <w:szCs w:val="28"/>
        </w:rPr>
        <w:t>每一类重点任务需根据不同形式的开展情况进行逐项统计，除</w:t>
      </w:r>
      <w:r>
        <w:rPr>
          <w:rFonts w:ascii="Times New Roman" w:hAnsi="Times New Roman" w:eastAsia="楷体_GB2312" w:cs="Times New Roman"/>
          <w:kern w:val="0"/>
          <w:sz w:val="28"/>
          <w:szCs w:val="28"/>
        </w:rPr>
        <w:t>“</w:t>
      </w:r>
      <w:r>
        <w:rPr>
          <w:rFonts w:eastAsia="楷体_GB2312"/>
          <w:kern w:val="0"/>
          <w:sz w:val="28"/>
          <w:szCs w:val="28"/>
        </w:rPr>
        <w:t>开展形式、开展次数、惠企数量</w:t>
      </w:r>
      <w:r>
        <w:rPr>
          <w:rFonts w:ascii="Times New Roman" w:hAnsi="Times New Roman" w:eastAsia="楷体_GB2312" w:cs="Times New Roman"/>
          <w:kern w:val="0"/>
          <w:sz w:val="28"/>
          <w:szCs w:val="28"/>
        </w:rPr>
        <w:t>”</w:t>
      </w:r>
      <w:r>
        <w:rPr>
          <w:rFonts w:eastAsia="楷体_GB2312"/>
          <w:kern w:val="0"/>
          <w:sz w:val="28"/>
          <w:szCs w:val="28"/>
        </w:rPr>
        <w:t>等统计指标，可对表格内容根据实际开展情况和服务成效适当进行补充。</w:t>
      </w:r>
    </w:p>
    <w:sectPr>
      <w:footerReference r:id="rId3" w:type="default"/>
      <w:pgSz w:w="16838" w:h="11906" w:orient="landscape"/>
      <w:pgMar w:top="1519" w:right="1440" w:bottom="1519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C1"/>
    <w:rsid w:val="0001401E"/>
    <w:rsid w:val="003855EA"/>
    <w:rsid w:val="004F2B9F"/>
    <w:rsid w:val="007E70CB"/>
    <w:rsid w:val="00806E95"/>
    <w:rsid w:val="008D6C81"/>
    <w:rsid w:val="00CC70C1"/>
    <w:rsid w:val="00D025CC"/>
    <w:rsid w:val="00ED3787"/>
    <w:rsid w:val="476C5B51"/>
    <w:rsid w:val="67ADC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2023-04-11T15:39:00Z</dcterms:created>
  <dc:creator>路宏波</dc:creator>
  <cp:lastModifiedBy>邢增伟</cp:lastModifiedBy>
  <dcterms:modified xsi:type="dcterms:W3CDTF">2023-05-15T07:39:20Z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