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both"/>
        <w:rPr>
          <w:rFonts w:ascii="仿宋" w:hAnsi="仿宋" w:eastAsia="仿宋" w:cs="仿宋"/>
          <w:b/>
          <w:bCs/>
          <w:color w:val="FF0000"/>
          <w:spacing w:val="-20"/>
          <w:w w:val="72"/>
          <w:kern w:val="4"/>
          <w:sz w:val="120"/>
          <w:szCs w:val="120"/>
        </w:rPr>
      </w:pPr>
      <w:r>
        <w:rPr>
          <w:rFonts w:hint="eastAsia" w:ascii="宋体" w:hAnsi="宋体" w:cs="宋体"/>
          <w:b/>
          <w:bCs/>
          <w:color w:val="FF0000"/>
          <w:spacing w:val="-20"/>
          <w:w w:val="72"/>
          <w:kern w:val="4"/>
          <w:sz w:val="120"/>
          <w:szCs w:val="120"/>
        </w:rPr>
        <w:t>儋州市</w:t>
      </w:r>
      <w:r>
        <w:rPr>
          <w:rFonts w:hint="eastAsia" w:ascii="宋体" w:hAnsi="宋体" w:cs="宋体"/>
          <w:b/>
          <w:bCs/>
          <w:color w:val="FF0000"/>
          <w:spacing w:val="-20"/>
          <w:w w:val="72"/>
          <w:kern w:val="4"/>
          <w:sz w:val="120"/>
          <w:szCs w:val="120"/>
          <w:lang w:eastAsia="zh-CN"/>
        </w:rPr>
        <w:t>市场</w:t>
      </w:r>
      <w:r>
        <w:rPr>
          <w:rFonts w:hint="eastAsia" w:ascii="宋体" w:hAnsi="宋体" w:cs="宋体"/>
          <w:b/>
          <w:bCs/>
          <w:color w:val="FF0000"/>
          <w:spacing w:val="-20"/>
          <w:w w:val="72"/>
          <w:kern w:val="4"/>
          <w:sz w:val="120"/>
          <w:szCs w:val="120"/>
        </w:rPr>
        <w:t>监督管理局</w:t>
      </w:r>
    </w:p>
    <w:p>
      <w:pPr>
        <w:spacing w:line="720" w:lineRule="exact"/>
        <w:jc w:val="left"/>
        <w:rPr>
          <w:rFonts w:hint="eastAsia" w:eastAsia="仿宋"/>
          <w:b/>
          <w:sz w:val="52"/>
          <w:szCs w:val="52"/>
          <w:lang w:val="en-US" w:eastAsia="zh-CN"/>
        </w:rPr>
      </w:pPr>
      <w:r>
        <w:rPr>
          <w:rFonts w:ascii="Calibri" w:hAnsi="Calibri" w:eastAsia="宋体" w:cs="黑体"/>
          <w:kern w:val="2"/>
          <w:sz w:val="4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182880</wp:posOffset>
                </wp:positionV>
                <wp:extent cx="5713095" cy="15240"/>
                <wp:effectExtent l="0" t="6350" r="1905" b="698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095" cy="1524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95pt;margin-top:14.4pt;height:1.2pt;width:449.85pt;z-index:251660288;mso-width-relative:page;mso-height-relative:page;" filled="f" stroked="t" coordsize="21600,21600" o:gfxdata="UEsDBAoAAAAAAIdO4kAAAAAAAAAAAAAAAAAEAAAAZHJzL1BLAwQUAAAACACHTuJA39QLG9gAAAAJ&#10;AQAADwAAAGRycy9kb3ducmV2LnhtbE2PTU/DMAyG70j8h8hI3La0nTS6UnfSkDiwC9qHOGdNaCMS&#10;p2rSdfx7zAlutvzo9fPW25t34mrGaAMh5MsMhKE2aEsdwvn0uihBxKRIKxfIIHybCNvm/q5WlQ4z&#10;Hcz1mDrBIRQrhdCnNFRSxrY3XsVlGAzx7TOMXiVex07qUc0c7p0ssmwtvbLEH3o1mJfetF/HySPs&#10;D3Z+L06bDzXtS3K2253Htx3i40OePYNI5pb+YPjVZ3Vo2OkSJtJROITFKt8wilCUXIGBcv3EwwVh&#10;lRcgm1r+b9D8AFBLAwQUAAAACACHTuJA15qAoeoBAAClAwAADgAAAGRycy9lMm9Eb2MueG1srVNL&#10;jhMxEN0jcQfLe9KdhjDQSmcWE8IGQSQ++4o/3Zb8k+1JJ5fgAkjsYMVy9tyG4RiU3SH8NgjRi1LZ&#10;Vf2q3qvy8vJgNNmLEJWzHZ3PakqEZY4r23f09avNvUeUxASWg3ZWdPQoIr1c3b2zHH0rGjc4zUUg&#10;CGJjO/qODin5tqoiG4SBOHNeWAxKFwwkPIa+4gFGRDe6aur6YTW6wH1wTMSIt+spSFcFX0rB0gsp&#10;o0hEdxR7S8WGYnfZVqsltH0APyh2agP+oQsDymLRM9QaEpDroP6AMooFF51MM+ZM5aRUTBQOyGZe&#10;/8bm5QBeFC4oTvRnmeL/g2XP99tAFO9oQ4kFgyO6fXfz5e2Hr5/fo7399JE0WaTRxxZzr+w2nE7R&#10;b0NmfJDBEKmVf4PzLxogK3IoEh/PEotDIgwvFxfz+/XjBSUMY/NF86CMoJpgMpwPMT0VzpDsdFQr&#10;mxWAFvbPYsLSmPo9JV9rS0YEai5qnC4D3CCpIaFrPHKKti8/R6cV3yit8y8x9LsrHcgecCc2mxq/&#10;zBCBf0nLVdYQhymvhKZtGQTwJ5aTdPSolsW1prkHIzglWuAryB4CQptA6b/JxNLaYgdZ5EnW7O0c&#10;P+Jsrn1Q/YBSzEuXOYK7UPo97W1etp/PBenH61p9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/U&#10;CxvYAAAACQEAAA8AAAAAAAAAAQAgAAAAIgAAAGRycy9kb3ducmV2LnhtbFBLAQIUABQAAAAIAIdO&#10;4kDXmoCh6gEAAKUDAAAOAAAAAAAAAAEAIAAAACcBAABkcnMvZTJvRG9jLnhtbFBLBQYAAAAABgAG&#10;AFkBAACDBQAAAAA=&#10;">
                <v:fill on="f" focussize="0,0"/>
                <v:stroke weight="1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黑体"/>
          <w:kern w:val="2"/>
          <w:sz w:val="4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116205</wp:posOffset>
                </wp:positionV>
                <wp:extent cx="571373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3730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5.3pt;margin-top:9.15pt;height:0.05pt;width:449.9pt;z-index:251659264;mso-width-relative:page;mso-height-relative:page;" filled="f" stroked="t" coordsize="21600,21600" o:gfxdata="UEsDBAoAAAAAAIdO4kAAAAAAAAAAAAAAAAAEAAAAZHJzL1BLAwQUAAAACACHTuJAdy0M4NgAAAAJ&#10;AQAADwAAAGRycy9kb3ducmV2LnhtbE2PwU7DMAyG70i8Q2Qkblu6FlVdaboDCIkDFzaQOGaNacoa&#10;pzTp1vH0eCc42v+n35+rzex6ccQxdJ4UrJYJCKTGm45aBW+7p0UBIkRNRveeUMEZA2zq66tKl8af&#10;6BWP29gKLqFQagU2xqGUMjQWnQ5LPyBx9ulHpyOPYyvNqE9c7nqZJkkune6IL1g94IPF5rCdnIL3&#10;D4vf6frxxR52P9lXfJ7keZ6Uur1ZJfcgIs7xD4aLPqtDzU57P5EJolewyJKcUQ6KDAQDRb5OQewv&#10;izuQdSX/f1D/AlBLAwQUAAAACACHTuJAaQ+8LuUBAACjAwAADgAAAGRycy9lMm9Eb2MueG1srVNL&#10;jhMxEN0jcQfLe9Kdac1HrXRmMSFsEETis6/4023JP9medHIJLoDEDlYs2XMbhmNQdofMABuE6EXJ&#10;dj2/rveqvLjeG012IkTlbEfns5oSYZnjyvYdffN6/eSKkpjActDOio4eRKTXy8ePFqNvxZkbnOYi&#10;ECSxsR19R4eUfFtVkQ3CQJw5LywmpQsGEm5DX/EAI7IbXZ3V9UU1usB9cEzEiKerKUmXhV9KwdJL&#10;KaNIRHcUa0slhhK3OVbLBbR9AD8odiwD/qEKA8riT09UK0hAboP6g8ooFlx0Ms2YM5WTUjFRNKCa&#10;ef2bmlcDeFG0oDnRn2yK/4+WvdhtAlG8ow0lFgy26O79l2/vPn7/+gHj3edPpMkmjT62iL2xm3Dc&#10;Rb8JWfFeBkOkVv4t9r94gKrIvlh8OFks9okwPDy/nDeXDXaCYe6iOc/c1USSyXyI6ZlwhuRFR7Wy&#10;WT+0sHse0wT9CcnH2pIRK7+a15kRcH6khoRL41FRtH25HJ1WfK20zldi6Lc3OpAd4ESs1zV+xxp+&#10;geW/rCAOE66kMgzaQQB/ajlJB49eWRxqmmswglOiBb6BvCrIBEr/DRLla4suZIsnU/Nq6/gBO3Pr&#10;g+oHtGJeqswZnITi2XFq86g93Bem+7e1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3LQzg2AAA&#10;AAkBAAAPAAAAAAAAAAEAIAAAACIAAABkcnMvZG93bnJldi54bWxQSwECFAAUAAAACACHTuJAaQ+8&#10;LuUBAACjAwAADgAAAAAAAAABACAAAAAnAQAAZHJzL2Uyb0RvYy54bWxQSwUGAAAAAAYABgBZAQAA&#10;fg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</w:t>
      </w:r>
    </w:p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儋州市市场监督管理局2021年</w:t>
      </w:r>
    </w:p>
    <w:p>
      <w:pPr>
        <w:widowControl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食用农产品监督抽检工作实施方案</w:t>
      </w:r>
    </w:p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食品安全事关百姓健康，是全社会共同关心的重大民生问题，为了更好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海南省儋州市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用农产品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安全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工作，通过对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生产流通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环节的抽检，从源头上发现薄弱环节和问题线索，对问题单位和问题产品采取针对性监管措施，不仅是保障群众健康的必要举措，也是完善监管链条、构建覆盖全程监管体系的重要手段。结合我市的实际情况，制定如下抽检方案：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一、抽检类别、批次及样品编号、工作进度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1、抽检区域类别批次：抽检本次任务抽检区域包括儋州市辖区范围内，共计955批次，详情见附件：附表1.2021年市县食用农产品监督抽检任务分配表。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2、样品编号：抽取样品后，要及时登记样品信息，并编号。样品编号规则：NCP 21 460400 6129 00001，NCP：表示任务级别编号；21表示任务年份编号；460400（儋州市市监局）表示任务来源编号；6129（广州金至检测技术有限公司）表示抽样单位编号；00001表示样品流水号。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3、工作进度：第三季度（9月25日）前应完成全年抽样任务的30%，第四季度（12月5日前）完成全年抽样任务的100%，12月25日前完成所有检验任务。（可根据局里意见做出调整）。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14073985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检测项目及依据</w:t>
      </w:r>
      <w:bookmarkEnd w:id="0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本次任务检测项目及依据根据《国家食品安全监督抽检实施细则》（2021年版）实施，具体如下：</w:t>
      </w:r>
    </w:p>
    <w:p>
      <w:pPr>
        <w:widowControl w:val="0"/>
        <w:spacing w:line="360" w:lineRule="auto"/>
        <w:jc w:val="center"/>
        <w:rPr>
          <w:rFonts w:hint="eastAsia" w:eastAsia="仿宋" w:cs="黑体"/>
          <w:b/>
          <w:bCs/>
          <w:color w:val="000000"/>
          <w:szCs w:val="28"/>
        </w:rPr>
      </w:pPr>
      <w:r>
        <w:rPr>
          <w:rFonts w:hint="eastAsia" w:eastAsia="仿宋" w:cs="黑体"/>
          <w:b/>
          <w:bCs/>
          <w:color w:val="000000"/>
          <w:szCs w:val="28"/>
        </w:rPr>
        <w:t>检测项目及依据一览表</w:t>
      </w:r>
    </w:p>
    <w:tbl>
      <w:tblPr>
        <w:tblStyle w:val="6"/>
        <w:tblpPr w:leftFromText="180" w:rightFromText="180" w:vertAnchor="text" w:horzAnchor="page" w:tblpX="1457" w:tblpY="414"/>
        <w:tblOverlap w:val="never"/>
        <w:tblW w:w="96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75"/>
        <w:gridCol w:w="952"/>
        <w:gridCol w:w="1050"/>
        <w:gridCol w:w="613"/>
        <w:gridCol w:w="733"/>
        <w:gridCol w:w="3827"/>
        <w:gridCol w:w="96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66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年儋州市食用农产品抽检任务、抽检品种、检验项目表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66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right"/>
              <w:textAlignment w:val="center"/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单位：批次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highlight w:val="none"/>
              </w:rPr>
              <w:t>食品亚类（二级）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highlight w:val="none"/>
              </w:rPr>
              <w:t>食品品种（三级）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b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highlight w:val="none"/>
              </w:rPr>
              <w:t>食品细类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highlight w:val="none"/>
              </w:rPr>
              <w:t>（四级）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  <w:t>风险等级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抽检总量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  <w:highlight w:val="none"/>
              </w:rPr>
              <w:t>检验项目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highlight w:val="none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1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畜禽肉及副产品</w:t>
            </w: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畜肉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猪肉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克伦特罗、莱克多巴胺、沙丁胺醇、氯霉素、恩诺沙星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氯丙嗪、呋喃唑酮代谢物、五氯酚酸钠、磺胺类（总量）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牛肉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莱克多巴胺、磺胺类（总量）、地塞米松、五氯酚酸钠、氯霉素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羊肉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克伦特罗、莱克多巴胺、恩诺沙星、磺胺类（总量）、氯霉素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备注：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eastAsia="zh-CN"/>
              </w:rPr>
              <w:t>氯霉素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参照20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年细则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其他畜肉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氯霉素、克伦特罗、莱克多巴胺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 xml:space="preserve">、沙丁胺醇 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禽肉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鸡肉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（重点品种：乌鸡）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甲氧苄啶、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氯霉素、磺胺类（总量）、恩诺沙星、氟苯尼考、土霉素、呋喃唑酮代谢物、多西环素（强力霉素）、五氯酚酸钠、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金刚烷胺、尼卡巴嗪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鸭肉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氯霉素、五氯酚酸钠、呋喃唑酮代谢物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、甲氧苄啶、恩诺沙星、氟苯尼考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其他禽肉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恩诺沙星、氯霉素、呋喃唑酮代谢物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磺胺类（总量）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、恩诺沙星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畜副产品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猪肝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克伦特罗、莱克多巴胺、沙丁胺醇、磺胺类（总量）、五氯酚酸钠、呋喃唑酮代谢物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牛肝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克伦特罗、莱克多巴胺、五氯酚酸钠、沙丁胺醇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羊肝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克伦特罗、莱克多巴胺、恩诺沙星、沙丁胺醇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猪肾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克伦特罗、莱克多巴胺、沙丁胺醇、磺胺类（总量）、五氯酚酸钠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牛肾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克伦特罗、莱克多巴胺、沙丁胺醇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、恩诺沙星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其他畜副产品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克伦特罗、莱克多巴胺、沙丁胺醇、氯霉素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五氯酚酸钠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禽副产品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鸡肝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五氯酚酸钠、总砷（以As计）、氯霉素、呋喃唑酮代谢物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、恩诺沙星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其他禽副产品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氯霉素、五氯酚酸钠、呋喃妥因代谢物、呋喃唑酮代谢物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、恩诺沙星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蔬菜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豆芽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豆芽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4-氯苯氧乙酸钠（以4-氯苯氧乙酸计）、6-苄基腺嘌呤（6-BA）、亚硫酸盐（以SO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  <w:vertAlign w:val="subscript"/>
              </w:rPr>
              <w:t>2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计）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、铅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鳞茎类蔬菜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韭菜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镉、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腐霉利、毒死蜱、氧乐果、克百威、甲拌磷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、氯氰菊酯和高效氯氰菊酯、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氟虫腈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、氯氟氰菊酯和高效氯氟氰菊酯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芸薹属类蔬菜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结球甘蓝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氧乐果、甲胺磷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、甲基异柳磷、涕灭威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菜薹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甲拌磷、克百威、氧乐果、氟虫腈、氯氰菊酯和高效氯氰菊酯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叶菜类蔬菜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菠菜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毒死蜱、氧乐果、阿维菌素、氟虫腈、克百威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甲拌磷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芹菜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毒死蜱、甲拌磷、克百威、氟虫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腈、氧乐果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、甲基异柳磷、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水胺硫磷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氯氟氰菊酯和高效氯氟氰菊酯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普通白菜（小白菜、小油菜、青菜）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毒死蜱、氟虫腈、啶虫脒、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阿维菌素、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氧乐果、克百威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甲胺磷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、水胺硫磷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油麦菜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氟虫腈、氧乐果、克百威、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甲拌磷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甲基异柳磷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大白菜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毒死蜱、氧乐果、克百威、啶虫脒、甲胺磷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茄果类蔬菜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茄子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镉、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克百威、氧乐果、甲胺磷、水胺硫磷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辣椒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镉、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克百威、氧乐果、水胺硫磷、氟虫腈、氯氰菊酯和高效氯氰菊酯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番茄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克百威、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毒死蜱、氯氟氰菊酯和高效氯氟氰菊酯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、氯氰菊酯和高效氯氰菊酯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瓜类蔬菜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黄瓜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氟虫腈、克百威、氧乐果、毒死蜱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、多菌灵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苦瓜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克百威、氧乐果、甲胺磷、吡虫啉、氯氟氰菊酯和高效氯氟氰菊酯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val="en-US" w:eastAsia="zh-CN"/>
              </w:rPr>
              <w:t>检验方法和判定依据GB 2763-2019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根茎类和薯芋类蔬菜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铅、吡虫啉、噻虫嗪、克百威、甲胺磷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豆类蔬菜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豇豆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克百威、灭蝇胺、氧乐果、水胺硫磷、甲基异柳磷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、氟虫腈、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甲胺磷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、阿维菌素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 w:val="24"/>
                <w:highlight w:val="none"/>
              </w:rPr>
              <w:t>3</w:t>
            </w:r>
          </w:p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水产品</w:t>
            </w: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淡水产品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淡水鱼（重点：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黄颡鱼、鲶鱼、鳊鱼、鲈鱼、鲟鱼、鲫鱼、黑鱼、鳜鱼、泥鳅、黄鳝等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等）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恩诺沙星、呋喃西林代谢物、呋喃唑酮代谢物、氯霉素、孔雀石绿、磺胺类（总量）、地西泮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、五氯酚酸钠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淡水虾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（重点品种虾蛄、基围虾）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恩诺沙星、呋喃妥因代谢物、呋喃唑酮代谢物、土霉素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/金霉素/四环素（组合含量）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淡水产品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淡水蟹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（重点梭子蟹等）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镉、氯霉素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呋喃西林代谢物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孔雀石绿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、五氯酚酸钠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备注：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呋喃西林代谢物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参照20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年细则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海水产品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海水鱼（重点品种：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多宝鱼、黄鱼、海鲈鱼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等）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恩诺沙星、呋喃西林代谢物、呋喃唑酮代谢物、氯霉素、孔雀石绿、甲硝唑、磺胺类（总量）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、五氯酚酸钠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海水虾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（重点品种：虾蛄、基围虾等）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镉、呋喃妥因代谢物、呋喃唑酮代谢物、土霉素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/金霉素/四环素（组合含量）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海水蟹</w:t>
            </w:r>
            <w:r>
              <w:rPr>
                <w:rFonts w:hint="eastAsia" w:ascii="宋体" w:hAnsi="宋体"/>
                <w:color w:val="auto"/>
                <w:sz w:val="18"/>
                <w:highlight w:val="none"/>
              </w:rPr>
              <w:t>（重点品种：梭子蟹等</w:t>
            </w:r>
            <w:r>
              <w:rPr>
                <w:rFonts w:hint="eastAsia" w:ascii="宋体" w:hAnsi="宋体"/>
                <w:color w:val="auto"/>
                <w:highlight w:val="none"/>
              </w:rPr>
              <w:t>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氯霉素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孔雀石绿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呋喃它酮代谢物、呋喃妥因代谢物、镉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贝类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贝类（重点品种：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花蛤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花螺等）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恩诺沙星、呋喃西林代谢物、氯霉素、镉、呋喃唑酮代谢物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其他水产品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其他水产品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（重点品种：牛蛙）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恩诺沙星、呋喃唑酮代谢物、镉、呋喃西林代谢物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水果类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仁果类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苹果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敌敌畏、毒死蜱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啶虫脒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克百威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三唑醇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梨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克百威、氧乐果、氯氟氰菊酯和高效氯氟氰菊酯、多菌灵、敌敌畏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核果类水果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桃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多菌灵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苯醚甲环唑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敌敌畏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甲胺磷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克百威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溴氰菊酯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油桃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多菌灵、甲胺磷、克百威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、氧乐果、敌敌畏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枣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氧乐果、氟虫腈、糖精钠（以糖精计）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多菌灵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热带和亚热带水果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香蕉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吡虫啉、腈苯唑、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吡唑醚菌酯、苯醚甲环唑、氟虫腈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芒果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氧乐果、戊唑醇、苯醚甲环唑、多菌灵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嘧菌酯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火龙果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氟虫腈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甲胺磷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克百威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氧乐果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b/>
                <w:bCs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菠萝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灭多威、多菌灵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、丙环唑、二嗪磷、硫线磷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参照20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年细则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荔枝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毒死蜱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、多菌灵、氧乐果、苯醚甲环唑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敌敌畏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、三唑磷、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龙眼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克百威、氧乐果、敌敌畏、甲胺磷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参照20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年细则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柑橘类水果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柑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橘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丙溴磷、三唑磷、氧乐果、苯醚甲环唑、克百威、联苯菊酯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橙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丙溴磷、三唑磷、氧乐果、克百威、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水胺硫磷、多菌灵、联苯菊酯、杀虫脒、杀扑磷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柠檬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联苯菊酯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、多菌灵、克百威、水胺硫磷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浆果和其他小型水果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草莓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烯酰吗啉、多菌灵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阿维菌素、敌敌畏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、克百威、氧乐果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auto"/>
                <w:sz w:val="24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猕猴桃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氯吡脲、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多菌灵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、氧乐果、敌敌畏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葡萄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苯醚甲环唑、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甲胺磷、克百威、霜霉威和霜霉威盐酸盐、辛硫磷、氧乐果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西番莲（百香果）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苯醚甲环唑、戊唑醇、敌百虫、</w:t>
            </w: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氰戊菊酯和 S-氰戊菊酯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参照20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年细则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瓜果类水果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西瓜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甲胺磷、克百威、噻虫嗪、氧乐果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甜瓜类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较高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甲基异柳磷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、克百威、烯酰吗啉、氧乐果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鲜蛋</w:t>
            </w:r>
          </w:p>
        </w:tc>
        <w:tc>
          <w:tcPr>
            <w:tcW w:w="95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鲜蛋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鸡蛋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恩诺沙星、氟苯尼考、氯霉素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、磺胺类（总量）、甲硝唑、呋喃唑酮代谢物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5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其他禽蛋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氟苯尼考（不含鹌鹑蛋）、氯霉素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、恩诺沙星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磺胺类（总量）、呋喃唑酮代谢物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备注：恩诺沙星参照20年细则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豆类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豆类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豆类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铅（以Pb计）、铬（以Cr计）、赭曲霉毒素A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5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生干坚果</w:t>
            </w: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与籽类食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品</w:t>
            </w:r>
          </w:p>
        </w:tc>
        <w:tc>
          <w:tcPr>
            <w:tcW w:w="95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生干坚果</w:t>
            </w:r>
          </w:p>
          <w:p>
            <w:pPr>
              <w:autoSpaceDE w:val="0"/>
              <w:autoSpaceDN w:val="0"/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与籽类食</w:t>
            </w:r>
          </w:p>
          <w:p>
            <w:pPr>
              <w:autoSpaceDE w:val="0"/>
              <w:autoSpaceDN w:val="0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18"/>
                <w:szCs w:val="18"/>
                <w:highlight w:val="none"/>
              </w:rPr>
              <w:t>品</w:t>
            </w:r>
          </w:p>
        </w:tc>
        <w:tc>
          <w:tcPr>
            <w:tcW w:w="10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生干籽类</w:t>
            </w:r>
          </w:p>
        </w:tc>
        <w:tc>
          <w:tcPr>
            <w:tcW w:w="6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  <w:t>黄曲霉毒素B1（限花生和花生仁检测）、酸价（以脂肪计）</w:t>
            </w: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414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3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</w:t>
            </w:r>
          </w:p>
        </w:tc>
        <w:tc>
          <w:tcPr>
            <w:tcW w:w="38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Times New Roman" w:hAnsi="Times New Roman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widowControl/>
        <w:spacing w:before="75" w:beforeLines="0" w:after="75" w:afterLines="0" w:line="276" w:lineRule="auto"/>
        <w:jc w:val="left"/>
        <w:rPr>
          <w:rFonts w:hint="eastAsia" w:ascii="Times New Roman" w:hAnsi="Times New Roman"/>
          <w:color w:val="auto"/>
          <w:sz w:val="18"/>
          <w:szCs w:val="18"/>
          <w:highlight w:val="none"/>
        </w:rPr>
      </w:pPr>
      <w:r>
        <w:rPr>
          <w:rFonts w:ascii="Times New Roman" w:hAnsi="Times New Roman"/>
          <w:color w:val="auto"/>
          <w:sz w:val="18"/>
          <w:szCs w:val="18"/>
          <w:highlight w:val="none"/>
        </w:rPr>
        <w:t>备注：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1.部分项目检测结果说明：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恩诺沙星检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验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结果以恩诺沙星与环丙沙星之和计；孔雀石绿检验结果以孔雀石绿与隐色孔雀石绿之和计；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五氯酚酸钠检验结果以五氯酚计；4－氯苯氧乙酸钠检验结果以4－氯苯氧乙酸计；亚硫酸盐检验结果以SO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  <w:vertAlign w:val="subscript"/>
        </w:rPr>
        <w:t>2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计；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磺胺类（总量）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包含的具体磺胺药物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按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《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国家食品安全监督抽检实施细则（20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21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年版）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》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中相应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食品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类别要求检验。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br w:type="textWrapping"/>
      </w:r>
      <w:r>
        <w:rPr>
          <w:rFonts w:ascii="Times New Roman" w:hAnsi="Times New Roman"/>
          <w:color w:val="auto"/>
          <w:sz w:val="18"/>
          <w:szCs w:val="18"/>
          <w:highlight w:val="none"/>
        </w:rPr>
        <w:t xml:space="preserve">    2.具体食品的检验项目、检验依据、检验方法设置详见《国家食品安全监督抽检实施细则（20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21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年版）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》 。</w:t>
      </w:r>
    </w:p>
    <w:p>
      <w:pPr>
        <w:widowControl/>
        <w:spacing w:before="75" w:beforeLines="0" w:after="75" w:afterLines="0" w:line="276" w:lineRule="auto"/>
        <w:ind w:firstLine="360" w:firstLineChars="200"/>
        <w:jc w:val="left"/>
        <w:rPr>
          <w:rFonts w:eastAsia="仿宋" w:cs="黑体"/>
          <w:b/>
          <w:bCs/>
          <w:color w:val="000000"/>
          <w:szCs w:val="28"/>
        </w:rPr>
      </w:pP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3.在2021年国家食用农产品抽检品种及项目表之外的品种和项目，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检验项目、检验依据、检验方法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按《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国家食品安全监督抽检实施细则（20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20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年版</w:t>
      </w:r>
      <w:r>
        <w:rPr>
          <w:rFonts w:hint="eastAsia" w:ascii="Times New Roman" w:hAnsi="Times New Roman"/>
          <w:color w:val="auto"/>
          <w:sz w:val="18"/>
          <w:szCs w:val="18"/>
          <w:highlight w:val="none"/>
        </w:rPr>
        <w:t>）》实施。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1" w:name="_Toc14073987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三、职责分工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（一）儋州市市场监督管理局负责抽查的总体组织协调，做好抽查工作的实施保障工作，协调解决抽查工作中出现的问题，委派执法人员做好抽样过程中生产品种、被查单位、封样等各个环节的监督执行工作。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（二）第三方检测机构委派抽样人员配合做好抽样工作及样品信息的填写、封样、购样、运输、制样、保存、检测等技术服务及保障工作。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在实验室接收到样品后的20个工作日内完成但不限于样品检测及出具相关检测报告、系统录入等工作。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抽样准备</w:t>
      </w:r>
      <w:bookmarkEnd w:id="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（一）技术准备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掌握抽样产品信息，由被委托的第三方业务人员根据抽样任务，完成《抽样工作计划表》，包括产品类别、抽样量、包装要求等信息，由技术支持对采样员进行抽检产品相关知识的培训。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（二）人员配置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每个抽样组至少由二人组成，至少一人有抽样经验。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（三）物资准备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根据所抽取样品性质不同，准备取样物品。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文件类：抽样时须准备下达任务的文件、任务通知书、实施方案、被抽样单位须知、抽样人员有效证件、抽样单、付费单等文件资料。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封样用品：封样单、样品标签、样品袋、透明胶带、签字笔、记号笔等。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其他物品：根据抽检方案要求进行准备（如车载冰箱、保温箱、无菌采样工具等）。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2" w:name="_Toc14073988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信息采集</w:t>
      </w:r>
      <w:bookmarkEnd w:id="2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bookmarkStart w:id="3" w:name="OLE_LINK17"/>
      <w:bookmarkStart w:id="4" w:name="OLE_LINK16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（一）单据主要包括抽样单、提供企业标准通知单等。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抽样单和提供企业标准通知单上需要由抽样人员（两人）、陪同抽检的政府部门人员以及被抽检人三方签字确认。抽样单应有抽样单位与被抽检单位双方的公章（被抽检人或单位无法加盖公章时，由确定身份的人员签字确认，如法人代表、经理等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（二）抽样现场照片：包括被抽检方、营业执照、货架、抽样过程、封样前后、所有抽样文书、与被抽检方合照等。</w:t>
      </w:r>
      <w:bookmarkEnd w:id="3"/>
      <w:bookmarkEnd w:id="4"/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5" w:name="_Toc14073989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样品封装</w:t>
      </w:r>
      <w:bookmarkEnd w:id="5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bookmarkStart w:id="6" w:name="OLE_LINK18"/>
      <w:bookmarkStart w:id="7" w:name="OLE_LINK19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各样品依据抽样及下单计划表所列的样品量及分装要求分为“检样”、“备样”两份，分别装入样品袋（样品盒），密封后贴上样品标签。</w:t>
      </w:r>
    </w:p>
    <w:bookmarkEnd w:id="6"/>
    <w:bookmarkEnd w:id="7"/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对检验样品和备用样品分别就行抽样和签封，签封用封条需由抽样人员（两人）、陪同抽检的政府部门人员以及被抽检人三方签字确认。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8" w:name="_Toc14073990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样品运输与保存</w:t>
      </w:r>
      <w:bookmarkEnd w:id="8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bookmarkStart w:id="9" w:name="OLE_LINK20"/>
      <w:bookmarkStart w:id="10" w:name="OLE_LINK21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样品抽样完毕后，应尽快放置在低温下保存，采用车载冰箱、保温箱、冰箱等必备的降温和保温设备，整个取样过程中要随时注意样品的保存情况，并尽快将样品送达实验室。</w:t>
      </w:r>
      <w:bookmarkEnd w:id="9"/>
      <w:bookmarkEnd w:id="10"/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八、抽样费用预算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购样费及邮寄费由承检方先行垫支，抽检工作完成后由委托方按发票实际金额支付。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1" w:name="_Toc14073991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抽验相关事项要求</w:t>
      </w:r>
      <w:bookmarkEnd w:id="11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监督抽检流程包括：</w:t>
      </w:r>
      <w:bookmarkStart w:id="12" w:name="OLE_LINK1"/>
      <w:bookmarkStart w:id="13" w:name="OLE_LINK2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实施方案</w:t>
      </w:r>
      <w:bookmarkEnd w:id="12"/>
      <w:bookmarkEnd w:id="13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→样品采集→样品信息登记→样品处理（制样）→样品检测→出具报告→结果上报→分析总结。其中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出具报告：完成抽样后20个工作日内完成信息录入，将检验结果分析等材料报送儋州市市场监督管理局。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结果上报：所有检测结果数据上报至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儋州市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市场监督管理局。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14" w:name="_Toc14073992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十、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抽检工作纪律</w:t>
      </w:r>
      <w:bookmarkEnd w:id="14"/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（一）被委托的第三方检验机构严格按照有关法律、法规的规定，并依照食品安全标准和检验规范对样品进行检验，尊重科学，恪守职业道德，保证出具的检验数据和结论客观、公正。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（二）对检验情况予以保密，检验前以及检验过程中不得泄露任何有关检验及样品检验的信息；对于检验结果和检验情况只能向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儋州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市市场监督管理局报告，不向任何第三方透露。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（三）承担抽样工作中应当购买样品，抽样人员不得向受检单位收取检验费和其它任何费用，不得虚报购样费，触犯刑法时移送公安机关。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787" w:firstLineChars="1496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儋州市市场监督管理局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27" w:firstLineChars="196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                          2021年6月2</w:t>
      </w:r>
      <w:bookmarkStart w:id="15" w:name="_GoBack"/>
      <w:bookmarkEnd w:id="15"/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2日</w:t>
      </w: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56F14"/>
    <w:rsid w:val="013F3ED5"/>
    <w:rsid w:val="018B2384"/>
    <w:rsid w:val="0305377D"/>
    <w:rsid w:val="05F270F3"/>
    <w:rsid w:val="0F904289"/>
    <w:rsid w:val="1810223F"/>
    <w:rsid w:val="1B882402"/>
    <w:rsid w:val="21F03A41"/>
    <w:rsid w:val="260C64D3"/>
    <w:rsid w:val="2C0E0AC7"/>
    <w:rsid w:val="2CD651E0"/>
    <w:rsid w:val="317339A7"/>
    <w:rsid w:val="360F67A4"/>
    <w:rsid w:val="38395CB6"/>
    <w:rsid w:val="3AFB6F7B"/>
    <w:rsid w:val="3B4567CD"/>
    <w:rsid w:val="3D55452C"/>
    <w:rsid w:val="40D0666B"/>
    <w:rsid w:val="40E97372"/>
    <w:rsid w:val="45D413B7"/>
    <w:rsid w:val="45FB29E4"/>
    <w:rsid w:val="485B0B27"/>
    <w:rsid w:val="4B064AC2"/>
    <w:rsid w:val="4C081BBC"/>
    <w:rsid w:val="4D430E6B"/>
    <w:rsid w:val="50425437"/>
    <w:rsid w:val="5A921979"/>
    <w:rsid w:val="5B803643"/>
    <w:rsid w:val="632E1846"/>
    <w:rsid w:val="6A3E3AB0"/>
    <w:rsid w:val="6C935C79"/>
    <w:rsid w:val="6D156F14"/>
    <w:rsid w:val="6E9C2F1E"/>
    <w:rsid w:val="6F1D276E"/>
    <w:rsid w:val="6FC53ADE"/>
    <w:rsid w:val="7B9E7A7D"/>
    <w:rsid w:val="7DCC6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napToGrid w:val="0"/>
      <w:spacing w:line="360" w:lineRule="auto"/>
      <w:outlineLvl w:val="1"/>
    </w:pPr>
    <w:rPr>
      <w:rFonts w:eastAsia="仿宋" w:cstheme="majorBidi"/>
      <w:b/>
      <w:bCs/>
      <w:sz w:val="28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等线 Light" w:hAnsi="等线 Light" w:eastAsia="等线 Light" w:cs="等线 Light"/>
      <w:b/>
      <w:bCs/>
      <w:kern w:val="2"/>
      <w:sz w:val="32"/>
      <w:szCs w:val="32"/>
      <w:lang w:val="en-US" w:eastAsia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31"/>
    <w:basedOn w:val="7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那大镇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2020-08-25T09:01:00Z</dcterms:created>
  <dc:creator>叶婷婷</dc:creator>
  <cp:lastModifiedBy>未定义</cp:lastModifiedBy>
  <cp:lastPrinted>2020-09-10T04:38:00Z</cp:lastPrinted>
  <dcterms:modified xsi:type="dcterms:W3CDTF">2021-08-20T07:29:36Z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F3039BE023D849228292F0257F56F730</vt:lpwstr>
  </property>
</Properties>
</file>