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6"/>
          <w:tab w:val="left" w:pos="1701"/>
        </w:tabs>
        <w:kinsoku/>
        <w:wordWrap/>
        <w:overflowPunct/>
        <w:topLinePunct w:val="0"/>
        <w:autoSpaceDE w:val="0"/>
        <w:autoSpaceDN w:val="0"/>
        <w:bidi w:val="0"/>
        <w:adjustRightInd w:val="0"/>
        <w:snapToGrid w:val="0"/>
        <w:spacing w:line="360" w:lineRule="auto"/>
        <w:jc w:val="both"/>
        <w:textAlignment w:val="auto"/>
        <w:rPr>
          <w:rFonts w:hint="eastAsia" w:ascii="Times New Roman" w:hAnsi="Times New Roman" w:eastAsia="宋体" w:cs="Times New Roman"/>
          <w:bCs/>
          <w:color w:val="000000" w:themeColor="text1"/>
          <w:kern w:val="0"/>
          <w:sz w:val="24"/>
          <w:szCs w:val="24"/>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kern w:val="0"/>
          <w:sz w:val="24"/>
          <w:szCs w:val="24"/>
          <w:highlight w:val="none"/>
          <w:lang w:val="en-US" w:eastAsia="zh-CN"/>
          <w14:textFill>
            <w14:solidFill>
              <w14:schemeClr w14:val="tx1"/>
            </w14:solidFill>
          </w14:textFill>
        </w:rPr>
        <w:t>附表</w:t>
      </w:r>
      <w:bookmarkStart w:id="0" w:name="_Toc491437842"/>
      <w:bookmarkStart w:id="1" w:name="_Toc425425722"/>
      <w:r>
        <w:rPr>
          <w:rFonts w:hint="eastAsia" w:ascii="Times New Roman" w:hAnsi="Times New Roman" w:eastAsia="宋体" w:cs="Times New Roman"/>
          <w:bCs/>
          <w:color w:val="000000" w:themeColor="text1"/>
          <w:kern w:val="0"/>
          <w:sz w:val="24"/>
          <w:szCs w:val="24"/>
          <w:highlight w:val="none"/>
          <w:lang w:val="en-US" w:eastAsia="zh-CN"/>
          <w14:textFill>
            <w14:solidFill>
              <w14:schemeClr w14:val="tx1"/>
            </w14:solidFill>
          </w14:textFill>
        </w:rPr>
        <w:t>:</w:t>
      </w:r>
    </w:p>
    <w:bookmarkEnd w:id="0"/>
    <w:bookmarkEnd w:id="1"/>
    <w:p>
      <w:pPr>
        <w:keepNext w:val="0"/>
        <w:keepLines w:val="0"/>
        <w:pageBreakBefore w:val="0"/>
        <w:widowControl w:val="0"/>
        <w:tabs>
          <w:tab w:val="left" w:pos="426"/>
          <w:tab w:val="left" w:pos="1701"/>
        </w:tabs>
        <w:kinsoku/>
        <w:wordWrap/>
        <w:overflowPunct/>
        <w:topLinePunct w:val="0"/>
        <w:autoSpaceDE w:val="0"/>
        <w:autoSpaceDN w:val="0"/>
        <w:bidi w:val="0"/>
        <w:adjustRightInd w:val="0"/>
        <w:snapToGrid w:val="0"/>
        <w:spacing w:line="360" w:lineRule="auto"/>
        <w:ind w:firstLine="560" w:firstLineChars="200"/>
        <w:jc w:val="left"/>
        <w:textAlignment w:val="auto"/>
        <w:rPr>
          <w:rFonts w:hint="eastAsia" w:ascii="Times New Roman" w:hAnsi="Times New Roman" w:eastAsia="宋体" w:cs="Times New Roman"/>
          <w:bCs/>
          <w:color w:val="000000" w:themeColor="text1"/>
          <w:kern w:val="0"/>
          <w:sz w:val="28"/>
          <w:szCs w:val="28"/>
          <w:highlight w:val="none"/>
          <w:lang w:val="en-US" w:eastAsia="zh-CN"/>
          <w14:textFill>
            <w14:solidFill>
              <w14:schemeClr w14:val="tx1"/>
            </w14:solidFill>
          </w14:textFill>
        </w:rPr>
      </w:pPr>
      <w:bookmarkStart w:id="2" w:name="_Toc15348"/>
      <w:bookmarkStart w:id="3" w:name="_Toc25349"/>
    </w:p>
    <w:p>
      <w:pPr>
        <w:keepNext w:val="0"/>
        <w:keepLines w:val="0"/>
        <w:pageBreakBefore w:val="0"/>
        <w:widowControl w:val="0"/>
        <w:tabs>
          <w:tab w:val="left" w:pos="426"/>
          <w:tab w:val="left" w:pos="1701"/>
        </w:tabs>
        <w:kinsoku/>
        <w:wordWrap/>
        <w:overflowPunct/>
        <w:topLinePunct w:val="0"/>
        <w:autoSpaceDE w:val="0"/>
        <w:autoSpaceDN w:val="0"/>
        <w:bidi w:val="0"/>
        <w:adjustRightInd w:val="0"/>
        <w:snapToGrid w:val="0"/>
        <w:spacing w:line="360" w:lineRule="auto"/>
        <w:ind w:firstLine="281" w:firstLineChars="100"/>
        <w:jc w:val="both"/>
        <w:textAlignment w:val="auto"/>
        <w:rPr>
          <w:rFonts w:hint="default" w:ascii="Times New Roman" w:hAnsi="Times New Roman" w:eastAsia="宋体" w:cs="Times New Roman"/>
          <w:b/>
          <w:bCs w:val="0"/>
          <w:color w:val="000000" w:themeColor="text1"/>
          <w:kern w:val="0"/>
          <w:sz w:val="28"/>
          <w:szCs w:val="28"/>
          <w:highlight w:val="none"/>
          <w14:textFill>
            <w14:solidFill>
              <w14:schemeClr w14:val="tx1"/>
            </w14:solidFill>
          </w14:textFill>
        </w:rPr>
      </w:pPr>
      <w:r>
        <w:rPr>
          <w:rFonts w:hint="eastAsia" w:ascii="Times New Roman" w:hAnsi="Times New Roman" w:eastAsia="宋体" w:cs="Times New Roman"/>
          <w:b/>
          <w:bCs w:val="0"/>
          <w:color w:val="000000" w:themeColor="text1"/>
          <w:kern w:val="0"/>
          <w:sz w:val="28"/>
          <w:szCs w:val="28"/>
          <w:highlight w:val="none"/>
          <w:lang w:val="en-US" w:eastAsia="zh-CN"/>
          <w14:textFill>
            <w14:solidFill>
              <w14:schemeClr w14:val="tx1"/>
            </w14:solidFill>
          </w14:textFill>
        </w:rPr>
        <w:t>儋州市医保领域 “小切口”问题专项整治</w:t>
      </w:r>
      <w:r>
        <w:rPr>
          <w:rFonts w:hint="eastAsia" w:ascii="Times New Roman" w:hAnsi="Times New Roman" w:eastAsia="宋体" w:cs="Times New Roman"/>
          <w:b/>
          <w:bCs w:val="0"/>
          <w:color w:val="000000" w:themeColor="text1"/>
          <w:kern w:val="0"/>
          <w:sz w:val="28"/>
          <w:szCs w:val="28"/>
          <w:highlight w:val="none"/>
          <w14:textFill>
            <w14:solidFill>
              <w14:schemeClr w14:val="tx1"/>
            </w14:solidFill>
          </w14:textFill>
        </w:rPr>
        <w:t>项目</w:t>
      </w:r>
      <w:r>
        <w:rPr>
          <w:rFonts w:hint="default" w:ascii="Times New Roman" w:hAnsi="Times New Roman" w:eastAsia="宋体" w:cs="Times New Roman"/>
          <w:b/>
          <w:bCs w:val="0"/>
          <w:color w:val="000000" w:themeColor="text1"/>
          <w:kern w:val="0"/>
          <w:sz w:val="28"/>
          <w:szCs w:val="28"/>
          <w:highlight w:val="none"/>
          <w14:textFill>
            <w14:solidFill>
              <w14:schemeClr w14:val="tx1"/>
            </w14:solidFill>
          </w14:textFill>
        </w:rPr>
        <w:t>评</w:t>
      </w:r>
      <w:r>
        <w:rPr>
          <w:rFonts w:hint="eastAsia" w:cs="Times New Roman"/>
          <w:b/>
          <w:bCs w:val="0"/>
          <w:color w:val="000000" w:themeColor="text1"/>
          <w:kern w:val="0"/>
          <w:sz w:val="28"/>
          <w:szCs w:val="28"/>
          <w:highlight w:val="none"/>
          <w:lang w:val="en-US" w:eastAsia="zh-CN"/>
          <w14:textFill>
            <w14:solidFill>
              <w14:schemeClr w14:val="tx1"/>
            </w14:solidFill>
          </w14:textFill>
        </w:rPr>
        <w:t>审</w:t>
      </w:r>
      <w:r>
        <w:rPr>
          <w:rFonts w:hint="default" w:ascii="Times New Roman" w:hAnsi="Times New Roman" w:eastAsia="宋体" w:cs="Times New Roman"/>
          <w:b/>
          <w:bCs w:val="0"/>
          <w:color w:val="000000" w:themeColor="text1"/>
          <w:kern w:val="0"/>
          <w:sz w:val="28"/>
          <w:szCs w:val="28"/>
          <w:highlight w:val="none"/>
          <w14:textFill>
            <w14:solidFill>
              <w14:schemeClr w14:val="tx1"/>
            </w14:solidFill>
          </w14:textFill>
        </w:rPr>
        <w:t>标准和方法</w:t>
      </w:r>
      <w:bookmarkEnd w:id="2"/>
      <w:bookmarkEnd w:id="3"/>
    </w:p>
    <w:tbl>
      <w:tblPr>
        <w:tblStyle w:val="7"/>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8"/>
        <w:gridCol w:w="723"/>
        <w:gridCol w:w="781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448" w:type="dxa"/>
            <w:noWrap w:val="0"/>
            <w:tcMar>
              <w:top w:w="0" w:type="dxa"/>
              <w:left w:w="108" w:type="dxa"/>
              <w:bottom w:w="0" w:type="dxa"/>
              <w:right w:w="108" w:type="dxa"/>
            </w:tcMar>
            <w:vAlign w:val="center"/>
          </w:tcPr>
          <w:p>
            <w:pPr>
              <w:widowControl/>
              <w:snapToGrid w:val="0"/>
              <w:spacing w:line="320" w:lineRule="exact"/>
              <w:jc w:val="center"/>
              <w:rPr>
                <w:rFonts w:hint="eastAsia" w:ascii="仿宋_GB2312" w:hAnsi="仿宋_GB2312" w:cs="仿宋_GB2312"/>
                <w:sz w:val="24"/>
              </w:rPr>
            </w:pPr>
            <w:r>
              <w:rPr>
                <w:rFonts w:hint="eastAsia" w:ascii="仿宋_GB2312" w:hAnsi="仿宋_GB2312" w:cs="仿宋_GB2312"/>
                <w:sz w:val="24"/>
              </w:rPr>
              <w:t>序号</w:t>
            </w:r>
          </w:p>
        </w:tc>
        <w:tc>
          <w:tcPr>
            <w:tcW w:w="723" w:type="dxa"/>
            <w:noWrap w:val="0"/>
            <w:tcMar>
              <w:top w:w="0" w:type="dxa"/>
              <w:left w:w="108" w:type="dxa"/>
              <w:bottom w:w="0" w:type="dxa"/>
              <w:right w:w="108" w:type="dxa"/>
            </w:tcMar>
            <w:vAlign w:val="center"/>
          </w:tcPr>
          <w:p>
            <w:pPr>
              <w:widowControl/>
              <w:snapToGrid w:val="0"/>
              <w:spacing w:line="320" w:lineRule="exact"/>
              <w:jc w:val="center"/>
              <w:rPr>
                <w:rFonts w:hint="eastAsia" w:ascii="宋体" w:hAnsi="宋体" w:cs="宋体"/>
                <w:sz w:val="24"/>
              </w:rPr>
            </w:pPr>
            <w:r>
              <w:rPr>
                <w:rFonts w:hint="eastAsia" w:ascii="宋体" w:hAnsi="宋体" w:cs="宋体"/>
                <w:sz w:val="24"/>
              </w:rPr>
              <w:t>评分内容</w:t>
            </w:r>
          </w:p>
        </w:tc>
        <w:tc>
          <w:tcPr>
            <w:tcW w:w="7813" w:type="dxa"/>
            <w:noWrap w:val="0"/>
            <w:tcMar>
              <w:top w:w="0" w:type="dxa"/>
              <w:left w:w="108" w:type="dxa"/>
              <w:bottom w:w="0" w:type="dxa"/>
              <w:right w:w="108" w:type="dxa"/>
            </w:tcMar>
            <w:vAlign w:val="center"/>
          </w:tcPr>
          <w:p>
            <w:pPr>
              <w:widowControl/>
              <w:snapToGrid w:val="0"/>
              <w:spacing w:line="320" w:lineRule="exact"/>
              <w:jc w:val="center"/>
              <w:rPr>
                <w:rFonts w:hint="eastAsia" w:ascii="宋体" w:hAnsi="宋体" w:cs="宋体"/>
                <w:sz w:val="24"/>
              </w:rPr>
            </w:pPr>
            <w:r>
              <w:rPr>
                <w:rFonts w:hint="eastAsia" w:ascii="宋体" w:hAnsi="宋体" w:cs="宋体"/>
                <w:sz w:val="24"/>
              </w:rPr>
              <w:t>评分标准</w:t>
            </w:r>
          </w:p>
        </w:tc>
        <w:tc>
          <w:tcPr>
            <w:tcW w:w="795" w:type="dxa"/>
            <w:noWrap w:val="0"/>
            <w:tcMar>
              <w:top w:w="0" w:type="dxa"/>
              <w:left w:w="108" w:type="dxa"/>
              <w:bottom w:w="0" w:type="dxa"/>
              <w:right w:w="108" w:type="dxa"/>
            </w:tcMar>
            <w:vAlign w:val="center"/>
          </w:tcPr>
          <w:p>
            <w:pPr>
              <w:widowControl/>
              <w:snapToGrid w:val="0"/>
              <w:spacing w:line="320" w:lineRule="exact"/>
              <w:jc w:val="center"/>
              <w:rPr>
                <w:rFonts w:hint="eastAsia" w:ascii="宋体" w:hAnsi="宋体" w:cs="宋体"/>
                <w:sz w:val="24"/>
              </w:rPr>
            </w:pPr>
            <w:r>
              <w:rPr>
                <w:rFonts w:hint="eastAsia" w:ascii="宋体" w:hAnsi="宋体" w:cs="宋体"/>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4" w:hRule="atLeast"/>
          <w:jc w:val="center"/>
        </w:trPr>
        <w:tc>
          <w:tcPr>
            <w:tcW w:w="448" w:type="dxa"/>
            <w:noWrap w:val="0"/>
            <w:tcMar>
              <w:top w:w="0" w:type="dxa"/>
              <w:left w:w="108" w:type="dxa"/>
              <w:bottom w:w="0" w:type="dxa"/>
              <w:right w:w="108" w:type="dxa"/>
            </w:tcMar>
            <w:vAlign w:val="center"/>
          </w:tcPr>
          <w:p>
            <w:pPr>
              <w:widowControl/>
              <w:snapToGrid w:val="0"/>
              <w:spacing w:line="320" w:lineRule="exact"/>
              <w:jc w:val="center"/>
              <w:rPr>
                <w:rFonts w:hint="eastAsia" w:ascii="仿宋_GB2312" w:hAnsi="仿宋_GB2312" w:cs="仿宋_GB2312"/>
                <w:sz w:val="24"/>
              </w:rPr>
            </w:pPr>
            <w:r>
              <w:rPr>
                <w:rFonts w:hint="eastAsia" w:ascii="仿宋_GB2312" w:hAnsi="仿宋_GB2312" w:cs="仿宋_GB2312"/>
                <w:sz w:val="24"/>
              </w:rPr>
              <w:t>1</w:t>
            </w:r>
          </w:p>
        </w:tc>
        <w:tc>
          <w:tcPr>
            <w:tcW w:w="723" w:type="dxa"/>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r>
              <w:rPr>
                <w:rFonts w:hint="eastAsia" w:ascii="宋体" w:hAnsi="宋体" w:cs="宋体"/>
                <w:sz w:val="24"/>
              </w:rPr>
              <w:t>工作方案</w:t>
            </w:r>
          </w:p>
        </w:tc>
        <w:tc>
          <w:tcPr>
            <w:tcW w:w="7813" w:type="dxa"/>
            <w:noWrap w:val="0"/>
            <w:tcMar>
              <w:top w:w="0" w:type="dxa"/>
              <w:left w:w="108" w:type="dxa"/>
              <w:bottom w:w="0" w:type="dxa"/>
              <w:right w:w="108" w:type="dxa"/>
            </w:tcMar>
            <w:vAlign w:val="top"/>
          </w:tcPr>
          <w:p>
            <w:pPr>
              <w:snapToGrid w:val="0"/>
              <w:spacing w:line="320" w:lineRule="exact"/>
              <w:jc w:val="left"/>
              <w:rPr>
                <w:rFonts w:hint="eastAsia" w:ascii="宋体" w:hAnsi="宋体" w:cs="宋体"/>
                <w:sz w:val="24"/>
              </w:rPr>
            </w:pPr>
            <w:r>
              <w:rPr>
                <w:rFonts w:hint="eastAsia" w:ascii="宋体" w:hAnsi="宋体" w:cs="宋体"/>
                <w:sz w:val="24"/>
              </w:rPr>
              <w:t>1.1飞行检查服务方案</w:t>
            </w:r>
          </w:p>
          <w:p>
            <w:pPr>
              <w:snapToGrid w:val="0"/>
              <w:spacing w:line="320" w:lineRule="exact"/>
              <w:jc w:val="left"/>
              <w:rPr>
                <w:rFonts w:hint="eastAsia" w:ascii="宋体" w:hAnsi="宋体" w:cs="宋体"/>
                <w:sz w:val="24"/>
              </w:rPr>
            </w:pPr>
            <w:r>
              <w:rPr>
                <w:rFonts w:hint="eastAsia" w:ascii="宋体" w:hAnsi="宋体" w:cs="宋体"/>
                <w:sz w:val="24"/>
              </w:rPr>
              <w:t>供应商提供的飞行检查服务方案应包含本次检查工作的全部环节和流程，工作方案应设计合理、完整、可行、针对性强。</w:t>
            </w:r>
          </w:p>
          <w:p>
            <w:pPr>
              <w:snapToGrid w:val="0"/>
              <w:spacing w:line="320" w:lineRule="exact"/>
              <w:jc w:val="left"/>
              <w:rPr>
                <w:rFonts w:hint="eastAsia" w:ascii="宋体" w:hAnsi="宋体" w:cs="宋体"/>
                <w:sz w:val="24"/>
              </w:rPr>
            </w:pPr>
            <w:r>
              <w:rPr>
                <w:rFonts w:hint="eastAsia" w:ascii="宋体" w:hAnsi="宋体" w:cs="宋体"/>
                <w:sz w:val="24"/>
              </w:rPr>
              <w:t>方案制定详细完整、目标明确，工作流程清晰，完全满足工作要求：</w:t>
            </w:r>
            <w:r>
              <w:rPr>
                <w:rFonts w:hint="eastAsia" w:ascii="宋体" w:hAnsi="宋体" w:cs="宋体"/>
                <w:sz w:val="24"/>
                <w:lang w:val="en-US" w:eastAsia="zh-CN"/>
              </w:rPr>
              <w:t>5</w:t>
            </w:r>
            <w:r>
              <w:rPr>
                <w:rFonts w:hint="eastAsia" w:ascii="宋体" w:hAnsi="宋体" w:cs="宋体"/>
                <w:sz w:val="24"/>
              </w:rPr>
              <w:t>分；方案制定比较完整、目标比较明确，工作流程比较清晰，基本满足工作要求：3分；方案制定不详细，逻辑性差，不能满足工作要求：0分。</w:t>
            </w:r>
          </w:p>
          <w:p>
            <w:pPr>
              <w:snapToGrid w:val="0"/>
              <w:spacing w:line="320" w:lineRule="exact"/>
              <w:jc w:val="left"/>
              <w:rPr>
                <w:rFonts w:hint="eastAsia" w:ascii="宋体" w:hAnsi="宋体" w:cs="宋体"/>
                <w:sz w:val="24"/>
              </w:rPr>
            </w:pPr>
            <w:r>
              <w:rPr>
                <w:rFonts w:hint="eastAsia" w:ascii="宋体" w:hAnsi="宋体" w:cs="宋体"/>
                <w:sz w:val="24"/>
              </w:rPr>
              <w:t>1.2后续服务保证措施</w:t>
            </w:r>
          </w:p>
          <w:p>
            <w:pPr>
              <w:snapToGrid w:val="0"/>
              <w:spacing w:line="320" w:lineRule="exact"/>
              <w:jc w:val="left"/>
              <w:rPr>
                <w:rFonts w:hint="eastAsia" w:ascii="宋体" w:hAnsi="宋体" w:cs="宋体"/>
                <w:sz w:val="24"/>
              </w:rPr>
            </w:pPr>
            <w:r>
              <w:rPr>
                <w:rFonts w:hint="eastAsia" w:ascii="宋体" w:hAnsi="宋体" w:cs="宋体"/>
                <w:sz w:val="24"/>
              </w:rPr>
              <w:t>对突发事件有相应的应急预案和解决措施，并有后续服务保证措施方案。</w:t>
            </w:r>
          </w:p>
          <w:p>
            <w:pPr>
              <w:snapToGrid w:val="0"/>
              <w:spacing w:line="320" w:lineRule="exact"/>
              <w:jc w:val="left"/>
              <w:rPr>
                <w:rFonts w:hint="eastAsia" w:ascii="宋体" w:hAnsi="宋体" w:cs="宋体"/>
                <w:sz w:val="24"/>
              </w:rPr>
            </w:pPr>
            <w:r>
              <w:rPr>
                <w:rFonts w:hint="eastAsia" w:ascii="宋体" w:hAnsi="宋体" w:cs="宋体"/>
                <w:sz w:val="24"/>
              </w:rPr>
              <w:t>方案制定详细完整、目标明确，工作流程清晰，完全满足工作要求：</w:t>
            </w:r>
            <w:r>
              <w:rPr>
                <w:rFonts w:hint="eastAsia" w:ascii="宋体" w:hAnsi="宋体" w:cs="宋体"/>
                <w:sz w:val="24"/>
                <w:lang w:val="en-US" w:eastAsia="zh-CN"/>
              </w:rPr>
              <w:t>5</w:t>
            </w:r>
            <w:r>
              <w:rPr>
                <w:rFonts w:hint="eastAsia" w:ascii="宋体" w:hAnsi="宋体" w:cs="宋体"/>
                <w:sz w:val="24"/>
              </w:rPr>
              <w:t>分；方案制定比较完整、目标比较明确，工作流程比较清晰，基本满足工作要求：3分；方案制定不详细，逻辑性差，不能满足工作要求：0分。</w:t>
            </w:r>
          </w:p>
          <w:p>
            <w:pPr>
              <w:snapToGrid w:val="0"/>
              <w:spacing w:line="320" w:lineRule="exact"/>
              <w:jc w:val="left"/>
              <w:rPr>
                <w:rFonts w:hint="eastAsia" w:ascii="宋体" w:hAnsi="宋体" w:cs="宋体"/>
                <w:sz w:val="24"/>
              </w:rPr>
            </w:pPr>
            <w:r>
              <w:rPr>
                <w:rFonts w:hint="eastAsia" w:ascii="宋体" w:hAnsi="宋体" w:cs="宋体"/>
                <w:sz w:val="24"/>
              </w:rPr>
              <w:t>1.3数据分析应用方案</w:t>
            </w:r>
          </w:p>
          <w:p>
            <w:pPr>
              <w:snapToGrid w:val="0"/>
              <w:spacing w:line="320" w:lineRule="exact"/>
              <w:jc w:val="left"/>
              <w:rPr>
                <w:rFonts w:hint="eastAsia" w:ascii="宋体" w:hAnsi="宋体" w:cs="宋体"/>
                <w:sz w:val="24"/>
              </w:rPr>
            </w:pPr>
            <w:r>
              <w:rPr>
                <w:rFonts w:hint="eastAsia" w:ascii="宋体" w:hAnsi="宋体" w:cs="宋体"/>
                <w:sz w:val="24"/>
              </w:rPr>
              <w:t>供应商应根据本项目服务要求，制定数据分析应用方案，按照飞行检查数据需求，提取医院端、药店端数据，并对所提取数据进行验证，确保数据准确完整，分析全面有效，助力现场检查工作开展。</w:t>
            </w:r>
          </w:p>
          <w:p>
            <w:pPr>
              <w:snapToGrid w:val="0"/>
              <w:spacing w:line="320" w:lineRule="exact"/>
              <w:jc w:val="left"/>
              <w:rPr>
                <w:rFonts w:hint="eastAsia" w:ascii="宋体" w:hAnsi="宋体" w:cs="宋体"/>
                <w:sz w:val="24"/>
              </w:rPr>
            </w:pPr>
            <w:r>
              <w:rPr>
                <w:rFonts w:hint="eastAsia" w:ascii="宋体" w:hAnsi="宋体" w:cs="宋体"/>
                <w:sz w:val="24"/>
              </w:rPr>
              <w:t>方案制定详细完整、目标明确，工作流程清晰，完全满足工作要求：</w:t>
            </w:r>
            <w:r>
              <w:rPr>
                <w:rFonts w:hint="eastAsia" w:ascii="宋体" w:hAnsi="宋体" w:cs="宋体"/>
                <w:sz w:val="24"/>
                <w:lang w:val="en-US" w:eastAsia="zh-CN"/>
              </w:rPr>
              <w:t>5</w:t>
            </w:r>
            <w:r>
              <w:rPr>
                <w:rFonts w:hint="eastAsia" w:ascii="宋体" w:hAnsi="宋体" w:cs="宋体"/>
                <w:sz w:val="24"/>
              </w:rPr>
              <w:t>分；方案制定比较完整、目标比较明确，工作流程比较清晰，基本满足工作要求：3分；方案制定不详细，逻辑性差，不能满足工作要求：0分。</w:t>
            </w:r>
          </w:p>
          <w:p>
            <w:pPr>
              <w:snapToGrid w:val="0"/>
              <w:spacing w:line="320" w:lineRule="exact"/>
              <w:jc w:val="left"/>
              <w:rPr>
                <w:rFonts w:hint="eastAsia" w:ascii="宋体" w:hAnsi="宋体" w:cs="宋体"/>
                <w:sz w:val="24"/>
              </w:rPr>
            </w:pPr>
            <w:r>
              <w:rPr>
                <w:rFonts w:hint="eastAsia" w:ascii="宋体" w:hAnsi="宋体" w:cs="宋体"/>
                <w:sz w:val="24"/>
              </w:rPr>
              <w:t>1.4安全保密控制方案</w:t>
            </w:r>
          </w:p>
          <w:p>
            <w:pPr>
              <w:snapToGrid w:val="0"/>
              <w:spacing w:line="320" w:lineRule="exact"/>
              <w:jc w:val="left"/>
              <w:rPr>
                <w:rFonts w:hint="eastAsia" w:ascii="宋体" w:hAnsi="宋体" w:cs="宋体"/>
                <w:sz w:val="24"/>
              </w:rPr>
            </w:pPr>
            <w:r>
              <w:rPr>
                <w:rFonts w:hint="eastAsia" w:ascii="宋体" w:hAnsi="宋体" w:cs="宋体"/>
                <w:sz w:val="24"/>
              </w:rPr>
              <w:t>方案制定详细完整、目标明确，工作流程清晰，完全满足工作要求：</w:t>
            </w:r>
            <w:r>
              <w:rPr>
                <w:rFonts w:hint="eastAsia" w:ascii="宋体" w:hAnsi="宋体" w:cs="宋体"/>
                <w:sz w:val="24"/>
                <w:lang w:val="en-US" w:eastAsia="zh-CN"/>
              </w:rPr>
              <w:t>5</w:t>
            </w:r>
            <w:r>
              <w:rPr>
                <w:rFonts w:hint="eastAsia" w:ascii="宋体" w:hAnsi="宋体" w:cs="宋体"/>
                <w:sz w:val="24"/>
              </w:rPr>
              <w:t>分；方案制定比较完整、目标比较明确，工作流程比较清晰，基本满足工作要求：3分；方案制定不详细，逻辑性差，不能满足工作要求：0分。</w:t>
            </w:r>
          </w:p>
          <w:p>
            <w:pPr>
              <w:snapToGrid w:val="0"/>
              <w:spacing w:line="320" w:lineRule="exact"/>
              <w:jc w:val="left"/>
              <w:rPr>
                <w:rFonts w:hint="eastAsia" w:ascii="宋体" w:hAnsi="宋体" w:cs="宋体"/>
                <w:sz w:val="24"/>
              </w:rPr>
            </w:pPr>
            <w:r>
              <w:rPr>
                <w:rFonts w:hint="eastAsia" w:ascii="宋体" w:hAnsi="宋体" w:cs="宋体"/>
                <w:sz w:val="24"/>
              </w:rPr>
              <w:t>本项目满分20分。</w:t>
            </w:r>
          </w:p>
        </w:tc>
        <w:tc>
          <w:tcPr>
            <w:tcW w:w="795" w:type="dxa"/>
            <w:noWrap w:val="0"/>
            <w:tcMar>
              <w:top w:w="0" w:type="dxa"/>
              <w:left w:w="108" w:type="dxa"/>
              <w:bottom w:w="0" w:type="dxa"/>
              <w:right w:w="108" w:type="dxa"/>
            </w:tcMar>
            <w:vAlign w:val="center"/>
          </w:tcPr>
          <w:p>
            <w:pPr>
              <w:widowControl/>
              <w:snapToGrid w:val="0"/>
              <w:spacing w:line="320" w:lineRule="exact"/>
              <w:jc w:val="center"/>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5" w:hRule="atLeast"/>
          <w:jc w:val="center"/>
        </w:trPr>
        <w:tc>
          <w:tcPr>
            <w:tcW w:w="448" w:type="dxa"/>
            <w:vMerge w:val="restart"/>
            <w:noWrap w:val="0"/>
            <w:tcMar>
              <w:top w:w="0" w:type="dxa"/>
              <w:left w:w="108" w:type="dxa"/>
              <w:bottom w:w="0" w:type="dxa"/>
              <w:right w:w="108" w:type="dxa"/>
            </w:tcMar>
            <w:vAlign w:val="center"/>
          </w:tcPr>
          <w:p>
            <w:pPr>
              <w:snapToGrid w:val="0"/>
              <w:spacing w:line="320" w:lineRule="exact"/>
              <w:jc w:val="center"/>
              <w:rPr>
                <w:rFonts w:hint="eastAsia" w:ascii="仿宋_GB2312" w:hAnsi="仿宋_GB2312" w:cs="仿宋_GB2312"/>
                <w:sz w:val="24"/>
              </w:rPr>
            </w:pPr>
            <w:r>
              <w:rPr>
                <w:rFonts w:hint="eastAsia" w:ascii="仿宋_GB2312" w:hAnsi="仿宋_GB2312" w:cs="仿宋_GB2312"/>
                <w:sz w:val="24"/>
              </w:rPr>
              <w:t>2</w:t>
            </w:r>
          </w:p>
        </w:tc>
        <w:tc>
          <w:tcPr>
            <w:tcW w:w="723" w:type="dxa"/>
            <w:vMerge w:val="restart"/>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r>
              <w:rPr>
                <w:rFonts w:hint="eastAsia" w:ascii="宋体" w:hAnsi="宋体" w:cs="宋体"/>
                <w:sz w:val="24"/>
              </w:rPr>
              <w:t>人员配备</w:t>
            </w:r>
          </w:p>
        </w:tc>
        <w:tc>
          <w:tcPr>
            <w:tcW w:w="7813" w:type="dxa"/>
            <w:noWrap w:val="0"/>
            <w:tcMar>
              <w:top w:w="0" w:type="dxa"/>
              <w:left w:w="108" w:type="dxa"/>
              <w:bottom w:w="0" w:type="dxa"/>
              <w:right w:w="108" w:type="dxa"/>
            </w:tcMar>
            <w:vAlign w:val="center"/>
          </w:tcPr>
          <w:p>
            <w:pPr>
              <w:widowControl/>
              <w:snapToGrid/>
              <w:spacing w:line="240" w:lineRule="auto"/>
              <w:jc w:val="left"/>
              <w:rPr>
                <w:rFonts w:hint="eastAsia" w:ascii="宋体" w:hAnsi="宋体" w:cs="宋体"/>
                <w:sz w:val="24"/>
              </w:rPr>
            </w:pPr>
            <w:r>
              <w:rPr>
                <w:rFonts w:hint="eastAsia" w:ascii="宋体" w:hAnsi="宋体" w:cs="宋体"/>
                <w:sz w:val="24"/>
              </w:rPr>
              <w:t>1.供应商（含其所辖分支机构、分公司、全资子公司）为本项目安排具有丰富行业工作经验，具有定点医疗机构（不含村卫生室）医保基金监督检查、飞行检查、审计服务经验，每提供1名</w:t>
            </w:r>
            <w:r>
              <w:rPr>
                <w:rFonts w:ascii="宋体" w:hAnsi="宋体" w:eastAsia="宋体" w:cs="宋体"/>
                <w:kern w:val="0"/>
                <w:sz w:val="24"/>
                <w:szCs w:val="24"/>
                <w:lang w:val="en-US" w:eastAsia="zh-CN" w:bidi="ar"/>
              </w:rPr>
              <w:t>参与飞行检查项目的人员</w:t>
            </w:r>
            <w:r>
              <w:rPr>
                <w:rFonts w:hint="eastAsia" w:ascii="宋体" w:hAnsi="宋体" w:cs="宋体"/>
                <w:sz w:val="24"/>
              </w:rPr>
              <w:t>或同等级监督检查、审计服务经验的人员，得</w:t>
            </w:r>
            <w:r>
              <w:rPr>
                <w:rFonts w:hint="eastAsia" w:ascii="宋体" w:hAnsi="宋体" w:cs="宋体"/>
                <w:sz w:val="24"/>
                <w:lang w:val="en-US" w:eastAsia="zh-CN"/>
              </w:rPr>
              <w:t>2</w:t>
            </w:r>
            <w:r>
              <w:rPr>
                <w:rFonts w:hint="eastAsia" w:ascii="宋体" w:hAnsi="宋体" w:cs="宋体"/>
                <w:sz w:val="24"/>
              </w:rPr>
              <w:t>分，</w:t>
            </w:r>
            <w:r>
              <w:rPr>
                <w:rFonts w:ascii="宋体" w:hAnsi="宋体" w:eastAsia="宋体" w:cs="宋体"/>
                <w:kern w:val="0"/>
                <w:sz w:val="24"/>
                <w:szCs w:val="24"/>
                <w:lang w:val="en-US" w:eastAsia="zh-CN" w:bidi="ar"/>
              </w:rPr>
              <w:t>每提供1名参与其它医保基金现场监督检查</w:t>
            </w:r>
            <w:r>
              <w:rPr>
                <w:rFonts w:hint="eastAsia" w:ascii="宋体" w:hAnsi="宋体" w:eastAsia="宋体" w:cs="宋体"/>
                <w:kern w:val="0"/>
                <w:sz w:val="24"/>
                <w:szCs w:val="24"/>
                <w:lang w:val="en-US" w:eastAsia="zh-CN" w:bidi="ar"/>
              </w:rPr>
              <w:t>等</w:t>
            </w:r>
            <w:r>
              <w:rPr>
                <w:rFonts w:ascii="宋体" w:hAnsi="宋体" w:eastAsia="宋体" w:cs="宋体"/>
                <w:kern w:val="0"/>
                <w:sz w:val="24"/>
                <w:szCs w:val="24"/>
                <w:lang w:val="en-US" w:eastAsia="zh-CN" w:bidi="ar"/>
              </w:rPr>
              <w:t>服务项目的人员，得1分，</w:t>
            </w:r>
            <w:r>
              <w:rPr>
                <w:rFonts w:hint="eastAsia" w:ascii="宋体" w:hAnsi="宋体" w:cs="宋体"/>
                <w:sz w:val="24"/>
              </w:rPr>
              <w:t>最高得1</w:t>
            </w:r>
            <w:r>
              <w:rPr>
                <w:rFonts w:hint="eastAsia" w:ascii="宋体" w:hAnsi="宋体" w:cs="宋体"/>
                <w:sz w:val="24"/>
                <w:lang w:val="en-US" w:eastAsia="zh-CN"/>
              </w:rPr>
              <w:t>6</w:t>
            </w:r>
            <w:r>
              <w:rPr>
                <w:rFonts w:hint="eastAsia" w:ascii="宋体" w:hAnsi="宋体" w:cs="宋体"/>
                <w:sz w:val="24"/>
              </w:rPr>
              <w:t>分，相同人员不重复计分。</w:t>
            </w:r>
          </w:p>
          <w:p>
            <w:pPr>
              <w:widowControl/>
              <w:snapToGrid/>
              <w:spacing w:line="240" w:lineRule="auto"/>
              <w:jc w:val="left"/>
              <w:rPr>
                <w:rFonts w:hint="eastAsia" w:ascii="宋体" w:hAnsi="宋体" w:cs="宋体"/>
                <w:sz w:val="24"/>
              </w:rPr>
            </w:pPr>
            <w:r>
              <w:rPr>
                <w:rFonts w:hint="eastAsia" w:ascii="宋体" w:hAnsi="宋体" w:cs="宋体"/>
                <w:sz w:val="24"/>
              </w:rPr>
              <w:t>（需提供《项目负责人简历表》及相关人员劳动合同、2023年6月至今在供应商（含其所辖分支机构、分公司、全资子公司）缴纳社保证明或税务证明和所在单位出具加盖单位公章的证明材料。）</w:t>
            </w:r>
          </w:p>
        </w:tc>
        <w:tc>
          <w:tcPr>
            <w:tcW w:w="795" w:type="dxa"/>
            <w:vMerge w:val="restart"/>
            <w:noWrap w:val="0"/>
            <w:tcMar>
              <w:top w:w="0" w:type="dxa"/>
              <w:left w:w="108" w:type="dxa"/>
              <w:bottom w:w="0" w:type="dxa"/>
              <w:right w:w="108" w:type="dxa"/>
            </w:tcMar>
            <w:vAlign w:val="center"/>
          </w:tcPr>
          <w:p>
            <w:pPr>
              <w:snapToGrid w:val="0"/>
              <w:spacing w:line="320" w:lineRule="exact"/>
              <w:jc w:val="center"/>
              <w:rPr>
                <w:rFonts w:hint="default" w:ascii="宋体" w:hAnsi="宋体" w:eastAsia="宋体" w:cs="宋体"/>
                <w:sz w:val="24"/>
                <w:lang w:val="en-US" w:eastAsia="zh-CN"/>
              </w:rPr>
            </w:pPr>
            <w:r>
              <w:rPr>
                <w:rFonts w:hint="eastAsia" w:ascii="宋体" w:hAnsi="宋体" w:cs="宋体"/>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3" w:hRule="atLeast"/>
          <w:jc w:val="center"/>
        </w:trPr>
        <w:tc>
          <w:tcPr>
            <w:tcW w:w="448" w:type="dxa"/>
            <w:vMerge w:val="continue"/>
            <w:noWrap w:val="0"/>
            <w:tcMar>
              <w:top w:w="0" w:type="dxa"/>
              <w:left w:w="108" w:type="dxa"/>
              <w:bottom w:w="0" w:type="dxa"/>
              <w:right w:w="108" w:type="dxa"/>
            </w:tcMar>
            <w:vAlign w:val="center"/>
          </w:tcPr>
          <w:p>
            <w:pPr>
              <w:snapToGrid w:val="0"/>
              <w:spacing w:line="320" w:lineRule="exact"/>
              <w:jc w:val="center"/>
              <w:rPr>
                <w:rFonts w:hint="eastAsia" w:ascii="仿宋_GB2312" w:hAnsi="仿宋_GB2312" w:cs="仿宋_GB2312"/>
                <w:sz w:val="24"/>
              </w:rPr>
            </w:pPr>
          </w:p>
        </w:tc>
        <w:tc>
          <w:tcPr>
            <w:tcW w:w="723" w:type="dxa"/>
            <w:vMerge w:val="continue"/>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p>
        </w:tc>
        <w:tc>
          <w:tcPr>
            <w:tcW w:w="7813" w:type="dxa"/>
            <w:noWrap w:val="0"/>
            <w:tcMar>
              <w:top w:w="0" w:type="dxa"/>
              <w:left w:w="108" w:type="dxa"/>
              <w:bottom w:w="0" w:type="dxa"/>
              <w:right w:w="108" w:type="dxa"/>
            </w:tcMar>
            <w:vAlign w:val="top"/>
          </w:tcPr>
          <w:p>
            <w:pPr>
              <w:spacing w:line="320" w:lineRule="exact"/>
              <w:contextualSpacing/>
              <w:rPr>
                <w:rFonts w:hint="eastAsia" w:ascii="宋体" w:hAnsi="宋体" w:cs="宋体"/>
                <w:sz w:val="24"/>
              </w:rPr>
            </w:pPr>
            <w:r>
              <w:rPr>
                <w:rFonts w:hint="eastAsia" w:ascii="宋体" w:hAnsi="宋体" w:cs="宋体"/>
                <w:sz w:val="24"/>
              </w:rPr>
              <w:t>2.供应商（含其所辖分支机构、分公司、全资子公司）根据本项目组建的项目团队需包含本科及以上学历的医药、财务会计、计算机或信息相关专业人员并提供相关资质证明材料。具体得分如下：</w:t>
            </w:r>
          </w:p>
          <w:p>
            <w:pPr>
              <w:spacing w:line="320" w:lineRule="exact"/>
              <w:ind w:firstLine="480" w:firstLineChars="200"/>
              <w:contextualSpacing/>
              <w:rPr>
                <w:rFonts w:hint="eastAsia" w:ascii="宋体" w:hAnsi="宋体" w:cs="宋体"/>
                <w:sz w:val="24"/>
              </w:rPr>
            </w:pPr>
            <w:r>
              <w:rPr>
                <w:rFonts w:hint="eastAsia" w:ascii="宋体" w:hAnsi="宋体" w:cs="宋体"/>
                <w:sz w:val="24"/>
              </w:rPr>
              <w:t>（1）团队成员具有医疗相关专业本科及以上学历的，每1名得1分，最高得4分；医学、药学相关专业中级及以上职称，每1名得1分，最高得4分。</w:t>
            </w:r>
          </w:p>
          <w:p>
            <w:pPr>
              <w:widowControl/>
              <w:spacing w:line="320" w:lineRule="exact"/>
              <w:ind w:firstLine="480" w:firstLineChars="200"/>
              <w:contextualSpacing/>
              <w:rPr>
                <w:rFonts w:hint="eastAsia" w:ascii="宋体" w:hAnsi="宋体" w:cs="宋体"/>
                <w:sz w:val="24"/>
              </w:rPr>
            </w:pPr>
            <w:r>
              <w:rPr>
                <w:rFonts w:hint="eastAsia" w:ascii="宋体" w:hAnsi="宋体" w:cs="宋体"/>
                <w:sz w:val="24"/>
              </w:rPr>
              <w:t>（2）团队成员具有财务会计相关专业本科及以上学历的，每1名1得分，最高得4分；财务会计专业中级及以上职称（含注册会计师），</w:t>
            </w:r>
            <w:r>
              <w:rPr>
                <w:rFonts w:hint="eastAsia" w:ascii="宋体" w:hAnsi="宋体" w:cs="宋体"/>
                <w:sz w:val="24"/>
                <w:szCs w:val="20"/>
                <w:lang w:bidi="ar"/>
              </w:rPr>
              <w:t>每1名得 1 分，</w:t>
            </w:r>
            <w:r>
              <w:rPr>
                <w:rFonts w:hint="eastAsia" w:ascii="宋体" w:hAnsi="宋体" w:cs="宋体"/>
                <w:sz w:val="24"/>
              </w:rPr>
              <w:t>最高得4分。</w:t>
            </w:r>
          </w:p>
          <w:p>
            <w:pPr>
              <w:widowControl/>
              <w:spacing w:line="320" w:lineRule="exact"/>
              <w:ind w:firstLine="480" w:firstLineChars="200"/>
              <w:contextualSpacing/>
              <w:rPr>
                <w:rFonts w:hint="eastAsia" w:ascii="宋体" w:hAnsi="宋体" w:cs="宋体"/>
                <w:sz w:val="24"/>
              </w:rPr>
            </w:pPr>
            <w:r>
              <w:rPr>
                <w:rFonts w:hint="eastAsia" w:ascii="宋体" w:hAnsi="宋体" w:cs="宋体"/>
                <w:sz w:val="24"/>
              </w:rPr>
              <w:t>（3）团队成员具有计算机、信息类专业本科及以上学历的，每1名得1分，最高得4分；计算机、信息类专业中级及以上职称，</w:t>
            </w:r>
            <w:r>
              <w:rPr>
                <w:rFonts w:hint="eastAsia" w:ascii="宋体" w:hAnsi="宋体" w:cs="宋体"/>
                <w:sz w:val="24"/>
                <w:szCs w:val="20"/>
                <w:lang w:bidi="ar"/>
              </w:rPr>
              <w:t>每1名得 1 分；</w:t>
            </w:r>
            <w:r>
              <w:rPr>
                <w:rFonts w:hint="eastAsia" w:ascii="宋体" w:hAnsi="宋体" w:cs="宋体"/>
                <w:sz w:val="24"/>
              </w:rPr>
              <w:t>最高得4分。</w:t>
            </w:r>
          </w:p>
          <w:p>
            <w:pPr>
              <w:snapToGrid w:val="0"/>
              <w:spacing w:line="320" w:lineRule="exact"/>
              <w:rPr>
                <w:rFonts w:hint="eastAsia" w:ascii="宋体" w:hAnsi="宋体" w:cs="宋体"/>
                <w:sz w:val="24"/>
              </w:rPr>
            </w:pPr>
            <w:r>
              <w:rPr>
                <w:rFonts w:hint="eastAsia" w:ascii="宋体" w:hAnsi="宋体" w:cs="宋体"/>
                <w:sz w:val="24"/>
              </w:rPr>
              <w:t>本项目满分24分，相同人员不重复计分。</w:t>
            </w:r>
          </w:p>
          <w:p>
            <w:pPr>
              <w:snapToGrid w:val="0"/>
              <w:spacing w:line="320" w:lineRule="exact"/>
              <w:rPr>
                <w:rFonts w:hint="eastAsia" w:ascii="宋体" w:hAnsi="宋体" w:cs="宋体"/>
                <w:sz w:val="24"/>
              </w:rPr>
            </w:pPr>
            <w:r>
              <w:rPr>
                <w:rFonts w:hint="eastAsia" w:ascii="宋体" w:hAnsi="宋体" w:cs="宋体"/>
                <w:sz w:val="24"/>
              </w:rPr>
              <w:t>（需提供相关人员劳动合同或其本人2023年10月至今在供应商（含其所辖分支机构、分公司、全资子公司）缴纳社保缴纳证明材料或税务证明。）</w:t>
            </w:r>
          </w:p>
        </w:tc>
        <w:tc>
          <w:tcPr>
            <w:tcW w:w="795" w:type="dxa"/>
            <w:vMerge w:val="continue"/>
            <w:noWrap w:val="0"/>
            <w:tcMar>
              <w:top w:w="0" w:type="dxa"/>
              <w:left w:w="108" w:type="dxa"/>
              <w:bottom w:w="0" w:type="dxa"/>
              <w:right w:w="108" w:type="dxa"/>
            </w:tcMar>
            <w:vAlign w:val="center"/>
          </w:tcPr>
          <w:p>
            <w:pPr>
              <w:snapToGrid w:val="0"/>
              <w:spacing w:line="3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5" w:hRule="atLeast"/>
          <w:jc w:val="center"/>
        </w:trPr>
        <w:tc>
          <w:tcPr>
            <w:tcW w:w="448" w:type="dxa"/>
            <w:noWrap w:val="0"/>
            <w:tcMar>
              <w:top w:w="0" w:type="dxa"/>
              <w:left w:w="108" w:type="dxa"/>
              <w:bottom w:w="0" w:type="dxa"/>
              <w:right w:w="108" w:type="dxa"/>
            </w:tcMar>
            <w:vAlign w:val="center"/>
          </w:tcPr>
          <w:p>
            <w:pPr>
              <w:widowControl/>
              <w:snapToGrid w:val="0"/>
              <w:spacing w:line="320" w:lineRule="exact"/>
              <w:jc w:val="center"/>
              <w:rPr>
                <w:rFonts w:hint="eastAsia" w:ascii="仿宋_GB2312" w:hAnsi="仿宋_GB2312" w:cs="仿宋_GB2312"/>
                <w:sz w:val="24"/>
              </w:rPr>
            </w:pPr>
            <w:bookmarkStart w:id="4" w:name="_GoBack" w:colFirst="1" w:colLast="2"/>
            <w:r>
              <w:rPr>
                <w:rFonts w:hint="eastAsia" w:ascii="仿宋_GB2312" w:hAnsi="仿宋_GB2312" w:cs="仿宋_GB2312"/>
                <w:sz w:val="24"/>
              </w:rPr>
              <w:t>3</w:t>
            </w:r>
          </w:p>
        </w:tc>
        <w:tc>
          <w:tcPr>
            <w:tcW w:w="723" w:type="dxa"/>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r>
              <w:rPr>
                <w:rFonts w:hint="eastAsia" w:ascii="宋体" w:hAnsi="宋体" w:cs="宋体"/>
                <w:sz w:val="24"/>
              </w:rPr>
              <w:t>相关工作经验</w:t>
            </w:r>
          </w:p>
        </w:tc>
        <w:tc>
          <w:tcPr>
            <w:tcW w:w="7813" w:type="dxa"/>
            <w:noWrap w:val="0"/>
            <w:tcMar>
              <w:top w:w="0" w:type="dxa"/>
              <w:left w:w="108" w:type="dxa"/>
              <w:bottom w:w="0" w:type="dxa"/>
              <w:right w:w="108" w:type="dxa"/>
            </w:tcMar>
            <w:vAlign w:val="top"/>
          </w:tcPr>
          <w:p>
            <w:pPr>
              <w:widowControl/>
              <w:snapToGrid w:val="0"/>
              <w:spacing w:line="320" w:lineRule="exact"/>
              <w:jc w:val="both"/>
              <w:rPr>
                <w:rFonts w:hint="eastAsia" w:ascii="宋体" w:hAnsi="宋体" w:cs="宋体"/>
                <w:sz w:val="24"/>
              </w:rPr>
            </w:pPr>
            <w:r>
              <w:rPr>
                <w:rFonts w:hint="eastAsia" w:ascii="宋体" w:hAnsi="宋体" w:eastAsia="宋体" w:cs="宋体"/>
                <w:color w:val="000000" w:themeColor="text1"/>
                <w:sz w:val="24"/>
                <w:lang w:val="en-US" w:eastAsia="zh-CN"/>
                <w14:textFill>
                  <w14:solidFill>
                    <w14:schemeClr w14:val="tx1"/>
                  </w14:solidFill>
                </w14:textFill>
              </w:rPr>
              <w:t>2020年1月至今</w:t>
            </w:r>
            <w:r>
              <w:rPr>
                <w:rFonts w:hint="eastAsia" w:ascii="宋体" w:hAnsi="宋体" w:eastAsia="宋体" w:cs="宋体"/>
                <w:color w:val="000000" w:themeColor="text1"/>
                <w:sz w:val="24"/>
                <w14:textFill>
                  <w14:solidFill>
                    <w14:schemeClr w14:val="tx1"/>
                  </w14:solidFill>
                </w14:textFill>
              </w:rPr>
              <w:t>供应商（含其所辖分支机构、分公司、全资子公司）具有</w:t>
            </w:r>
            <w:r>
              <w:rPr>
                <w:rFonts w:hint="eastAsia" w:ascii="宋体" w:hAnsi="宋体" w:cs="宋体"/>
                <w:color w:val="000000" w:themeColor="text1"/>
                <w:sz w:val="24"/>
                <w:lang w:eastAsia="zh-CN"/>
                <w14:textFill>
                  <w14:solidFill>
                    <w14:schemeClr w14:val="tx1"/>
                  </w14:solidFill>
                </w14:textFill>
              </w:rPr>
              <w:t>已完成</w:t>
            </w:r>
            <w:r>
              <w:rPr>
                <w:rFonts w:hint="eastAsia" w:ascii="宋体" w:hAnsi="宋体" w:eastAsia="宋体" w:cs="宋体"/>
                <w:color w:val="000000" w:themeColor="text1"/>
                <w:sz w:val="24"/>
                <w:lang w:eastAsia="zh-CN"/>
                <w14:textFill>
                  <w14:solidFill>
                    <w14:schemeClr w14:val="tx1"/>
                  </w14:solidFill>
                </w14:textFill>
              </w:rPr>
              <w:t>定点医疗机构医保基金</w:t>
            </w:r>
            <w:r>
              <w:rPr>
                <w:rFonts w:hint="eastAsia" w:ascii="宋体" w:hAnsi="宋体" w:eastAsia="宋体" w:cs="宋体"/>
                <w:color w:val="000000" w:themeColor="text1"/>
                <w:sz w:val="24"/>
                <w14:textFill>
                  <w14:solidFill>
                    <w14:schemeClr w14:val="tx1"/>
                  </w14:solidFill>
                </w14:textFill>
              </w:rPr>
              <w:t>专项</w:t>
            </w:r>
            <w:r>
              <w:rPr>
                <w:rFonts w:hint="eastAsia" w:ascii="宋体" w:hAnsi="宋体" w:eastAsia="宋体" w:cs="宋体"/>
                <w:color w:val="000000" w:themeColor="text1"/>
                <w:sz w:val="24"/>
                <w:lang w:eastAsia="zh-CN"/>
                <w14:textFill>
                  <w14:solidFill>
                    <w14:schemeClr w14:val="tx1"/>
                  </w14:solidFill>
                </w14:textFill>
              </w:rPr>
              <w:t>检查、</w:t>
            </w:r>
            <w:r>
              <w:rPr>
                <w:rFonts w:hint="eastAsia" w:ascii="宋体" w:hAnsi="宋体" w:cs="宋体"/>
                <w:color w:val="000000" w:themeColor="text1"/>
                <w:sz w:val="24"/>
                <w:lang w:eastAsia="zh-CN"/>
                <w14:textFill>
                  <w14:solidFill>
                    <w14:schemeClr w14:val="tx1"/>
                  </w14:solidFill>
                </w14:textFill>
              </w:rPr>
              <w:t>线索核查、</w:t>
            </w:r>
            <w:r>
              <w:rPr>
                <w:rFonts w:hint="eastAsia" w:ascii="宋体" w:hAnsi="宋体" w:eastAsia="宋体" w:cs="宋体"/>
                <w:color w:val="000000" w:themeColor="text1"/>
                <w:sz w:val="24"/>
                <w:lang w:eastAsia="zh-CN"/>
                <w14:textFill>
                  <w14:solidFill>
                    <w14:schemeClr w14:val="tx1"/>
                  </w14:solidFill>
                </w14:textFill>
              </w:rPr>
              <w:t>飞行</w:t>
            </w:r>
            <w:r>
              <w:rPr>
                <w:rFonts w:hint="eastAsia" w:ascii="宋体" w:hAnsi="宋体" w:eastAsia="宋体" w:cs="宋体"/>
                <w:color w:val="000000" w:themeColor="text1"/>
                <w:sz w:val="24"/>
                <w14:textFill>
                  <w14:solidFill>
                    <w14:schemeClr w14:val="tx1"/>
                  </w14:solidFill>
                </w14:textFill>
              </w:rPr>
              <w:t>检查</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审计服务</w:t>
            </w:r>
            <w:r>
              <w:rPr>
                <w:rFonts w:hint="eastAsia" w:ascii="宋体" w:hAnsi="宋体" w:eastAsia="宋体" w:cs="宋体"/>
                <w:color w:val="000000" w:themeColor="text1"/>
                <w:sz w:val="24"/>
                <w:lang w:eastAsia="zh-CN"/>
                <w14:textFill>
                  <w14:solidFill>
                    <w14:schemeClr w14:val="tx1"/>
                  </w14:solidFill>
                </w14:textFill>
              </w:rPr>
              <w:t>等相关</w:t>
            </w:r>
            <w:r>
              <w:rPr>
                <w:rFonts w:hint="eastAsia" w:ascii="宋体" w:hAnsi="宋体" w:eastAsia="宋体" w:cs="宋体"/>
                <w:color w:val="000000" w:themeColor="text1"/>
                <w:sz w:val="24"/>
                <w14:textFill>
                  <w14:solidFill>
                    <w14:schemeClr w14:val="tx1"/>
                  </w14:solidFill>
                </w14:textFill>
              </w:rPr>
              <w:t>经验</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每</w:t>
            </w:r>
            <w:r>
              <w:rPr>
                <w:rFonts w:hint="eastAsia" w:ascii="宋体" w:hAnsi="宋体" w:eastAsia="宋体" w:cs="宋体"/>
                <w:color w:val="000000" w:themeColor="text1"/>
                <w:sz w:val="24"/>
                <w:szCs w:val="24"/>
                <w:lang w:eastAsia="zh-CN"/>
                <w14:textFill>
                  <w14:solidFill>
                    <w14:schemeClr w14:val="tx1"/>
                  </w14:solidFill>
                </w14:textFill>
              </w:rPr>
              <w:t>有</w:t>
            </w:r>
            <w:r>
              <w:rPr>
                <w:rFonts w:hint="eastAsia" w:ascii="宋体" w:hAnsi="宋体" w:eastAsia="宋体" w:cs="宋体"/>
                <w:color w:val="000000" w:themeColor="text1"/>
                <w:sz w:val="24"/>
                <w:szCs w:val="24"/>
                <w14:textFill>
                  <w14:solidFill>
                    <w14:schemeClr w14:val="tx1"/>
                  </w14:solidFill>
                </w14:textFill>
              </w:rPr>
              <w:t>一个国家</w:t>
            </w:r>
            <w:r>
              <w:rPr>
                <w:rFonts w:hint="eastAsia" w:ascii="宋体" w:hAnsi="宋体" w:eastAsia="宋体" w:cs="宋体"/>
                <w:color w:val="000000" w:themeColor="text1"/>
                <w:sz w:val="24"/>
                <w:szCs w:val="24"/>
                <w:lang w:eastAsia="zh-CN"/>
                <w14:textFill>
                  <w14:solidFill>
                    <w14:schemeClr w14:val="tx1"/>
                  </w14:solidFill>
                </w14:textFill>
              </w:rPr>
              <w:t>级项目经验</w:t>
            </w:r>
            <w:r>
              <w:rPr>
                <w:rFonts w:hint="eastAsia" w:ascii="宋体" w:hAnsi="宋体" w:eastAsia="宋体" w:cs="宋体"/>
                <w:color w:val="000000" w:themeColor="text1"/>
                <w:sz w:val="24"/>
                <w:szCs w:val="24"/>
                <w14:textFill>
                  <w14:solidFill>
                    <w14:schemeClr w14:val="tx1"/>
                  </w14:solidFill>
                </w14:textFill>
              </w:rPr>
              <w:t>得</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分，每</w:t>
            </w:r>
            <w:r>
              <w:rPr>
                <w:rFonts w:hint="eastAsia" w:ascii="宋体" w:hAnsi="宋体" w:eastAsia="宋体" w:cs="宋体"/>
                <w:color w:val="000000" w:themeColor="text1"/>
                <w:sz w:val="24"/>
                <w:szCs w:val="24"/>
                <w:lang w:eastAsia="zh-CN"/>
                <w14:textFill>
                  <w14:solidFill>
                    <w14:schemeClr w14:val="tx1"/>
                  </w14:solidFill>
                </w14:textFill>
              </w:rPr>
              <w:t>有</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eastAsia="zh-CN"/>
                <w14:textFill>
                  <w14:solidFill>
                    <w14:schemeClr w14:val="tx1"/>
                  </w14:solidFill>
                </w14:textFill>
              </w:rPr>
              <w:t>省</w:t>
            </w:r>
            <w:r>
              <w:rPr>
                <w:rFonts w:hint="eastAsia" w:ascii="宋体" w:hAnsi="宋体" w:eastAsia="宋体" w:cs="宋体"/>
                <w:color w:val="000000" w:themeColor="text1"/>
                <w:sz w:val="24"/>
                <w:szCs w:val="24"/>
                <w14:textFill>
                  <w14:solidFill>
                    <w14:schemeClr w14:val="tx1"/>
                  </w14:solidFill>
                </w14:textFill>
              </w:rPr>
              <w:t>级项目</w:t>
            </w:r>
            <w:r>
              <w:rPr>
                <w:rFonts w:hint="eastAsia" w:ascii="宋体" w:hAnsi="宋体" w:eastAsia="宋体" w:cs="宋体"/>
                <w:color w:val="000000" w:themeColor="text1"/>
                <w:sz w:val="24"/>
                <w:szCs w:val="24"/>
                <w:lang w:eastAsia="zh-CN"/>
                <w14:textFill>
                  <w14:solidFill>
                    <w14:schemeClr w14:val="tx1"/>
                  </w14:solidFill>
                </w14:textFill>
              </w:rPr>
              <w:t>经验</w:t>
            </w:r>
            <w:r>
              <w:rPr>
                <w:rFonts w:hint="eastAsia" w:ascii="宋体" w:hAnsi="宋体" w:eastAsia="宋体" w:cs="宋体"/>
                <w:color w:val="000000" w:themeColor="text1"/>
                <w:sz w:val="24"/>
                <w:szCs w:val="24"/>
                <w14:textFill>
                  <w14:solidFill>
                    <w14:schemeClr w14:val="tx1"/>
                  </w14:solidFill>
                </w14:textFill>
              </w:rPr>
              <w:t>得</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，每有</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个市（县）级项目得</w:t>
            </w:r>
            <w:r>
              <w:rPr>
                <w:rFonts w:hint="eastAsia" w:ascii="宋体" w:hAnsi="宋体" w:eastAsia="宋体" w:cs="宋体"/>
                <w:color w:val="000000" w:themeColor="text1"/>
                <w:sz w:val="24"/>
                <w:szCs w:val="24"/>
                <w:lang w:val="en-US" w:eastAsia="zh-CN"/>
                <w14:textFill>
                  <w14:solidFill>
                    <w14:schemeClr w14:val="tx1"/>
                  </w14:solidFill>
                </w14:textFill>
              </w:rPr>
              <w:t>1分，</w:t>
            </w:r>
            <w:r>
              <w:rPr>
                <w:rFonts w:hint="eastAsia" w:ascii="宋体" w:hAnsi="宋体" w:eastAsia="宋体" w:cs="宋体"/>
                <w:color w:val="000000" w:themeColor="text1"/>
                <w:sz w:val="24"/>
                <w:szCs w:val="24"/>
                <w14:textFill>
                  <w14:solidFill>
                    <w14:schemeClr w14:val="tx1"/>
                  </w14:solidFill>
                </w14:textFill>
              </w:rPr>
              <w:t>最高得</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14:textFill>
                  <w14:solidFill>
                    <w14:schemeClr w14:val="tx1"/>
                  </w14:solidFill>
                </w14:textFill>
              </w:rPr>
              <w:t>（需提供相关证明材料：供应商（含其所辖分支机构、分公司、全资子公司）合同/协议复印件</w:t>
            </w:r>
            <w:r>
              <w:rPr>
                <w:rFonts w:hint="eastAsia" w:ascii="宋体" w:hAnsi="宋体" w:cs="宋体"/>
                <w:color w:val="000000" w:themeColor="text1"/>
                <w:sz w:val="24"/>
                <w:lang w:eastAsia="zh-CN"/>
                <w14:textFill>
                  <w14:solidFill>
                    <w14:schemeClr w14:val="tx1"/>
                  </w14:solidFill>
                </w14:textFill>
              </w:rPr>
              <w:t>、完成服务项目结果移交签收表</w:t>
            </w:r>
            <w:r>
              <w:rPr>
                <w:rFonts w:hint="eastAsia" w:ascii="宋体" w:hAnsi="宋体" w:eastAsia="宋体" w:cs="宋体"/>
                <w:color w:val="000000" w:themeColor="text1"/>
                <w:sz w:val="24"/>
                <w14:textFill>
                  <w14:solidFill>
                    <w14:schemeClr w14:val="tx1"/>
                  </w14:solidFill>
                </w14:textFill>
              </w:rPr>
              <w:t>并加盖公章</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否则不得分）</w:t>
            </w:r>
          </w:p>
        </w:tc>
        <w:tc>
          <w:tcPr>
            <w:tcW w:w="795" w:type="dxa"/>
            <w:noWrap w:val="0"/>
            <w:tcMar>
              <w:top w:w="0" w:type="dxa"/>
              <w:left w:w="108" w:type="dxa"/>
              <w:bottom w:w="0" w:type="dxa"/>
              <w:right w:w="108" w:type="dxa"/>
            </w:tcMar>
            <w:vAlign w:val="center"/>
          </w:tcPr>
          <w:p>
            <w:pPr>
              <w:widowControl/>
              <w:snapToGrid w:val="0"/>
              <w:spacing w:line="320" w:lineRule="exact"/>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0</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448" w:type="dxa"/>
            <w:vMerge w:val="restart"/>
            <w:noWrap w:val="0"/>
            <w:tcMar>
              <w:top w:w="0" w:type="dxa"/>
              <w:left w:w="108" w:type="dxa"/>
              <w:bottom w:w="0" w:type="dxa"/>
              <w:right w:w="108" w:type="dxa"/>
            </w:tcMar>
            <w:vAlign w:val="center"/>
          </w:tcPr>
          <w:p>
            <w:pPr>
              <w:widowControl/>
              <w:snapToGrid w:val="0"/>
              <w:spacing w:line="320" w:lineRule="exact"/>
              <w:jc w:val="center"/>
              <w:rPr>
                <w:rFonts w:hint="eastAsia" w:ascii="仿宋_GB2312" w:hAnsi="仿宋_GB2312" w:cs="仿宋_GB2312"/>
                <w:sz w:val="24"/>
              </w:rPr>
            </w:pPr>
            <w:r>
              <w:rPr>
                <w:rFonts w:hint="eastAsia" w:ascii="仿宋_GB2312" w:hAnsi="仿宋_GB2312" w:cs="仿宋_GB2312"/>
                <w:sz w:val="24"/>
              </w:rPr>
              <w:t>4</w:t>
            </w:r>
          </w:p>
        </w:tc>
        <w:tc>
          <w:tcPr>
            <w:tcW w:w="723" w:type="dxa"/>
            <w:vMerge w:val="restart"/>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r>
              <w:rPr>
                <w:rFonts w:hint="eastAsia" w:ascii="宋体" w:hAnsi="宋体" w:cs="宋体"/>
                <w:sz w:val="24"/>
              </w:rPr>
              <w:t>供应商实力</w:t>
            </w:r>
          </w:p>
        </w:tc>
        <w:tc>
          <w:tcPr>
            <w:tcW w:w="7813" w:type="dxa"/>
            <w:noWrap w:val="0"/>
            <w:tcMar>
              <w:top w:w="0" w:type="dxa"/>
              <w:left w:w="108" w:type="dxa"/>
              <w:bottom w:w="0" w:type="dxa"/>
              <w:right w:w="108" w:type="dxa"/>
            </w:tcMar>
            <w:vAlign w:val="top"/>
          </w:tcPr>
          <w:p>
            <w:pPr>
              <w:widowControl/>
              <w:snapToGrid w:val="0"/>
              <w:spacing w:line="300" w:lineRule="exact"/>
              <w:jc w:val="left"/>
              <w:rPr>
                <w:rFonts w:ascii="宋体" w:hAnsi="宋体" w:cs="宋体"/>
                <w:sz w:val="24"/>
                <w:lang w:bidi="ar"/>
              </w:rPr>
            </w:pPr>
            <w:r>
              <w:rPr>
                <w:rFonts w:hint="eastAsia" w:ascii="宋体" w:hAnsi="宋体" w:cs="宋体"/>
                <w:sz w:val="24"/>
                <w:lang w:bidi="ar"/>
              </w:rPr>
              <w:t>1.供应商</w:t>
            </w:r>
            <w:r>
              <w:rPr>
                <w:rFonts w:hint="eastAsia" w:ascii="宋体" w:hAnsi="宋体" w:cs="宋体"/>
                <w:sz w:val="24"/>
              </w:rPr>
              <w:t>（含其所辖分支机构、分公司、全资子公司）</w:t>
            </w:r>
            <w:r>
              <w:rPr>
                <w:rFonts w:hint="eastAsia" w:ascii="宋体" w:hAnsi="宋体" w:cs="宋体"/>
                <w:sz w:val="24"/>
                <w:lang w:bidi="ar"/>
              </w:rPr>
              <w:t>具有技术和信息安全保障的能力：ISO9001、ISO27001、ISO20000、ISO27701等认证证书的，每提供一个得2分，最高得8分。</w:t>
            </w:r>
          </w:p>
          <w:p>
            <w:pPr>
              <w:widowControl/>
              <w:snapToGrid w:val="0"/>
              <w:spacing w:line="300" w:lineRule="exact"/>
              <w:jc w:val="left"/>
              <w:rPr>
                <w:rFonts w:hint="eastAsia" w:ascii="宋体" w:hAnsi="宋体" w:cs="宋体"/>
                <w:sz w:val="24"/>
              </w:rPr>
            </w:pPr>
            <w:r>
              <w:rPr>
                <w:rFonts w:hint="eastAsia" w:ascii="宋体" w:hAnsi="宋体" w:cs="宋体"/>
                <w:sz w:val="24"/>
              </w:rPr>
              <w:t>（需提供相应证书复印件并加盖供应商公章或电子章)</w:t>
            </w:r>
          </w:p>
        </w:tc>
        <w:tc>
          <w:tcPr>
            <w:tcW w:w="795" w:type="dxa"/>
            <w:vMerge w:val="restart"/>
            <w:noWrap w:val="0"/>
            <w:tcMar>
              <w:top w:w="0" w:type="dxa"/>
              <w:left w:w="108" w:type="dxa"/>
              <w:bottom w:w="0" w:type="dxa"/>
              <w:right w:w="108" w:type="dxa"/>
            </w:tcMar>
            <w:vAlign w:val="center"/>
          </w:tcPr>
          <w:p>
            <w:pPr>
              <w:widowControl/>
              <w:snapToGrid w:val="0"/>
              <w:spacing w:line="320" w:lineRule="exact"/>
              <w:jc w:val="center"/>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3" w:hRule="atLeast"/>
          <w:jc w:val="center"/>
        </w:trPr>
        <w:tc>
          <w:tcPr>
            <w:tcW w:w="448" w:type="dxa"/>
            <w:vMerge w:val="continue"/>
            <w:noWrap w:val="0"/>
            <w:tcMar>
              <w:top w:w="0" w:type="dxa"/>
              <w:left w:w="108" w:type="dxa"/>
              <w:bottom w:w="0" w:type="dxa"/>
              <w:right w:w="108" w:type="dxa"/>
            </w:tcMar>
            <w:vAlign w:val="center"/>
          </w:tcPr>
          <w:p>
            <w:pPr>
              <w:widowControl/>
              <w:snapToGrid w:val="0"/>
              <w:spacing w:line="320" w:lineRule="exact"/>
              <w:jc w:val="center"/>
              <w:rPr>
                <w:rFonts w:hint="eastAsia" w:ascii="仿宋_GB2312" w:hAnsi="仿宋_GB2312" w:cs="仿宋_GB2312"/>
                <w:sz w:val="24"/>
              </w:rPr>
            </w:pPr>
          </w:p>
        </w:tc>
        <w:tc>
          <w:tcPr>
            <w:tcW w:w="723" w:type="dxa"/>
            <w:vMerge w:val="continue"/>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p>
        </w:tc>
        <w:tc>
          <w:tcPr>
            <w:tcW w:w="7813" w:type="dxa"/>
            <w:noWrap w:val="0"/>
            <w:tcMar>
              <w:top w:w="0" w:type="dxa"/>
              <w:left w:w="108" w:type="dxa"/>
              <w:bottom w:w="0" w:type="dxa"/>
              <w:right w:w="108" w:type="dxa"/>
            </w:tcMar>
            <w:vAlign w:val="center"/>
          </w:tcPr>
          <w:p>
            <w:pPr>
              <w:widowControl/>
              <w:snapToGrid w:val="0"/>
              <w:spacing w:line="300" w:lineRule="exact"/>
              <w:jc w:val="left"/>
              <w:rPr>
                <w:rFonts w:hint="eastAsia" w:ascii="宋体" w:hAnsi="宋体" w:cs="宋体"/>
                <w:sz w:val="24"/>
                <w:szCs w:val="20"/>
              </w:rPr>
            </w:pPr>
            <w:r>
              <w:rPr>
                <w:rFonts w:hint="eastAsia" w:ascii="宋体" w:hAnsi="宋体" w:cs="宋体"/>
                <w:sz w:val="24"/>
                <w:szCs w:val="20"/>
              </w:rPr>
              <w:t>2.供应商（含其所辖分支机构、分公司、全资子公司）具备医疗、医保、大数据监管类软件著作权证书，每提供1个得2分，最高得12分。</w:t>
            </w:r>
          </w:p>
          <w:p>
            <w:pPr>
              <w:pStyle w:val="9"/>
              <w:widowControl/>
              <w:spacing w:line="300" w:lineRule="exact"/>
              <w:rPr>
                <w:rFonts w:hint="eastAsia" w:ascii="宋体" w:hAnsi="宋体" w:cs="宋体"/>
                <w:sz w:val="24"/>
                <w:szCs w:val="24"/>
                <w:highlight w:val="yellow"/>
              </w:rPr>
            </w:pPr>
            <w:r>
              <w:rPr>
                <w:rFonts w:hint="eastAsia" w:ascii="宋体" w:hAnsi="宋体" w:cs="宋体"/>
                <w:sz w:val="24"/>
                <w:szCs w:val="20"/>
              </w:rPr>
              <w:t>（提供上述软件著作权证书复印件并加盖公章或电子公章，著作权证书取得时间不能晚于招标公告发布时间；）</w:t>
            </w:r>
          </w:p>
        </w:tc>
        <w:tc>
          <w:tcPr>
            <w:tcW w:w="795" w:type="dxa"/>
            <w:vMerge w:val="continue"/>
            <w:noWrap w:val="0"/>
            <w:tcMar>
              <w:top w:w="0" w:type="dxa"/>
              <w:left w:w="108" w:type="dxa"/>
              <w:bottom w:w="0" w:type="dxa"/>
              <w:right w:w="108" w:type="dxa"/>
            </w:tcMar>
            <w:vAlign w:val="center"/>
          </w:tcPr>
          <w:p>
            <w:pPr>
              <w:widowControl/>
              <w:snapToGrid w:val="0"/>
              <w:spacing w:line="3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3" w:hRule="atLeast"/>
          <w:jc w:val="center"/>
        </w:trPr>
        <w:tc>
          <w:tcPr>
            <w:tcW w:w="448" w:type="dxa"/>
            <w:noWrap w:val="0"/>
            <w:tcMar>
              <w:top w:w="0" w:type="dxa"/>
              <w:left w:w="108" w:type="dxa"/>
              <w:bottom w:w="0" w:type="dxa"/>
              <w:right w:w="108" w:type="dxa"/>
            </w:tcMar>
            <w:vAlign w:val="center"/>
          </w:tcPr>
          <w:p>
            <w:pPr>
              <w:widowControl/>
              <w:snapToGrid w:val="0"/>
              <w:spacing w:line="320" w:lineRule="exact"/>
              <w:jc w:val="center"/>
              <w:rPr>
                <w:rFonts w:hint="eastAsia" w:ascii="仿宋_GB2312" w:hAnsi="仿宋_GB2312" w:cs="仿宋_GB2312"/>
                <w:sz w:val="24"/>
              </w:rPr>
            </w:pPr>
            <w:r>
              <w:rPr>
                <w:rFonts w:hint="eastAsia" w:ascii="仿宋_GB2312" w:hAnsi="仿宋_GB2312" w:cs="仿宋_GB2312"/>
                <w:sz w:val="24"/>
              </w:rPr>
              <w:t>5</w:t>
            </w:r>
          </w:p>
        </w:tc>
        <w:tc>
          <w:tcPr>
            <w:tcW w:w="723" w:type="dxa"/>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r>
              <w:rPr>
                <w:rFonts w:hint="eastAsia" w:ascii="宋体" w:hAnsi="宋体" w:cs="宋体"/>
                <w:sz w:val="24"/>
              </w:rPr>
              <w:t>价格分</w:t>
            </w:r>
          </w:p>
        </w:tc>
        <w:tc>
          <w:tcPr>
            <w:tcW w:w="7813" w:type="dxa"/>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r>
              <w:rPr>
                <w:rFonts w:hint="eastAsia" w:ascii="宋体" w:hAnsi="宋体" w:cs="宋体"/>
                <w:sz w:val="24"/>
              </w:rPr>
              <w:t>报价得分=评标基准价/投标报价*100*报价分值权重。</w:t>
            </w:r>
          </w:p>
        </w:tc>
        <w:tc>
          <w:tcPr>
            <w:tcW w:w="795" w:type="dxa"/>
            <w:noWrap w:val="0"/>
            <w:tcMar>
              <w:top w:w="0" w:type="dxa"/>
              <w:left w:w="108" w:type="dxa"/>
              <w:bottom w:w="0" w:type="dxa"/>
              <w:right w:w="108" w:type="dxa"/>
            </w:tcMar>
            <w:vAlign w:val="center"/>
          </w:tcPr>
          <w:p>
            <w:pPr>
              <w:widowControl/>
              <w:snapToGrid w:val="0"/>
              <w:spacing w:line="320" w:lineRule="exact"/>
              <w:jc w:val="center"/>
              <w:rPr>
                <w:rFonts w:hint="eastAsia"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448" w:type="dxa"/>
            <w:noWrap w:val="0"/>
            <w:tcMar>
              <w:top w:w="0" w:type="dxa"/>
              <w:left w:w="108" w:type="dxa"/>
              <w:bottom w:w="0" w:type="dxa"/>
              <w:right w:w="108" w:type="dxa"/>
            </w:tcMar>
            <w:vAlign w:val="center"/>
          </w:tcPr>
          <w:p>
            <w:pPr>
              <w:widowControl/>
              <w:snapToGrid w:val="0"/>
              <w:spacing w:line="320" w:lineRule="exact"/>
              <w:jc w:val="center"/>
              <w:rPr>
                <w:rFonts w:hint="eastAsia" w:ascii="仿宋_GB2312" w:hAnsi="仿宋_GB2312" w:cs="仿宋_GB2312"/>
                <w:sz w:val="24"/>
              </w:rPr>
            </w:pPr>
            <w:r>
              <w:rPr>
                <w:rFonts w:hint="eastAsia" w:ascii="仿宋_GB2312" w:hAnsi="仿宋_GB2312" w:cs="仿宋_GB2312"/>
                <w:sz w:val="24"/>
              </w:rPr>
              <w:t>6</w:t>
            </w:r>
          </w:p>
        </w:tc>
        <w:tc>
          <w:tcPr>
            <w:tcW w:w="723" w:type="dxa"/>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r>
              <w:rPr>
                <w:rFonts w:hint="eastAsia" w:ascii="宋体" w:hAnsi="宋体" w:cs="宋体"/>
                <w:sz w:val="24"/>
              </w:rPr>
              <w:t>合计</w:t>
            </w:r>
          </w:p>
        </w:tc>
        <w:tc>
          <w:tcPr>
            <w:tcW w:w="7813" w:type="dxa"/>
            <w:noWrap w:val="0"/>
            <w:tcMar>
              <w:top w:w="0" w:type="dxa"/>
              <w:left w:w="108" w:type="dxa"/>
              <w:bottom w:w="0" w:type="dxa"/>
              <w:right w:w="108" w:type="dxa"/>
            </w:tcMar>
            <w:vAlign w:val="center"/>
          </w:tcPr>
          <w:p>
            <w:pPr>
              <w:widowControl/>
              <w:snapToGrid w:val="0"/>
              <w:spacing w:line="320" w:lineRule="exact"/>
              <w:jc w:val="left"/>
              <w:rPr>
                <w:rFonts w:hint="eastAsia" w:ascii="宋体" w:hAnsi="宋体" w:cs="宋体"/>
                <w:sz w:val="24"/>
              </w:rPr>
            </w:pPr>
          </w:p>
        </w:tc>
        <w:tc>
          <w:tcPr>
            <w:tcW w:w="795" w:type="dxa"/>
            <w:noWrap w:val="0"/>
            <w:tcMar>
              <w:top w:w="0" w:type="dxa"/>
              <w:left w:w="108" w:type="dxa"/>
              <w:bottom w:w="0" w:type="dxa"/>
              <w:right w:w="108" w:type="dxa"/>
            </w:tcMar>
            <w:vAlign w:val="center"/>
          </w:tcPr>
          <w:p>
            <w:pPr>
              <w:widowControl/>
              <w:snapToGrid w:val="0"/>
              <w:spacing w:line="320" w:lineRule="exact"/>
              <w:jc w:val="center"/>
              <w:rPr>
                <w:rFonts w:hint="eastAsia" w:ascii="宋体" w:hAnsi="宋体" w:cs="宋体"/>
                <w:sz w:val="24"/>
              </w:rPr>
            </w:pPr>
            <w:r>
              <w:rPr>
                <w:rFonts w:hint="eastAsia" w:ascii="宋体" w:hAnsi="宋体" w:cs="宋体"/>
                <w:sz w:val="24"/>
              </w:rPr>
              <w:t>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B0604020202020204"/>
    <w:charset w:val="00"/>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MjllM2U2ZmMzODk4YzRiN2JhOWM5Y2E0YjkzMzAifQ=="/>
  </w:docVars>
  <w:rsids>
    <w:rsidRoot w:val="41FA3FEF"/>
    <w:rsid w:val="00AD558A"/>
    <w:rsid w:val="0D305579"/>
    <w:rsid w:val="0DC83A03"/>
    <w:rsid w:val="147D38AA"/>
    <w:rsid w:val="1E4F7829"/>
    <w:rsid w:val="1F2667DB"/>
    <w:rsid w:val="20A21E92"/>
    <w:rsid w:val="21156B08"/>
    <w:rsid w:val="21E309B4"/>
    <w:rsid w:val="2584425C"/>
    <w:rsid w:val="26AA7CF2"/>
    <w:rsid w:val="2E627104"/>
    <w:rsid w:val="30A9101A"/>
    <w:rsid w:val="30E97669"/>
    <w:rsid w:val="342509B8"/>
    <w:rsid w:val="347656B7"/>
    <w:rsid w:val="36F32FEF"/>
    <w:rsid w:val="37155300"/>
    <w:rsid w:val="372D2697"/>
    <w:rsid w:val="4037219F"/>
    <w:rsid w:val="40AE2908"/>
    <w:rsid w:val="41FA3FEF"/>
    <w:rsid w:val="46366A55"/>
    <w:rsid w:val="46721FA3"/>
    <w:rsid w:val="4961028C"/>
    <w:rsid w:val="4A174DEF"/>
    <w:rsid w:val="51330760"/>
    <w:rsid w:val="53D14261"/>
    <w:rsid w:val="57CF6D09"/>
    <w:rsid w:val="5A3B0686"/>
    <w:rsid w:val="5B174C4F"/>
    <w:rsid w:val="5B3C46B5"/>
    <w:rsid w:val="607B7A2E"/>
    <w:rsid w:val="63D23E09"/>
    <w:rsid w:val="67CE2B39"/>
    <w:rsid w:val="6CE150BD"/>
    <w:rsid w:val="6E7D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1"/>
    <w:autoRedefine/>
    <w:qFormat/>
    <w:uiPriority w:val="9"/>
    <w:pPr>
      <w:keepNext/>
      <w:keepLines/>
      <w:spacing w:before="260" w:after="260" w:line="416" w:lineRule="auto"/>
      <w:outlineLvl w:val="1"/>
    </w:pPr>
    <w:rPr>
      <w:rFonts w:ascii="Cambria" w:hAnsi="Cambria"/>
      <w:b/>
      <w:bCs/>
      <w:sz w:val="32"/>
      <w:szCs w:val="32"/>
      <w:lang w:eastAsia="en-US"/>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99"/>
    <w:pPr>
      <w:autoSpaceDE w:val="0"/>
      <w:autoSpaceDN w:val="0"/>
      <w:spacing w:after="0" w:line="360" w:lineRule="auto"/>
      <w:ind w:left="181" w:leftChars="0" w:firstLine="420" w:firstLineChars="200"/>
    </w:pPr>
    <w:rPr>
      <w:rFonts w:ascii="Arial" w:hAnsi="Arial"/>
      <w:sz w:val="24"/>
      <w:szCs w:val="20"/>
    </w:rPr>
  </w:style>
  <w:style w:type="paragraph" w:styleId="3">
    <w:name w:val="Body Text Indent"/>
    <w:basedOn w:val="1"/>
    <w:next w:val="4"/>
    <w:autoRedefine/>
    <w:qFormat/>
    <w:uiPriority w:val="0"/>
    <w:pPr>
      <w:spacing w:after="120"/>
      <w:ind w:left="420" w:leftChars="200"/>
    </w:pPr>
  </w:style>
  <w:style w:type="paragraph" w:styleId="4">
    <w:name w:val="Body Text"/>
    <w:basedOn w:val="1"/>
    <w:next w:val="5"/>
    <w:autoRedefine/>
    <w:qFormat/>
    <w:uiPriority w:val="0"/>
    <w:pPr>
      <w:widowControl/>
      <w:spacing w:after="120"/>
      <w:jc w:val="left"/>
    </w:pPr>
    <w:rPr>
      <w:rFonts w:ascii="Times New Roman" w:eastAsia="宋体"/>
      <w:kern w:val="0"/>
    </w:rPr>
  </w:style>
  <w:style w:type="paragraph" w:styleId="5">
    <w:name w:val="Body Text First Indent"/>
    <w:basedOn w:val="4"/>
    <w:next w:val="1"/>
    <w:qFormat/>
    <w:uiPriority w:val="0"/>
    <w:pPr>
      <w:ind w:firstLine="420" w:firstLineChars="100"/>
    </w:pPr>
    <w:rPr>
      <w:sz w:val="21"/>
      <w:szCs w:val="22"/>
    </w:rPr>
  </w:style>
  <w:style w:type="paragraph" w:customStyle="1" w:styleId="9">
    <w:name w:val="无间隔1"/>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2024-04-22T02:57:00Z</dcterms:created>
  <dc:creator>周</dc:creator>
  <cp:lastModifiedBy>周</cp:lastModifiedBy>
  <cp:lastPrinted>2024-04-22T07:25:30Z</cp:lastPrinted>
  <dcterms:modified xsi:type="dcterms:W3CDTF">2024-04-22T08:22:53Z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B08515BC47BF456C83F03D9DECACC1CC_13</vt:lpwstr>
  </property>
</Properties>
</file>