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rPr>
          <w:rFonts w:hint="eastAsia" w:ascii="方正小标宋简体" w:hAnsi="方正小标宋简体" w:eastAsia="方正小标宋简体" w:cs="方正小标宋简体"/>
          <w:color w:val="auto"/>
          <w:spacing w:val="-6"/>
          <w:sz w:val="44"/>
          <w:szCs w:val="44"/>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rPr>
          <w:rFonts w:ascii="方正小标宋简体" w:hAnsi="方正小标宋简体" w:eastAsia="方正小标宋简体" w:cs="方正小标宋简体"/>
          <w:color w:val="auto"/>
          <w:spacing w:val="-6"/>
          <w:sz w:val="44"/>
          <w:szCs w:val="44"/>
        </w:rPr>
      </w:pPr>
      <w:r>
        <w:rPr>
          <w:rFonts w:hint="eastAsia" w:ascii="方正小标宋简体" w:hAnsi="方正小标宋简体" w:eastAsia="方正小标宋简体" w:cs="方正小标宋简体"/>
          <w:color w:val="auto"/>
          <w:spacing w:val="-6"/>
          <w:sz w:val="44"/>
          <w:szCs w:val="44"/>
        </w:rPr>
        <w:t>儋州市支持招商引资及产业发展政策（暂行）</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一、背景依据</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rPr>
          <w:rFonts w:hint="eastAsia" w:ascii="黑体" w:hAnsi="黑体" w:eastAsia="黑体" w:cs="黑体"/>
          <w:b w:val="0"/>
          <w:bCs w:val="0"/>
          <w:color w:val="auto"/>
          <w:sz w:val="32"/>
          <w:szCs w:val="32"/>
          <w:lang w:eastAsia="zh-CN"/>
        </w:rPr>
      </w:pPr>
      <w:r>
        <w:rPr>
          <w:rFonts w:hint="eastAsia" w:ascii="仿宋_GB2312" w:hAnsi="仿宋_GB2312" w:eastAsia="仿宋_GB2312" w:cs="仿宋_GB2312"/>
          <w:color w:val="auto"/>
          <w:sz w:val="32"/>
          <w:szCs w:val="32"/>
        </w:rPr>
        <w:t>为进一步规范和加强</w:t>
      </w:r>
      <w:r>
        <w:rPr>
          <w:rFonts w:hint="eastAsia" w:ascii="仿宋_GB2312" w:hAnsi="仿宋_GB2312" w:eastAsia="仿宋_GB2312" w:cs="仿宋_GB2312"/>
          <w:color w:val="auto"/>
          <w:sz w:val="32"/>
          <w:szCs w:val="32"/>
          <w:lang w:eastAsia="zh-CN"/>
        </w:rPr>
        <w:t>我市</w:t>
      </w:r>
      <w:r>
        <w:rPr>
          <w:rFonts w:hint="eastAsia" w:ascii="仿宋_GB2312" w:hAnsi="仿宋_GB2312" w:eastAsia="仿宋_GB2312" w:cs="仿宋_GB2312"/>
          <w:color w:val="auto"/>
          <w:sz w:val="32"/>
          <w:szCs w:val="32"/>
        </w:rPr>
        <w:t>招商引资工作，营造良好投资环境，加快引进优质</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项目，增强产业发展</w:t>
      </w:r>
      <w:r>
        <w:rPr>
          <w:rFonts w:hint="eastAsia" w:ascii="仿宋_GB2312" w:hAnsi="仿宋_GB2312" w:eastAsia="仿宋_GB2312" w:cs="仿宋_GB2312"/>
          <w:color w:val="auto"/>
          <w:sz w:val="32"/>
          <w:szCs w:val="32"/>
          <w:lang w:eastAsia="zh-CN"/>
        </w:rPr>
        <w:t>新</w:t>
      </w:r>
      <w:r>
        <w:rPr>
          <w:rFonts w:hint="eastAsia" w:ascii="仿宋_GB2312" w:hAnsi="仿宋_GB2312" w:eastAsia="仿宋_GB2312" w:cs="仿宋_GB2312"/>
          <w:color w:val="auto"/>
          <w:sz w:val="32"/>
          <w:szCs w:val="32"/>
        </w:rPr>
        <w:t>动能</w:t>
      </w:r>
      <w:r>
        <w:rPr>
          <w:rFonts w:hint="eastAsia" w:ascii="仿宋_GB2312" w:hAnsi="仿宋_GB2312" w:eastAsia="仿宋_GB2312" w:cs="仿宋_GB2312"/>
          <w:color w:val="auto"/>
          <w:sz w:val="32"/>
          <w:szCs w:val="32"/>
          <w:lang w:eastAsia="zh-CN"/>
        </w:rPr>
        <w:t>，结合本市实际，起草了《儋州市支持招商引资及产业发展政策（暂行）》。</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二、目标任务</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结合《海南自由贸易港建设总体方案》目标，分步骤、分阶段，实施走出去战略，大力开展招商活动，争取引进更多知名企业到儋州投资兴业，享受政策红利。</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三、主要内容</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条 【落户支持】</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（一）运营支持</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经市政府认定的重大招商产业项目，其投产运营达到双方签订准入协议标准的，市政府可给予企业运营奖励，奖励标准为：土地成交价与当时评估价差额部分，视金额大小，一次性或分批次奖励给企业</w:t>
      </w:r>
      <w:r>
        <w:rPr>
          <w:rFonts w:hint="eastAsia" w:ascii="仿宋_GB2312" w:hAnsi="仿宋_GB2312" w:eastAsia="仿宋_GB2312" w:cs="仿宋_GB2312"/>
          <w:color w:val="auto"/>
          <w:sz w:val="32"/>
          <w:szCs w:val="32"/>
          <w:lang w:eastAsia="zh-CN"/>
        </w:rPr>
        <w:t>；对于“菜篮子”工程项目，连片种植面积达</w:t>
      </w:r>
      <w:r>
        <w:rPr>
          <w:rFonts w:hint="eastAsia" w:ascii="仿宋_GB2312" w:hAnsi="仿宋_GB2312" w:eastAsia="仿宋_GB2312" w:cs="仿宋_GB2312"/>
          <w:color w:val="auto"/>
          <w:sz w:val="32"/>
          <w:szCs w:val="32"/>
          <w:lang w:val="en-US" w:eastAsia="zh-CN"/>
        </w:rPr>
        <w:t>500亩以上的，连续五年给予其土地流转费50%的奖励。</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（二）投资支持</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成年度投资计划，固定资产投资额在0.5～1亿元（含1亿元）之间的企业（机构），按实际固定资产投资额的1%一次性给予奖励；固定资产投资额在1～2亿元（含2亿元）之间的企业（机构），按实际固定资产投资额的2%一次性给予奖励；固定资产投资额在2亿元以上的企业（机构），按实际固定资产投资额的3%一次性给予奖励，</w:t>
      </w:r>
      <w:r>
        <w:rPr>
          <w:rFonts w:hint="eastAsia" w:ascii="仿宋_GB2312" w:hAnsi="仿宋" w:eastAsia="仿宋_GB2312" w:cs="仿宋"/>
          <w:color w:val="auto"/>
          <w:sz w:val="32"/>
          <w:szCs w:val="32"/>
        </w:rPr>
        <w:t>奖励最高不超过1000万元。</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1"/>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（三）税收支持</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1"/>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新落户企业五年</w:t>
      </w:r>
      <w:r>
        <w:rPr>
          <w:rFonts w:hint="eastAsia" w:ascii="仿宋_GB2312" w:hAnsi="仿宋_GB2312" w:eastAsia="仿宋_GB2312" w:cs="仿宋_GB2312"/>
          <w:color w:val="auto"/>
          <w:sz w:val="32"/>
          <w:szCs w:val="32"/>
          <w:lang w:eastAsia="zh-CN"/>
        </w:rPr>
        <w:t>（特指</w:t>
      </w:r>
      <w:r>
        <w:rPr>
          <w:rFonts w:hint="eastAsia" w:ascii="仿宋_GB2312" w:hAnsi="仿宋_GB2312" w:eastAsia="仿宋_GB2312" w:cs="仿宋_GB2312"/>
          <w:color w:val="auto"/>
          <w:sz w:val="32"/>
          <w:szCs w:val="32"/>
          <w:lang w:val="en-US" w:eastAsia="zh-CN"/>
        </w:rPr>
        <w:t>2020年、2021年、2022年、2023年、2024年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对于年度市级税收贡献在200万元以上的，给予</w:t>
      </w:r>
      <w:r>
        <w:rPr>
          <w:rFonts w:hint="eastAsia" w:ascii="仿宋_GB2312" w:hAnsi="仿宋_GB2312" w:eastAsia="仿宋_GB2312" w:cs="仿宋_GB2312"/>
          <w:color w:val="auto"/>
          <w:sz w:val="32"/>
          <w:szCs w:val="32"/>
          <w:lang w:eastAsia="zh-CN"/>
        </w:rPr>
        <w:t>其当</w:t>
      </w:r>
      <w:r>
        <w:rPr>
          <w:rFonts w:hint="eastAsia" w:ascii="仿宋_GB2312" w:hAnsi="仿宋_GB2312" w:eastAsia="仿宋_GB2312" w:cs="仿宋_GB2312"/>
          <w:color w:val="auto"/>
          <w:sz w:val="32"/>
          <w:szCs w:val="32"/>
        </w:rPr>
        <w:t>年度形成的市级税收贡献金额70%</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奖励，其员工年收入20万元</w:t>
      </w:r>
      <w:r>
        <w:rPr>
          <w:rFonts w:hint="eastAsia" w:ascii="仿宋_GB2312" w:hAnsi="仿宋_GB2312" w:eastAsia="仿宋_GB2312" w:cs="仿宋_GB2312"/>
          <w:color w:val="auto"/>
          <w:sz w:val="32"/>
          <w:szCs w:val="32"/>
          <w:lang w:eastAsia="zh-CN"/>
        </w:rPr>
        <w:t>（税前）</w:t>
      </w:r>
      <w:r>
        <w:rPr>
          <w:rFonts w:hint="eastAsia" w:ascii="仿宋_GB2312" w:hAnsi="仿宋_GB2312" w:eastAsia="仿宋_GB2312" w:cs="仿宋_GB2312"/>
          <w:color w:val="auto"/>
          <w:sz w:val="32"/>
          <w:szCs w:val="32"/>
        </w:rPr>
        <w:t>及以上的，所交纳的个人收入所得税按市级分成金额的90%给予员工奖励。</w:t>
      </w:r>
    </w:p>
    <w:p>
      <w:pPr>
        <w:pStyle w:val="5"/>
        <w:keepNext w:val="0"/>
        <w:keepLines w:val="0"/>
        <w:pageBreakBefore w:val="0"/>
        <w:kinsoku/>
        <w:wordWrap/>
        <w:overflowPunct/>
        <w:topLinePunct w:val="0"/>
        <w:autoSpaceDE/>
        <w:autoSpaceDN/>
        <w:bidi w:val="0"/>
        <w:adjustRightInd/>
        <w:snapToGrid/>
        <w:spacing w:beforeAutospacing="0" w:afterAutospacing="0" w:line="360" w:lineRule="auto"/>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条【办公用房购置支持】自本政策正式执行之日起，新落户企业（机构）在我市购置社会物业</w:t>
      </w:r>
      <w:r>
        <w:rPr>
          <w:rFonts w:hint="eastAsia" w:ascii="仿宋_GB2312" w:hAnsi="仿宋_GB2312" w:eastAsia="仿宋_GB2312" w:cs="仿宋_GB2312"/>
          <w:color w:val="auto"/>
          <w:sz w:val="32"/>
          <w:szCs w:val="32"/>
          <w:lang w:eastAsia="zh-CN"/>
        </w:rPr>
        <w:t>（一手房）</w:t>
      </w:r>
      <w:r>
        <w:rPr>
          <w:rFonts w:hint="eastAsia" w:ascii="仿宋_GB2312" w:hAnsi="仿宋_GB2312" w:eastAsia="仿宋_GB2312" w:cs="仿宋_GB2312"/>
          <w:color w:val="auto"/>
          <w:sz w:val="32"/>
          <w:szCs w:val="32"/>
        </w:rPr>
        <w:t>作为自用办公用房的，按实际购房价格10%的标准，依条件分三年给予购房奖励，最高1000万元，所购房屋五年内不得对外租售，否则需返还已拨付的</w:t>
      </w:r>
      <w:r>
        <w:rPr>
          <w:rFonts w:hint="eastAsia" w:ascii="仿宋_GB2312" w:hAnsi="仿宋_GB2312" w:eastAsia="仿宋_GB2312" w:cs="仿宋_GB2312"/>
          <w:color w:val="auto"/>
          <w:sz w:val="32"/>
          <w:szCs w:val="32"/>
          <w:lang w:eastAsia="zh-CN"/>
        </w:rPr>
        <w:t>奖励</w:t>
      </w:r>
      <w:r>
        <w:rPr>
          <w:rFonts w:hint="eastAsia" w:ascii="仿宋_GB2312" w:hAnsi="仿宋_GB2312" w:eastAsia="仿宋_GB2312" w:cs="仿宋_GB2312"/>
          <w:color w:val="auto"/>
          <w:sz w:val="32"/>
          <w:szCs w:val="32"/>
        </w:rPr>
        <w:t>资金。</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 【办公用房租赁支持】自本政策正式执行之日起，新落户企业（机构）在我市租赁自用办公用房的，按实际租赁金额的50%的标准给予奖励三年，最高100万元/年，累计不超过300万元，每平米最高奖励15元/月，享受租赁支持期间不得转租，否则需返还已拨付的</w:t>
      </w:r>
      <w:r>
        <w:rPr>
          <w:rFonts w:hint="eastAsia" w:ascii="仿宋_GB2312" w:hAnsi="仿宋_GB2312" w:eastAsia="仿宋_GB2312" w:cs="仿宋_GB2312"/>
          <w:color w:val="auto"/>
          <w:sz w:val="32"/>
          <w:szCs w:val="32"/>
          <w:lang w:eastAsia="zh-CN"/>
        </w:rPr>
        <w:t>奖励</w:t>
      </w:r>
      <w:r>
        <w:rPr>
          <w:rFonts w:hint="eastAsia" w:ascii="仿宋_GB2312" w:hAnsi="仿宋_GB2312" w:eastAsia="仿宋_GB2312" w:cs="仿宋_GB2312"/>
          <w:color w:val="auto"/>
          <w:sz w:val="32"/>
          <w:szCs w:val="32"/>
        </w:rPr>
        <w:t>资金。</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646"/>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 【现代服务业发展支持】</w:t>
      </w:r>
    </w:p>
    <w:p>
      <w:pPr>
        <w:pStyle w:val="5"/>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firstLine="646"/>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品牌引进支持</w:t>
      </w:r>
      <w:r>
        <w:rPr>
          <w:rFonts w:hint="eastAsia" w:ascii="仿宋_GB2312" w:hAnsi="仿宋_GB2312" w:eastAsia="仿宋_GB2312" w:cs="仿宋_GB2312"/>
          <w:color w:val="auto"/>
          <w:sz w:val="32"/>
          <w:szCs w:val="32"/>
        </w:rPr>
        <w:cr/>
      </w:r>
      <w:r>
        <w:rPr>
          <w:rFonts w:hint="eastAsia" w:ascii="仿宋_GB2312" w:hAnsi="仿宋_GB2312" w:eastAsia="仿宋_GB2312" w:cs="仿宋_GB2312"/>
          <w:color w:val="auto"/>
          <w:sz w:val="32"/>
          <w:szCs w:val="32"/>
        </w:rPr>
        <w:t>　　经事前备案和事后审核，对于投资建设自持高端物业且引进经世界品牌实验室确认的年度国际国内知名高端品牌企业在我市开设品牌门店，按第一年商铺租金的50％给予引进方一次性奖励，每平米最高奖励15元/月。</w:t>
      </w:r>
      <w:r>
        <w:rPr>
          <w:rFonts w:hint="eastAsia" w:ascii="仿宋_GB2312" w:hAnsi="仿宋_GB2312" w:eastAsia="仿宋_GB2312" w:cs="仿宋_GB2312"/>
          <w:color w:val="auto"/>
          <w:sz w:val="32"/>
          <w:szCs w:val="32"/>
        </w:rPr>
        <w:cr/>
      </w:r>
      <w:r>
        <w:rPr>
          <w:rFonts w:hint="eastAsia" w:ascii="仿宋_GB2312" w:hAnsi="仿宋_GB2312" w:eastAsia="仿宋_GB2312" w:cs="仿宋_GB2312"/>
          <w:color w:val="auto"/>
          <w:sz w:val="32"/>
          <w:szCs w:val="32"/>
        </w:rPr>
        <w:t>　　（二）新业态引进支持</w:t>
      </w:r>
      <w:r>
        <w:rPr>
          <w:rFonts w:hint="eastAsia" w:ascii="仿宋_GB2312" w:hAnsi="仿宋_GB2312" w:eastAsia="仿宋_GB2312" w:cs="仿宋_GB2312"/>
          <w:color w:val="auto"/>
          <w:sz w:val="32"/>
          <w:szCs w:val="32"/>
        </w:rPr>
        <w:cr/>
      </w:r>
      <w:r>
        <w:rPr>
          <w:rFonts w:hint="eastAsia" w:ascii="仿宋_GB2312" w:hAnsi="仿宋_GB2312" w:eastAsia="仿宋_GB2312" w:cs="仿宋_GB2312"/>
          <w:color w:val="auto"/>
          <w:sz w:val="32"/>
          <w:szCs w:val="32"/>
        </w:rPr>
        <w:t>　　经事前备案和事后审核，对在我市开设“无人超市”、“无人餐厅”、“无人便利店”等创新型商业新业态门店的企业，按经营面积，每个单店可给予实际投资额（甲级造价咨询企业审核后）的</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%，最高30万元的一次性奖励</w:t>
      </w:r>
      <w:r>
        <w:rPr>
          <w:rFonts w:hint="eastAsia" w:ascii="仿宋_GB2312" w:hAnsi="仿宋_GB2312" w:eastAsia="仿宋_GB2312" w:cs="仿宋_GB2312"/>
          <w:color w:val="auto"/>
          <w:sz w:val="32"/>
          <w:szCs w:val="32"/>
          <w:lang w:eastAsia="zh-CN"/>
        </w:rPr>
        <w:t>，多店多奖，</w:t>
      </w:r>
      <w:r>
        <w:rPr>
          <w:rFonts w:hint="eastAsia" w:ascii="仿宋_GB2312" w:hAnsi="仿宋_GB2312" w:eastAsia="仿宋_GB2312" w:cs="仿宋_GB2312"/>
          <w:color w:val="auto"/>
          <w:sz w:val="32"/>
          <w:szCs w:val="32"/>
        </w:rPr>
        <w:t>三年内每家企业年度最高奖励</w:t>
      </w:r>
      <w:r>
        <w:rPr>
          <w:rFonts w:hint="eastAsia" w:ascii="仿宋_GB2312" w:hAnsi="仿宋_GB2312" w:eastAsia="仿宋_GB2312" w:cs="仿宋_GB2312"/>
          <w:color w:val="auto"/>
          <w:sz w:val="32"/>
          <w:szCs w:val="32"/>
          <w:lang w:eastAsia="zh-CN"/>
        </w:rPr>
        <w:t>不超过</w:t>
      </w:r>
      <w:r>
        <w:rPr>
          <w:rFonts w:hint="eastAsia" w:ascii="仿宋_GB2312" w:hAnsi="仿宋_GB2312" w:eastAsia="仿宋_GB2312" w:cs="仿宋_GB2312"/>
          <w:color w:val="auto"/>
          <w:sz w:val="32"/>
          <w:szCs w:val="32"/>
        </w:rPr>
        <w:t>100万元。</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（三）引进紧缺行业支持</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8"/>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经市政府认可的，且注册在我市的企业引进</w:t>
      </w:r>
      <w:r>
        <w:rPr>
          <w:rFonts w:hint="eastAsia" w:ascii="仿宋_GB2312" w:hAnsi="仿宋_GB2312" w:eastAsia="仿宋_GB2312" w:cs="仿宋_GB2312"/>
          <w:color w:val="auto"/>
          <w:sz w:val="32"/>
          <w:szCs w:val="32"/>
          <w:lang w:eastAsia="zh-CN"/>
        </w:rPr>
        <w:t>前</w:t>
      </w:r>
      <w:r>
        <w:rPr>
          <w:rFonts w:hint="eastAsia" w:ascii="仿宋_GB2312" w:hAnsi="仿宋_GB2312" w:eastAsia="仿宋_GB2312" w:cs="仿宋_GB2312"/>
          <w:color w:val="auto"/>
          <w:sz w:val="32"/>
          <w:szCs w:val="32"/>
          <w:lang w:val="en-US" w:eastAsia="zh-CN"/>
        </w:rPr>
        <w:t>两年年度营业额在全球</w:t>
      </w:r>
      <w:r>
        <w:rPr>
          <w:rFonts w:hint="eastAsia" w:ascii="仿宋_GB2312" w:hAnsi="仿宋_GB2312" w:eastAsia="仿宋_GB2312" w:cs="仿宋_GB2312"/>
          <w:color w:val="auto"/>
          <w:sz w:val="32"/>
          <w:szCs w:val="32"/>
        </w:rPr>
        <w:t>排名前</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的国际知名免税经销商在我市经营免税店，在签约并开工装修后给予引进免税店的企业（商场投资方）引进项目奖励</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000万元，开业后参照第八条第一款（品牌引进支持）给予商场投资方租金奖励，以上奖励累计不超过1亿元。</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8"/>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（四）进出口贸易行业支持</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646"/>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对于落户我市的企业（机构）或其全资子公司从事进出口贸易业务的，市政府给予以下支持：</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646"/>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1.年度进口贸易总额超过1亿元人民币（含1亿元）且用于销售的，运营后的前三年内按其年度市级税收贡献金额的90%予以奖励。</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646"/>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2.年度进口贸易总额超过1亿元人民币（含1亿元）或进口大型设备且用于自用的，按其缴纳关税的10%予以奖励，最高300万元。</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8"/>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w:t>
      </w:r>
      <w:r>
        <w:rPr>
          <w:rFonts w:ascii="Calibri" w:hAnsi="Calibri" w:eastAsia="仿宋_GB2312" w:cs="Calibri"/>
          <w:color w:val="auto"/>
          <w:sz w:val="32"/>
          <w:szCs w:val="32"/>
        </w:rPr>
        <w:t>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现代服务业</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文化企业引进及平台建设专项支持</w:t>
      </w:r>
      <w:r>
        <w:rPr>
          <w:rFonts w:hint="eastAsia" w:ascii="仿宋_GB2312" w:hAnsi="仿宋_GB2312" w:eastAsia="仿宋_GB2312" w:cs="仿宋_GB2312"/>
          <w:color w:val="auto"/>
          <w:sz w:val="32"/>
          <w:szCs w:val="32"/>
        </w:rPr>
        <w:t>】</w:t>
      </w:r>
    </w:p>
    <w:p>
      <w:pPr>
        <w:pStyle w:val="5"/>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firstLine="646"/>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支持引进影视动漫、演艺娱乐、名人工作室及文化旅游类企业落户我市，</w:t>
      </w:r>
      <w:r>
        <w:rPr>
          <w:rFonts w:hint="eastAsia" w:ascii="仿宋_GB2312" w:hAnsi="仿宋_GB2312" w:eastAsia="仿宋_GB2312" w:cs="仿宋_GB2312"/>
          <w:color w:val="auto"/>
          <w:sz w:val="32"/>
          <w:szCs w:val="32"/>
          <w:lang w:eastAsia="zh-CN"/>
        </w:rPr>
        <w:t>落户企业年营业收入达到</w:t>
      </w:r>
      <w:r>
        <w:rPr>
          <w:rFonts w:hint="eastAsia" w:ascii="仿宋_GB2312" w:hAnsi="仿宋_GB2312" w:eastAsia="仿宋_GB2312" w:cs="仿宋_GB2312"/>
          <w:color w:val="auto"/>
          <w:sz w:val="32"/>
          <w:szCs w:val="32"/>
          <w:lang w:val="en-US" w:eastAsia="zh-CN"/>
        </w:rPr>
        <w:t>500万元的，给予其引进方30万元一次性奖励；</w:t>
      </w:r>
      <w:r>
        <w:rPr>
          <w:rFonts w:hint="eastAsia" w:ascii="仿宋_GB2312" w:hAnsi="仿宋_GB2312" w:eastAsia="仿宋_GB2312" w:cs="仿宋_GB2312"/>
          <w:color w:val="auto"/>
          <w:sz w:val="32"/>
          <w:szCs w:val="32"/>
          <w:lang w:eastAsia="zh-CN"/>
        </w:rPr>
        <w:t>落户企业年营业收入达到</w:t>
      </w:r>
      <w:r>
        <w:rPr>
          <w:rFonts w:hint="eastAsia" w:ascii="仿宋_GB2312" w:hAnsi="仿宋_GB2312" w:eastAsia="仿宋_GB2312" w:cs="仿宋_GB2312"/>
          <w:color w:val="auto"/>
          <w:sz w:val="32"/>
          <w:szCs w:val="32"/>
          <w:lang w:val="en-US" w:eastAsia="zh-CN"/>
        </w:rPr>
        <w:t>1000万元的，给予其引进方50万元一次性奖励，</w:t>
      </w:r>
      <w:r>
        <w:rPr>
          <w:rFonts w:hint="eastAsia" w:ascii="仿宋_GB2312" w:hAnsi="仿宋_GB2312" w:eastAsia="仿宋_GB2312" w:cs="仿宋_GB2312"/>
          <w:color w:val="auto"/>
          <w:sz w:val="32"/>
          <w:szCs w:val="32"/>
        </w:rPr>
        <w:t>引进多家可累积计算，三年内最高不超过</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00万元。</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（二）艺术品投资、拍卖及交易平台引进支持　支持文化企业、社会组织等引进国际及国内知名高端艺术品行业的投资、拍卖及交易企业落户我市，每引进一家</w:t>
      </w:r>
      <w:r>
        <w:rPr>
          <w:rFonts w:hint="eastAsia" w:ascii="仿宋_GB2312" w:hAnsi="仿宋_GB2312" w:eastAsia="仿宋_GB2312" w:cs="仿宋_GB2312"/>
          <w:color w:val="auto"/>
          <w:sz w:val="32"/>
          <w:szCs w:val="32"/>
          <w:lang w:eastAsia="zh-CN"/>
        </w:rPr>
        <w:t>年营业收入达到</w:t>
      </w:r>
      <w:r>
        <w:rPr>
          <w:rFonts w:hint="eastAsia" w:ascii="仿宋_GB2312" w:hAnsi="仿宋_GB2312" w:eastAsia="仿宋_GB2312" w:cs="仿宋_GB2312"/>
          <w:color w:val="auto"/>
          <w:sz w:val="32"/>
          <w:szCs w:val="32"/>
          <w:lang w:val="en-US" w:eastAsia="zh-CN"/>
        </w:rPr>
        <w:t>1000万元的企业，给予其引进方30万元一次性奖励</w:t>
      </w:r>
      <w:r>
        <w:rPr>
          <w:rFonts w:hint="eastAsia" w:ascii="仿宋_GB2312" w:hAnsi="仿宋_GB2312" w:eastAsia="仿宋_GB2312" w:cs="仿宋_GB2312"/>
          <w:color w:val="auto"/>
          <w:sz w:val="32"/>
          <w:szCs w:val="32"/>
          <w:lang w:eastAsia="zh-CN"/>
        </w:rPr>
        <w:t>；年营业收入达到</w:t>
      </w:r>
      <w:r>
        <w:rPr>
          <w:rFonts w:hint="eastAsia" w:ascii="仿宋_GB2312" w:hAnsi="仿宋_GB2312" w:eastAsia="仿宋_GB2312" w:cs="仿宋_GB2312"/>
          <w:color w:val="auto"/>
          <w:sz w:val="32"/>
          <w:szCs w:val="32"/>
          <w:lang w:val="en-US" w:eastAsia="zh-CN"/>
        </w:rPr>
        <w:t>2000万元以上的企业，给予其引进方50万元一次性奖励，</w:t>
      </w:r>
      <w:r>
        <w:rPr>
          <w:rFonts w:hint="eastAsia" w:ascii="仿宋_GB2312" w:hAnsi="仿宋_GB2312" w:eastAsia="仿宋_GB2312" w:cs="仿宋_GB2312"/>
          <w:color w:val="auto"/>
          <w:sz w:val="32"/>
          <w:szCs w:val="32"/>
        </w:rPr>
        <w:t>引入多家可累积计算，三年内最高不超过</w:t>
      </w:r>
      <w:r>
        <w:rPr>
          <w:rFonts w:hint="eastAsia" w:ascii="仿宋_GB2312" w:hAnsi="仿宋_GB2312" w:eastAsia="仿宋_GB2312" w:cs="仿宋_GB2312"/>
          <w:color w:val="auto"/>
          <w:sz w:val="32"/>
          <w:szCs w:val="32"/>
          <w:lang w:val="en-US" w:eastAsia="zh-CN"/>
        </w:rPr>
        <w:t>500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rPr>
        <w:cr/>
      </w:r>
      <w:r>
        <w:rPr>
          <w:rFonts w:hint="eastAsia" w:ascii="仿宋_GB2312" w:hAnsi="仿宋_GB2312" w:eastAsia="仿宋_GB2312" w:cs="仿宋_GB2312"/>
          <w:color w:val="auto"/>
          <w:sz w:val="32"/>
          <w:szCs w:val="32"/>
        </w:rPr>
        <w:t>　　（三）艺术品投资、拍卖及交易平台建设支持　支持国际及国内知名高端艺术品行业的投资、拍卖及交易平台建设，运营后的三年内奖励额度为实际投资总额的50%，年度最高不超过300万元。</w:t>
      </w:r>
    </w:p>
    <w:p>
      <w:pPr>
        <w:pStyle w:val="10"/>
        <w:keepNext w:val="0"/>
        <w:keepLines w:val="0"/>
        <w:pageBreakBefore w:val="0"/>
        <w:kinsoku/>
        <w:wordWrap/>
        <w:overflowPunct/>
        <w:topLinePunct w:val="0"/>
        <w:autoSpaceDE/>
        <w:autoSpaceDN/>
        <w:bidi w:val="0"/>
        <w:adjustRightInd/>
        <w:snapToGrid/>
        <w:spacing w:line="360" w:lineRule="auto"/>
        <w:ind w:firstLine="640" w:firstLineChars="200"/>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六</w:t>
      </w:r>
      <w:r>
        <w:rPr>
          <w:rFonts w:ascii="仿宋_GB2312" w:hAnsi="仿宋_GB2312" w:eastAsia="仿宋_GB2312" w:cs="仿宋_GB2312"/>
          <w:color w:val="auto"/>
          <w:sz w:val="32"/>
          <w:szCs w:val="32"/>
        </w:rPr>
        <w:t>条【科技创新支持】鼓励在我市注册的企业加大研发经费投入，建立博士后流动（工作）站，引进院士工作站，每建立或引进一家奖励100万元，经审核后的年研发经费投入超过50万元的企业，运营后的前三年内奖励额度为审核后的研发经费投入的50%，年度最高不超过300万元。</w:t>
      </w:r>
    </w:p>
    <w:p>
      <w:pPr>
        <w:pStyle w:val="10"/>
        <w:keepNext w:val="0"/>
        <w:keepLines w:val="0"/>
        <w:pageBreakBefore w:val="0"/>
        <w:kinsoku/>
        <w:wordWrap/>
        <w:overflowPunct/>
        <w:topLinePunct w:val="0"/>
        <w:autoSpaceDE/>
        <w:autoSpaceDN/>
        <w:bidi w:val="0"/>
        <w:adjustRightInd/>
        <w:snapToGrid/>
        <w:spacing w:line="360" w:lineRule="auto"/>
        <w:ind w:firstLine="640" w:firstLineChars="200"/>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七</w:t>
      </w:r>
      <w:r>
        <w:rPr>
          <w:rFonts w:ascii="仿宋_GB2312" w:hAnsi="仿宋_GB2312" w:eastAsia="仿宋_GB2312" w:cs="仿宋_GB2312"/>
          <w:color w:val="auto"/>
          <w:sz w:val="32"/>
          <w:szCs w:val="32"/>
        </w:rPr>
        <w:t>条</w:t>
      </w:r>
      <w:r>
        <w:rPr>
          <w:rFonts w:ascii="Calibri" w:hAnsi="Calibri" w:eastAsia="仿宋_GB2312" w:cs="Calibri"/>
          <w:color w:val="auto"/>
          <w:sz w:val="32"/>
          <w:szCs w:val="32"/>
        </w:rPr>
        <w:t> </w:t>
      </w:r>
      <w:r>
        <w:rPr>
          <w:rFonts w:ascii="仿宋_GB2312" w:hAnsi="仿宋_GB2312" w:eastAsia="仿宋_GB2312" w:cs="仿宋_GB2312"/>
          <w:color w:val="auto"/>
          <w:sz w:val="32"/>
          <w:szCs w:val="32"/>
        </w:rPr>
        <w:t>【平台类机构支持】</w:t>
      </w:r>
    </w:p>
    <w:p>
      <w:pPr>
        <w:pStyle w:val="10"/>
        <w:keepNext w:val="0"/>
        <w:keepLines w:val="0"/>
        <w:pageBreakBefore w:val="0"/>
        <w:kinsoku/>
        <w:wordWrap/>
        <w:overflowPunct/>
        <w:topLinePunct w:val="0"/>
        <w:autoSpaceDE/>
        <w:autoSpaceDN/>
        <w:bidi w:val="0"/>
        <w:adjustRightInd/>
        <w:snapToGrid/>
        <w:spacing w:line="360" w:lineRule="auto"/>
        <w:ind w:firstLine="640" w:firstLineChars="200"/>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rPr>
        <w:t>平台类项目公司落户我市且运营后达到双方约定年度（或月均）产值，市政府给予以下支持：</w:t>
      </w:r>
    </w:p>
    <w:p>
      <w:pPr>
        <w:pStyle w:val="10"/>
        <w:keepNext w:val="0"/>
        <w:keepLines w:val="0"/>
        <w:pageBreakBefore w:val="0"/>
        <w:kinsoku/>
        <w:wordWrap/>
        <w:overflowPunct/>
        <w:topLinePunct w:val="0"/>
        <w:autoSpaceDE/>
        <w:autoSpaceDN/>
        <w:bidi w:val="0"/>
        <w:adjustRightInd/>
        <w:snapToGrid/>
        <w:spacing w:line="360" w:lineRule="auto"/>
        <w:ind w:firstLine="640" w:firstLineChars="200"/>
        <w:rPr>
          <w:rFonts w:hint="default" w:ascii="仿宋_GB2312" w:hAnsi="仿宋_GB2312" w:eastAsia="仿宋_GB2312" w:cs="仿宋_GB2312"/>
          <w:color w:val="auto"/>
          <w:sz w:val="32"/>
          <w:szCs w:val="32"/>
          <w:lang w:val="zh-TW"/>
        </w:rPr>
      </w:pPr>
      <w:r>
        <w:rPr>
          <w:rFonts w:ascii="仿宋_GB2312" w:hAnsi="仿宋_GB2312" w:eastAsia="仿宋_GB2312" w:cs="仿宋_GB2312"/>
          <w:color w:val="auto"/>
          <w:sz w:val="32"/>
          <w:szCs w:val="32"/>
        </w:rPr>
        <w:t>（一）对于平台类</w:t>
      </w:r>
      <w:r>
        <w:rPr>
          <w:rFonts w:ascii="仿宋_GB2312" w:hAnsi="仿宋_GB2312" w:eastAsia="仿宋_GB2312" w:cs="仿宋_GB2312"/>
          <w:color w:val="auto"/>
          <w:sz w:val="32"/>
          <w:szCs w:val="32"/>
          <w:lang w:val="zh-TW"/>
        </w:rPr>
        <w:t>项目公司，</w:t>
      </w:r>
      <w:r>
        <w:rPr>
          <w:rFonts w:ascii="仿宋_GB2312" w:hAnsi="仿宋_GB2312" w:eastAsia="仿宋_GB2312" w:cs="仿宋_GB2312"/>
          <w:color w:val="auto"/>
          <w:sz w:val="32"/>
          <w:szCs w:val="32"/>
        </w:rPr>
        <w:t>运营后的前五年内，</w:t>
      </w:r>
      <w:r>
        <w:rPr>
          <w:rFonts w:ascii="仿宋_GB2312" w:hAnsi="仿宋_GB2312" w:eastAsia="仿宋_GB2312" w:cs="仿宋_GB2312"/>
          <w:bCs/>
          <w:color w:val="auto"/>
          <w:sz w:val="32"/>
          <w:szCs w:val="32"/>
          <w:lang w:val="zh-TW"/>
        </w:rPr>
        <w:t>形成的年度（或月均）市级税收贡献</w:t>
      </w:r>
      <w:r>
        <w:rPr>
          <w:rFonts w:ascii="仿宋_GB2312" w:hAnsi="仿宋_GB2312" w:eastAsia="仿宋_GB2312" w:cs="仿宋_GB2312"/>
          <w:color w:val="auto"/>
          <w:sz w:val="32"/>
          <w:szCs w:val="32"/>
          <w:lang w:val="zh-TW"/>
        </w:rPr>
        <w:t>金额的</w:t>
      </w:r>
      <w:r>
        <w:rPr>
          <w:rFonts w:ascii="仿宋_GB2312" w:hAnsi="仿宋_GB2312" w:eastAsia="仿宋_GB2312" w:cs="仿宋_GB2312"/>
          <w:color w:val="auto"/>
          <w:sz w:val="32"/>
          <w:szCs w:val="32"/>
        </w:rPr>
        <w:t>90%</w:t>
      </w:r>
      <w:r>
        <w:rPr>
          <w:rFonts w:ascii="仿宋_GB2312" w:hAnsi="仿宋_GB2312" w:eastAsia="仿宋_GB2312" w:cs="仿宋_GB2312"/>
          <w:color w:val="auto"/>
          <w:sz w:val="32"/>
          <w:szCs w:val="32"/>
          <w:lang w:val="zh-TW"/>
        </w:rPr>
        <w:t>给予平台类机构奖励。</w:t>
      </w:r>
    </w:p>
    <w:p>
      <w:pPr>
        <w:pStyle w:val="10"/>
        <w:keepNext w:val="0"/>
        <w:keepLines w:val="0"/>
        <w:pageBreakBefore w:val="0"/>
        <w:kinsoku/>
        <w:wordWrap/>
        <w:overflowPunct/>
        <w:topLinePunct w:val="0"/>
        <w:autoSpaceDE/>
        <w:autoSpaceDN/>
        <w:bidi w:val="0"/>
        <w:adjustRightInd/>
        <w:snapToGrid/>
        <w:spacing w:line="360" w:lineRule="auto"/>
        <w:ind w:firstLine="640" w:firstLineChars="200"/>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rPr>
        <w:t>（二）对于平台类机构引进且备案的合伙企业，运营后的前五年内，所交纳个人所得税按市级分成金额的90%给予平台类机构奖励。</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条【总部企业开办支持】</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依据《海南总部企业认定管理办法》，对新落户本市范围内的总部、企业分别按以下情形给予一次性开办奖励：</w:t>
      </w:r>
    </w:p>
    <w:p>
      <w:pPr>
        <w:pStyle w:val="5"/>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对新落户的跨国公司地区总部，给予一次性300万元奖励。</w:t>
      </w:r>
    </w:p>
    <w:p>
      <w:pPr>
        <w:pStyle w:val="5"/>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新落户的从事高新技术产业等第二产业的综合性（区域性）总部或从事旅游业、现代服务业等第三产业的综合型（区域性）总部，承诺自注册成立之日起一年内形成地方财力贡献不低于1000万元，给予300万元奖励。</w:t>
      </w:r>
    </w:p>
    <w:p>
      <w:pPr>
        <w:pStyle w:val="5"/>
        <w:keepNext w:val="0"/>
        <w:keepLines w:val="0"/>
        <w:pageBreakBefore w:val="0"/>
        <w:numPr>
          <w:ilvl w:val="0"/>
          <w:numId w:val="3"/>
        </w:numPr>
        <w:kinsoku/>
        <w:wordWrap/>
        <w:overflowPunct/>
        <w:topLinePunct w:val="0"/>
        <w:autoSpaceDE/>
        <w:autoSpaceDN/>
        <w:bidi w:val="0"/>
        <w:adjustRightInd/>
        <w:snapToGrid/>
        <w:spacing w:beforeAutospacing="0" w:afterAutospacing="0" w:line="360" w:lineRule="auto"/>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对新落户的从事热带高效农业等第一产业的综合型（区域性）总部或新落户的高成长型总部，承诺自注册成立之日起一年内形成地方财力贡献不低于500万元，给予200万元奖励。</w:t>
      </w:r>
    </w:p>
    <w:p>
      <w:pPr>
        <w:pStyle w:val="5"/>
        <w:keepNext w:val="0"/>
        <w:keepLines w:val="0"/>
        <w:pageBreakBefore w:val="0"/>
        <w:numPr>
          <w:ilvl w:val="0"/>
          <w:numId w:val="3"/>
        </w:numPr>
        <w:kinsoku/>
        <w:wordWrap/>
        <w:overflowPunct/>
        <w:topLinePunct w:val="0"/>
        <w:autoSpaceDE/>
        <w:autoSpaceDN/>
        <w:bidi w:val="0"/>
        <w:adjustRightInd/>
        <w:snapToGrid/>
        <w:spacing w:beforeAutospacing="0" w:afterAutospacing="0" w:line="360" w:lineRule="auto"/>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对新落户的国际组织（机构）地区总部，给予一次性200万元奖励；在本市范围内新设立分支机构的，给予一次性100万元奖励。</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条 【招商合作机构支持】</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（一）对招商合作机构，成功引进约定内资项目的，给予项目引进支持：</w:t>
      </w:r>
    </w:p>
    <w:tbl>
      <w:tblPr>
        <w:tblStyle w:val="6"/>
        <w:tblW w:w="7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8"/>
        <w:gridCol w:w="1687"/>
        <w:gridCol w:w="132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7" w:hRule="atLeast"/>
          <w:jc w:val="center"/>
        </w:trPr>
        <w:tc>
          <w:tcPr>
            <w:tcW w:w="2678" w:type="dxa"/>
          </w:tcPr>
          <w:p>
            <w:pPr>
              <w:keepNext w:val="0"/>
              <w:keepLines w:val="0"/>
              <w:pageBreakBefore w:val="0"/>
              <w:kinsoku/>
              <w:wordWrap/>
              <w:overflowPunct/>
              <w:topLinePunct w:val="0"/>
              <w:autoSpaceDE/>
              <w:autoSpaceDN/>
              <w:bidi w:val="0"/>
              <w:adjustRightInd/>
              <w:snapToGrid/>
              <w:spacing w:line="360" w:lineRule="auto"/>
              <w:rPr>
                <w:rFonts w:ascii="宋体" w:hAnsi="宋体"/>
                <w:b/>
                <w:color w:val="auto"/>
                <w:sz w:val="28"/>
                <w:szCs w:val="28"/>
              </w:rPr>
            </w:pPr>
            <w:r>
              <w:rPr>
                <w:rFonts w:ascii="宋体" w:hAnsi="宋体"/>
                <w:b/>
                <w:color w:val="auto"/>
                <w:sz w:val="28"/>
                <w:szCs w:val="28"/>
              </w:rPr>
              <mc:AlternateContent>
                <mc:Choice Requires="wpg">
                  <w:drawing>
                    <wp:anchor distT="0" distB="0" distL="114300" distR="114300" simplePos="0" relativeHeight="251683840" behindDoc="0" locked="0" layoutInCell="1" allowOverlap="1">
                      <wp:simplePos x="0" y="0"/>
                      <wp:positionH relativeFrom="column">
                        <wp:posOffset>-27305</wp:posOffset>
                      </wp:positionH>
                      <wp:positionV relativeFrom="paragraph">
                        <wp:posOffset>10795</wp:posOffset>
                      </wp:positionV>
                      <wp:extent cx="1665605" cy="1391920"/>
                      <wp:effectExtent l="2540" t="2540" r="8255" b="53340"/>
                      <wp:wrapNone/>
                      <wp:docPr id="24" name="__TH_G22六号104"/>
                      <wp:cNvGraphicFramePr/>
                      <a:graphic xmlns:a="http://schemas.openxmlformats.org/drawingml/2006/main">
                        <a:graphicData uri="http://schemas.microsoft.com/office/word/2010/wordprocessingGroup">
                          <wpg:wgp>
                            <wpg:cNvGrpSpPr/>
                            <wpg:grpSpPr>
                              <a:xfrm>
                                <a:off x="0" y="0"/>
                                <a:ext cx="1665605" cy="1391920"/>
                                <a:chOff x="1925" y="8227"/>
                                <a:chExt cx="2623" cy="2192"/>
                              </a:xfrm>
                            </wpg:grpSpPr>
                            <wps:wsp>
                              <wps:cNvPr id="1" name="__TH_L81"/>
                              <wps:cNvCnPr/>
                              <wps:spPr>
                                <a:xfrm>
                                  <a:off x="3048" y="8227"/>
                                  <a:ext cx="1500" cy="2135"/>
                                </a:xfrm>
                                <a:prstGeom prst="line">
                                  <a:avLst/>
                                </a:prstGeom>
                                <a:ln w="6350" cap="flat" cmpd="sng">
                                  <a:solidFill>
                                    <a:srgbClr val="000000"/>
                                  </a:solidFill>
                                  <a:prstDash val="solid"/>
                                  <a:headEnd type="none" w="med" len="med"/>
                                  <a:tailEnd type="none" w="med" len="med"/>
                                </a:ln>
                              </wps:spPr>
                              <wps:bodyPr/>
                            </wps:wsp>
                            <wps:wsp>
                              <wps:cNvPr id="2" name="__TH_L82"/>
                              <wps:cNvCnPr/>
                              <wps:spPr>
                                <a:xfrm>
                                  <a:off x="1925" y="8768"/>
                                  <a:ext cx="2546" cy="1651"/>
                                </a:xfrm>
                                <a:prstGeom prst="line">
                                  <a:avLst/>
                                </a:prstGeom>
                                <a:ln w="6350" cap="flat" cmpd="sng">
                                  <a:solidFill>
                                    <a:srgbClr val="000000"/>
                                  </a:solidFill>
                                  <a:prstDash val="solid"/>
                                  <a:headEnd type="none" w="med" len="med"/>
                                  <a:tailEnd type="none" w="med" len="med"/>
                                </a:ln>
                              </wps:spPr>
                              <wps:bodyPr/>
                            </wps:wsp>
                            <wps:wsp>
                              <wps:cNvPr id="3" name="__TH_B1183"/>
                              <wps:cNvSpPr txBox="1"/>
                              <wps:spPr>
                                <a:xfrm>
                                  <a:off x="3656" y="8395"/>
                                  <a:ext cx="197" cy="188"/>
                                </a:xfrm>
                                <a:prstGeom prst="rect">
                                  <a:avLst/>
                                </a:prstGeom>
                                <a:noFill/>
                                <a:ln w="9525">
                                  <a:noFill/>
                                </a:ln>
                              </wps:spPr>
                              <wps:txbx>
                                <w:txbxContent>
                                  <w:p>
                                    <w:pPr>
                                      <w:snapToGrid w:val="0"/>
                                      <w:rPr>
                                        <w:sz w:val="15"/>
                                      </w:rPr>
                                    </w:pPr>
                                    <w:r>
                                      <w:rPr>
                                        <w:rFonts w:hint="eastAsia"/>
                                        <w:sz w:val="15"/>
                                      </w:rPr>
                                      <w:t>项目</w:t>
                                    </w:r>
                                  </w:p>
                                </w:txbxContent>
                              </wps:txbx>
                              <wps:bodyPr lIns="0" tIns="0" rIns="0" bIns="0" upright="1"/>
                            </wps:wsp>
                            <wps:wsp>
                              <wps:cNvPr id="4" name="__TH_B1284"/>
                              <wps:cNvSpPr txBox="1"/>
                              <wps:spPr>
                                <a:xfrm>
                                  <a:off x="3890" y="8713"/>
                                  <a:ext cx="197" cy="187"/>
                                </a:xfrm>
                                <a:prstGeom prst="rect">
                                  <a:avLst/>
                                </a:prstGeom>
                                <a:noFill/>
                                <a:ln w="9525">
                                  <a:noFill/>
                                </a:ln>
                              </wps:spPr>
                              <wps:txbx>
                                <w:txbxContent>
                                  <w:p>
                                    <w:pPr>
                                      <w:snapToGrid w:val="0"/>
                                      <w:rPr>
                                        <w:sz w:val="15"/>
                                      </w:rPr>
                                    </w:pPr>
                                    <w:r>
                                      <w:rPr>
                                        <w:rFonts w:hint="eastAsia"/>
                                        <w:sz w:val="15"/>
                                      </w:rPr>
                                      <w:t>目</w:t>
                                    </w:r>
                                  </w:p>
                                </w:txbxContent>
                              </wps:txbx>
                              <wps:bodyPr lIns="0" tIns="0" rIns="0" bIns="0" upright="1"/>
                            </wps:wsp>
                            <wps:wsp>
                              <wps:cNvPr id="5" name="__TH_B1385"/>
                              <wps:cNvSpPr txBox="1"/>
                              <wps:spPr>
                                <a:xfrm>
                                  <a:off x="4080" y="9106"/>
                                  <a:ext cx="302" cy="247"/>
                                </a:xfrm>
                                <a:prstGeom prst="rect">
                                  <a:avLst/>
                                </a:prstGeom>
                                <a:noFill/>
                                <a:ln w="9525">
                                  <a:noFill/>
                                </a:ln>
                              </wps:spPr>
                              <wps:txbx>
                                <w:txbxContent>
                                  <w:p>
                                    <w:pPr>
                                      <w:snapToGrid w:val="0"/>
                                      <w:rPr>
                                        <w:sz w:val="15"/>
                                      </w:rPr>
                                    </w:pPr>
                                    <w:r>
                                      <w:rPr>
                                        <w:rFonts w:hint="eastAsia"/>
                                        <w:sz w:val="15"/>
                                      </w:rPr>
                                      <w:t>阶</w:t>
                                    </w:r>
                                  </w:p>
                                </w:txbxContent>
                              </wps:txbx>
                              <wps:bodyPr lIns="0" tIns="0" rIns="0" bIns="0" upright="1"/>
                            </wps:wsp>
                            <wps:wsp>
                              <wps:cNvPr id="6" name="__TH_B1486"/>
                              <wps:cNvSpPr txBox="1"/>
                              <wps:spPr>
                                <a:xfrm>
                                  <a:off x="4254" y="9423"/>
                                  <a:ext cx="227" cy="195"/>
                                </a:xfrm>
                                <a:prstGeom prst="rect">
                                  <a:avLst/>
                                </a:prstGeom>
                                <a:noFill/>
                                <a:ln w="9525">
                                  <a:noFill/>
                                </a:ln>
                              </wps:spPr>
                              <wps:txbx>
                                <w:txbxContent>
                                  <w:p>
                                    <w:pPr>
                                      <w:snapToGrid w:val="0"/>
                                      <w:rPr>
                                        <w:sz w:val="15"/>
                                      </w:rPr>
                                    </w:pPr>
                                    <w:r>
                                      <w:rPr>
                                        <w:rFonts w:hint="eastAsia"/>
                                        <w:sz w:val="15"/>
                                      </w:rPr>
                                      <w:t>段</w:t>
                                    </w:r>
                                  </w:p>
                                </w:txbxContent>
                              </wps:txbx>
                              <wps:bodyPr lIns="0" tIns="0" rIns="0" bIns="0" upright="1"/>
                            </wps:wsp>
                            <wps:wsp>
                              <wps:cNvPr id="7" name="__TH_B2187"/>
                              <wps:cNvSpPr txBox="1"/>
                              <wps:spPr>
                                <a:xfrm>
                                  <a:off x="2009" y="8305"/>
                                  <a:ext cx="198" cy="187"/>
                                </a:xfrm>
                                <a:prstGeom prst="rect">
                                  <a:avLst/>
                                </a:prstGeom>
                                <a:noFill/>
                                <a:ln w="9525">
                                  <a:noFill/>
                                </a:ln>
                              </wps:spPr>
                              <wps:txbx>
                                <w:txbxContent>
                                  <w:p>
                                    <w:pPr>
                                      <w:snapToGrid w:val="0"/>
                                      <w:rPr>
                                        <w:sz w:val="15"/>
                                      </w:rPr>
                                    </w:pPr>
                                  </w:p>
                                </w:txbxContent>
                              </wps:txbx>
                              <wps:bodyPr lIns="0" tIns="0" rIns="0" bIns="0" upright="1"/>
                            </wps:wsp>
                            <wps:wsp>
                              <wps:cNvPr id="8" name="__TH_B2288"/>
                              <wps:cNvSpPr txBox="1"/>
                              <wps:spPr>
                                <a:xfrm>
                                  <a:off x="2161" y="8412"/>
                                  <a:ext cx="274" cy="322"/>
                                </a:xfrm>
                                <a:prstGeom prst="rect">
                                  <a:avLst/>
                                </a:prstGeom>
                                <a:noFill/>
                                <a:ln w="9525">
                                  <a:noFill/>
                                </a:ln>
                              </wps:spPr>
                              <wps:txbx>
                                <w:txbxContent>
                                  <w:p>
                                    <w:pPr>
                                      <w:snapToGrid w:val="0"/>
                                      <w:rPr>
                                        <w:sz w:val="18"/>
                                        <w:szCs w:val="18"/>
                                      </w:rPr>
                                    </w:pPr>
                                    <w:r>
                                      <w:rPr>
                                        <w:rFonts w:hint="eastAsia"/>
                                        <w:sz w:val="18"/>
                                        <w:szCs w:val="18"/>
                                      </w:rPr>
                                      <w:t>支</w:t>
                                    </w:r>
                                  </w:p>
                                </w:txbxContent>
                              </wps:txbx>
                              <wps:bodyPr lIns="0" tIns="0" rIns="0" bIns="0" upright="1"/>
                            </wps:wsp>
                            <wps:wsp>
                              <wps:cNvPr id="9" name="__TH_B2389"/>
                              <wps:cNvSpPr txBox="1"/>
                              <wps:spPr>
                                <a:xfrm>
                                  <a:off x="2498" y="8653"/>
                                  <a:ext cx="331" cy="306"/>
                                </a:xfrm>
                                <a:prstGeom prst="rect">
                                  <a:avLst/>
                                </a:prstGeom>
                                <a:noFill/>
                                <a:ln w="9525">
                                  <a:noFill/>
                                </a:ln>
                              </wps:spPr>
                              <wps:txbx>
                                <w:txbxContent>
                                  <w:p>
                                    <w:pPr>
                                      <w:snapToGrid w:val="0"/>
                                      <w:rPr>
                                        <w:sz w:val="15"/>
                                      </w:rPr>
                                    </w:pPr>
                                    <w:r>
                                      <w:rPr>
                                        <w:rFonts w:hint="eastAsia"/>
                                        <w:sz w:val="18"/>
                                        <w:szCs w:val="18"/>
                                      </w:rPr>
                                      <w:t>持</w:t>
                                    </w:r>
                                  </w:p>
                                </w:txbxContent>
                              </wps:txbx>
                              <wps:bodyPr lIns="0" tIns="0" rIns="0" bIns="0" upright="1"/>
                            </wps:wsp>
                            <wps:wsp>
                              <wps:cNvPr id="10" name="__TH_B2490"/>
                              <wps:cNvSpPr txBox="1"/>
                              <wps:spPr>
                                <a:xfrm>
                                  <a:off x="2875" y="8851"/>
                                  <a:ext cx="347" cy="336"/>
                                </a:xfrm>
                                <a:prstGeom prst="rect">
                                  <a:avLst/>
                                </a:prstGeom>
                                <a:noFill/>
                                <a:ln w="9525">
                                  <a:noFill/>
                                </a:ln>
                              </wps:spPr>
                              <wps:txbx>
                                <w:txbxContent>
                                  <w:p>
                                    <w:pPr>
                                      <w:snapToGrid w:val="0"/>
                                      <w:rPr>
                                        <w:sz w:val="15"/>
                                      </w:rPr>
                                    </w:pPr>
                                    <w:r>
                                      <w:rPr>
                                        <w:rFonts w:hint="eastAsia"/>
                                        <w:sz w:val="18"/>
                                        <w:szCs w:val="18"/>
                                      </w:rPr>
                                      <w:t>额</w:t>
                                    </w:r>
                                  </w:p>
                                </w:txbxContent>
                              </wps:txbx>
                              <wps:bodyPr lIns="0" tIns="0" rIns="0" bIns="0" upright="1"/>
                            </wps:wsp>
                            <wps:wsp>
                              <wps:cNvPr id="11" name="__TH_B2591"/>
                              <wps:cNvSpPr txBox="1"/>
                              <wps:spPr>
                                <a:xfrm>
                                  <a:off x="3042" y="9070"/>
                                  <a:ext cx="243" cy="195"/>
                                </a:xfrm>
                                <a:prstGeom prst="rect">
                                  <a:avLst/>
                                </a:prstGeom>
                                <a:noFill/>
                                <a:ln w="9525">
                                  <a:noFill/>
                                </a:ln>
                              </wps:spPr>
                              <wps:txbx>
                                <w:txbxContent>
                                  <w:p>
                                    <w:pPr>
                                      <w:snapToGrid w:val="0"/>
                                      <w:rPr>
                                        <w:sz w:val="15"/>
                                      </w:rPr>
                                    </w:pPr>
                                    <w:r>
                                      <w:rPr>
                                        <w:rFonts w:hint="eastAsia"/>
                                        <w:sz w:val="15"/>
                                      </w:rPr>
                                      <w:t>（</w:t>
                                    </w:r>
                                  </w:p>
                                </w:txbxContent>
                              </wps:txbx>
                              <wps:bodyPr lIns="0" tIns="0" rIns="0" bIns="0" upright="1"/>
                            </wps:wsp>
                            <wps:wsp>
                              <wps:cNvPr id="13" name="__TH_B2793"/>
                              <wps:cNvSpPr txBox="1"/>
                              <wps:spPr>
                                <a:xfrm>
                                  <a:off x="3424" y="9336"/>
                                  <a:ext cx="197" cy="187"/>
                                </a:xfrm>
                                <a:prstGeom prst="rect">
                                  <a:avLst/>
                                </a:prstGeom>
                                <a:noFill/>
                                <a:ln w="9525">
                                  <a:noFill/>
                                </a:ln>
                              </wps:spPr>
                              <wps:txbx>
                                <w:txbxContent>
                                  <w:p>
                                    <w:pPr>
                                      <w:snapToGrid w:val="0"/>
                                      <w:rPr>
                                        <w:sz w:val="15"/>
                                      </w:rPr>
                                    </w:pPr>
                                    <w:r>
                                      <w:rPr>
                                        <w:rFonts w:hint="eastAsia"/>
                                        <w:sz w:val="15"/>
                                      </w:rPr>
                                      <w:t>元</w:t>
                                    </w:r>
                                  </w:p>
                                </w:txbxContent>
                              </wps:txbx>
                              <wps:bodyPr lIns="0" tIns="0" rIns="0" bIns="0" upright="1"/>
                            </wps:wsp>
                            <wps:wsp>
                              <wps:cNvPr id="14" name="__TH_B2894"/>
                              <wps:cNvSpPr txBox="1"/>
                              <wps:spPr>
                                <a:xfrm>
                                  <a:off x="3622" y="9488"/>
                                  <a:ext cx="197" cy="187"/>
                                </a:xfrm>
                                <a:prstGeom prst="rect">
                                  <a:avLst/>
                                </a:prstGeom>
                                <a:noFill/>
                                <a:ln w="9525">
                                  <a:noFill/>
                                </a:ln>
                              </wps:spPr>
                              <wps:txbx>
                                <w:txbxContent>
                                  <w:p>
                                    <w:pPr>
                                      <w:snapToGrid w:val="0"/>
                                      <w:rPr>
                                        <w:sz w:val="15"/>
                                      </w:rPr>
                                    </w:pPr>
                                    <w:r>
                                      <w:rPr>
                                        <w:rFonts w:hint="eastAsia"/>
                                        <w:sz w:val="15"/>
                                      </w:rPr>
                                      <w:t>）</w:t>
                                    </w:r>
                                  </w:p>
                                </w:txbxContent>
                              </wps:txbx>
                              <wps:bodyPr lIns="0" tIns="0" rIns="0" bIns="0" upright="1"/>
                            </wps:wsp>
                            <wps:wsp>
                              <wps:cNvPr id="15" name="__TH_B3195"/>
                              <wps:cNvSpPr txBox="1"/>
                              <wps:spPr>
                                <a:xfrm rot="2040000">
                                  <a:off x="2071" y="9666"/>
                                  <a:ext cx="1158" cy="713"/>
                                </a:xfrm>
                                <a:prstGeom prst="rect">
                                  <a:avLst/>
                                </a:prstGeom>
                                <a:noFill/>
                                <a:ln w="9525">
                                  <a:noFill/>
                                </a:ln>
                              </wps:spPr>
                              <wps:txbx>
                                <w:txbxContent>
                                  <w:p>
                                    <w:pPr>
                                      <w:snapToGrid w:val="0"/>
                                      <w:rPr>
                                        <w:sz w:val="18"/>
                                        <w:szCs w:val="18"/>
                                      </w:rPr>
                                    </w:pPr>
                                    <w:r>
                                      <w:rPr>
                                        <w:rFonts w:hint="eastAsia"/>
                                        <w:sz w:val="18"/>
                                        <w:szCs w:val="18"/>
                                      </w:rPr>
                                      <w:t>投资额或年主营业务收入（亿元）</w:t>
                                    </w:r>
                                  </w:p>
                                  <w:p>
                                    <w:pPr>
                                      <w:snapToGrid w:val="0"/>
                                      <w:rPr>
                                        <w:sz w:val="15"/>
                                      </w:rPr>
                                    </w:pPr>
                                  </w:p>
                                </w:txbxContent>
                              </wps:txbx>
                              <wps:bodyPr lIns="0" tIns="0" rIns="0" bIns="0" upright="1"/>
                            </wps:wsp>
                            <wps:wsp>
                              <wps:cNvPr id="20" name="__TH_B36100"/>
                              <wps:cNvSpPr txBox="1"/>
                              <wps:spPr>
                                <a:xfrm rot="2340000">
                                  <a:off x="3225" y="9157"/>
                                  <a:ext cx="304" cy="372"/>
                                </a:xfrm>
                                <a:prstGeom prst="rect">
                                  <a:avLst/>
                                </a:prstGeom>
                                <a:noFill/>
                                <a:ln w="9525">
                                  <a:noFill/>
                                </a:ln>
                              </wps:spPr>
                              <wps:txbx>
                                <w:txbxContent>
                                  <w:p>
                                    <w:pPr>
                                      <w:snapToGrid w:val="0"/>
                                      <w:rPr>
                                        <w:sz w:val="15"/>
                                      </w:rPr>
                                    </w:pPr>
                                    <w:r>
                                      <w:rPr>
                                        <w:rFonts w:hint="eastAsia"/>
                                        <w:sz w:val="15"/>
                                      </w:rPr>
                                      <w:t>万</w:t>
                                    </w:r>
                                  </w:p>
                                </w:txbxContent>
                              </wps:txbx>
                              <wps:bodyPr lIns="0" tIns="0" rIns="0" bIns="0" upright="1"/>
                            </wps:wsp>
                          </wpg:wgp>
                        </a:graphicData>
                      </a:graphic>
                    </wp:anchor>
                  </w:drawing>
                </mc:Choice>
                <mc:Fallback>
                  <w:pict>
                    <v:group id="__TH_G22六号104" o:spid="_x0000_s1026" o:spt="203" style="position:absolute;left:0pt;margin-left:-2.15pt;margin-top:0.85pt;height:109.6pt;width:131.15pt;z-index:251683840;mso-width-relative:page;mso-height-relative:page;" coordorigin="1925,8227" coordsize="2623,2192" o:gfxdata="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">
                      <o:lock v:ext="edit" aspectratio="f"/>
                      <v:line id="__TH_L81" o:spid="_x0000_s1026" o:spt="20" style="position:absolute;left:3048;top:8227;height:2135;width:1500;"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_TH_L82" o:spid="_x0000_s1026" o:spt="20" style="position:absolute;left:1925;top:8768;height:1651;width:2546;"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83" o:spid="_x0000_s1026" o:spt="202" type="#_x0000_t202" style="position:absolute;left:3656;top:8395;height:188;width:197;"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项目</w:t>
                              </w:r>
                            </w:p>
                          </w:txbxContent>
                        </v:textbox>
                      </v:shape>
                      <v:shape id="__TH_B1284" o:spid="_x0000_s1026" o:spt="202" type="#_x0000_t202" style="position:absolute;left:3890;top:8713;height:187;width:197;"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目</w:t>
                              </w:r>
                            </w:p>
                          </w:txbxContent>
                        </v:textbox>
                      </v:shape>
                      <v:shape id="__TH_B1385" o:spid="_x0000_s1026" o:spt="202" type="#_x0000_t202" style="position:absolute;left:4080;top:9106;height:247;width:30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阶</w:t>
                              </w:r>
                            </w:p>
                          </w:txbxContent>
                        </v:textbox>
                      </v:shape>
                      <v:shape id="__TH_B1486" o:spid="_x0000_s1026" o:spt="202" type="#_x0000_t202" style="position:absolute;left:4254;top:9423;height:195;width:227;"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段</w:t>
                              </w:r>
                            </w:p>
                          </w:txbxContent>
                        </v:textbox>
                      </v:shape>
                      <v:shape id="__TH_B2187" o:spid="_x0000_s1026" o:spt="202" type="#_x0000_t202" style="position:absolute;left:2009;top:8305;height:187;width:198;"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5"/>
                                </w:rPr>
                              </w:pPr>
                            </w:p>
                          </w:txbxContent>
                        </v:textbox>
                      </v:shape>
                      <v:shape id="__TH_B2288" o:spid="_x0000_s1026" o:spt="202" type="#_x0000_t202" style="position:absolute;left:2161;top:8412;height:322;width:274;"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sz w:val="18"/>
                                  <w:szCs w:val="18"/>
                                </w:rPr>
                              </w:pPr>
                              <w:r>
                                <w:rPr>
                                  <w:rFonts w:hint="eastAsia"/>
                                  <w:sz w:val="18"/>
                                  <w:szCs w:val="18"/>
                                </w:rPr>
                                <w:t>支</w:t>
                              </w:r>
                            </w:p>
                          </w:txbxContent>
                        </v:textbox>
                      </v:shape>
                      <v:shape id="__TH_B2389" o:spid="_x0000_s1026" o:spt="202" type="#_x0000_t202" style="position:absolute;left:2498;top:8653;height:306;width:331;"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8"/>
                                  <w:szCs w:val="18"/>
                                </w:rPr>
                                <w:t>持</w:t>
                              </w:r>
                            </w:p>
                          </w:txbxContent>
                        </v:textbox>
                      </v:shape>
                      <v:shape id="__TH_B2490" o:spid="_x0000_s1026" o:spt="202" type="#_x0000_t202" style="position:absolute;left:2875;top:8851;height:336;width:347;"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5"/>
                                </w:rPr>
                              </w:pPr>
                              <w:r>
                                <w:rPr>
                                  <w:rFonts w:hint="eastAsia"/>
                                  <w:sz w:val="18"/>
                                  <w:szCs w:val="18"/>
                                </w:rPr>
                                <w:t>额</w:t>
                              </w:r>
                            </w:p>
                          </w:txbxContent>
                        </v:textbox>
                      </v:shape>
                      <v:shape id="__TH_B2591" o:spid="_x0000_s1026" o:spt="202" type="#_x0000_t202" style="position:absolute;left:3042;top:9070;height:195;width:243;"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5"/>
                                </w:rPr>
                              </w:pPr>
                              <w:r>
                                <w:rPr>
                                  <w:rFonts w:hint="eastAsia"/>
                                  <w:sz w:val="15"/>
                                </w:rPr>
                                <w:t>（</w:t>
                              </w:r>
                            </w:p>
                          </w:txbxContent>
                        </v:textbox>
                      </v:shape>
                      <v:shape id="__TH_B2793" o:spid="_x0000_s1026" o:spt="202" type="#_x0000_t202" style="position:absolute;left:3424;top:9336;height:187;width:197;"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5"/>
                                </w:rPr>
                              </w:pPr>
                              <w:r>
                                <w:rPr>
                                  <w:rFonts w:hint="eastAsia"/>
                                  <w:sz w:val="15"/>
                                </w:rPr>
                                <w:t>元</w:t>
                              </w:r>
                            </w:p>
                          </w:txbxContent>
                        </v:textbox>
                      </v:shape>
                      <v:shape id="__TH_B2894" o:spid="_x0000_s1026" o:spt="202" type="#_x0000_t202" style="position:absolute;left:3622;top:9488;height:187;width:197;"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5"/>
                                </w:rPr>
                              </w:pPr>
                              <w:r>
                                <w:rPr>
                                  <w:rFonts w:hint="eastAsia"/>
                                  <w:sz w:val="15"/>
                                </w:rPr>
                                <w:t>）</w:t>
                              </w:r>
                            </w:p>
                          </w:txbxContent>
                        </v:textbox>
                      </v:shape>
                      <v:shape id="__TH_B3195" o:spid="_x0000_s1026" o:spt="202" type="#_x0000_t202" style="position:absolute;left:2071;top:9666;height:713;width:1158;rotation:2228224f;" filled="f" stroked="f" coordsize="21600,21600" o:gfxdata="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THq2e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sz w:val="18"/>
                                  <w:szCs w:val="18"/>
                                </w:rPr>
                              </w:pPr>
                              <w:r>
                                <w:rPr>
                                  <w:rFonts w:hint="eastAsia"/>
                                  <w:sz w:val="18"/>
                                  <w:szCs w:val="18"/>
                                </w:rPr>
                                <w:t>投资额或年主营业务收入（亿元）</w:t>
                              </w:r>
                            </w:p>
                            <w:p>
                              <w:pPr>
                                <w:snapToGrid w:val="0"/>
                                <w:rPr>
                                  <w:sz w:val="15"/>
                                </w:rPr>
                              </w:pPr>
                            </w:p>
                          </w:txbxContent>
                        </v:textbox>
                      </v:shape>
                      <v:shape id="__TH_B36100" o:spid="_x0000_s1026" o:spt="202" type="#_x0000_t202" style="position:absolute;left:3225;top:9157;height:372;width:304;rotation:2555904f;" filled="f" stroked="f" coordsize="21600,21600" o:gfxdata="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e+2m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5"/>
                                </w:rPr>
                              </w:pPr>
                              <w:r>
                                <w:rPr>
                                  <w:rFonts w:hint="eastAsia"/>
                                  <w:sz w:val="15"/>
                                </w:rPr>
                                <w:t>万</w:t>
                              </w:r>
                            </w:p>
                          </w:txbxContent>
                        </v:textbox>
                      </v:shape>
                    </v:group>
                  </w:pict>
                </mc:Fallback>
              </mc:AlternateContent>
            </w:r>
            <w:r>
              <w:rPr>
                <w:rFonts w:ascii="宋体" w:hAnsi="宋体"/>
                <w:b/>
                <w:color w:val="auto"/>
                <w:sz w:val="28"/>
                <w:szCs w:val="28"/>
              </w:rPr>
              <w:t xml:space="preserve"> </w:t>
            </w:r>
          </w:p>
        </w:tc>
        <w:tc>
          <w:tcPr>
            <w:tcW w:w="1687" w:type="dxa"/>
          </w:tcPr>
          <w:p>
            <w:pPr>
              <w:keepNext w:val="0"/>
              <w:keepLines w:val="0"/>
              <w:pageBreakBefore w:val="0"/>
              <w:kinsoku/>
              <w:wordWrap/>
              <w:overflowPunct/>
              <w:topLinePunct w:val="0"/>
              <w:autoSpaceDE/>
              <w:autoSpaceDN/>
              <w:bidi w:val="0"/>
              <w:adjustRightInd/>
              <w:snapToGrid/>
              <w:spacing w:line="360" w:lineRule="auto"/>
              <w:rPr>
                <w:rFonts w:ascii="宋体" w:hAnsi="宋体"/>
                <w:color w:val="auto"/>
                <w:sz w:val="28"/>
                <w:szCs w:val="28"/>
              </w:rPr>
            </w:pPr>
          </w:p>
          <w:p>
            <w:pPr>
              <w:keepNext w:val="0"/>
              <w:keepLines w:val="0"/>
              <w:pageBreakBefore w:val="0"/>
              <w:kinsoku/>
              <w:wordWrap/>
              <w:overflowPunct/>
              <w:topLinePunct w:val="0"/>
              <w:autoSpaceDE/>
              <w:autoSpaceDN/>
              <w:bidi w:val="0"/>
              <w:adjustRightInd/>
              <w:snapToGrid/>
              <w:spacing w:line="360" w:lineRule="auto"/>
              <w:rPr>
                <w:rFonts w:ascii="宋体" w:hAnsi="宋体"/>
                <w:color w:val="auto"/>
                <w:sz w:val="28"/>
                <w:szCs w:val="28"/>
              </w:rPr>
            </w:pPr>
            <w:r>
              <w:rPr>
                <w:rFonts w:hint="eastAsia" w:ascii="宋体" w:hAnsi="宋体"/>
                <w:color w:val="auto"/>
                <w:sz w:val="28"/>
                <w:szCs w:val="28"/>
              </w:rPr>
              <w:t>签订招商引资协议</w:t>
            </w:r>
          </w:p>
        </w:tc>
        <w:tc>
          <w:tcPr>
            <w:tcW w:w="1320" w:type="dxa"/>
          </w:tcPr>
          <w:p>
            <w:pPr>
              <w:keepNext w:val="0"/>
              <w:keepLines w:val="0"/>
              <w:pageBreakBefore w:val="0"/>
              <w:kinsoku/>
              <w:wordWrap/>
              <w:overflowPunct/>
              <w:topLinePunct w:val="0"/>
              <w:autoSpaceDE/>
              <w:autoSpaceDN/>
              <w:bidi w:val="0"/>
              <w:adjustRightInd/>
              <w:snapToGrid/>
              <w:spacing w:line="360" w:lineRule="auto"/>
              <w:rPr>
                <w:rFonts w:ascii="宋体" w:hAnsi="宋体"/>
                <w:color w:val="auto"/>
                <w:sz w:val="28"/>
                <w:szCs w:val="28"/>
              </w:rPr>
            </w:pPr>
          </w:p>
          <w:p>
            <w:pPr>
              <w:keepNext w:val="0"/>
              <w:keepLines w:val="0"/>
              <w:pageBreakBefore w:val="0"/>
              <w:kinsoku/>
              <w:wordWrap/>
              <w:overflowPunct/>
              <w:topLinePunct w:val="0"/>
              <w:autoSpaceDE/>
              <w:autoSpaceDN/>
              <w:bidi w:val="0"/>
              <w:adjustRightInd/>
              <w:snapToGrid/>
              <w:spacing w:line="360" w:lineRule="auto"/>
              <w:rPr>
                <w:rFonts w:ascii="宋体" w:hAnsi="宋体"/>
                <w:color w:val="auto"/>
                <w:sz w:val="28"/>
                <w:szCs w:val="28"/>
              </w:rPr>
            </w:pPr>
            <w:r>
              <w:rPr>
                <w:rFonts w:hint="eastAsia" w:ascii="宋体" w:hAnsi="宋体"/>
                <w:color w:val="auto"/>
                <w:sz w:val="28"/>
                <w:szCs w:val="28"/>
              </w:rPr>
              <w:t>注册</w:t>
            </w:r>
          </w:p>
          <w:p>
            <w:pPr>
              <w:keepNext w:val="0"/>
              <w:keepLines w:val="0"/>
              <w:pageBreakBefore w:val="0"/>
              <w:kinsoku/>
              <w:wordWrap/>
              <w:overflowPunct/>
              <w:topLinePunct w:val="0"/>
              <w:autoSpaceDE/>
              <w:autoSpaceDN/>
              <w:bidi w:val="0"/>
              <w:adjustRightInd/>
              <w:snapToGrid/>
              <w:spacing w:line="360" w:lineRule="auto"/>
              <w:rPr>
                <w:rFonts w:ascii="宋体" w:hAnsi="宋体"/>
                <w:color w:val="auto"/>
                <w:sz w:val="28"/>
                <w:szCs w:val="28"/>
              </w:rPr>
            </w:pPr>
            <w:r>
              <w:rPr>
                <w:rFonts w:hint="eastAsia" w:ascii="宋体" w:hAnsi="宋体"/>
                <w:color w:val="auto"/>
                <w:sz w:val="28"/>
                <w:szCs w:val="28"/>
              </w:rPr>
              <w:t>落地</w:t>
            </w:r>
          </w:p>
        </w:tc>
        <w:tc>
          <w:tcPr>
            <w:tcW w:w="1725" w:type="dxa"/>
          </w:tcPr>
          <w:p>
            <w:pPr>
              <w:keepNext w:val="0"/>
              <w:keepLines w:val="0"/>
              <w:pageBreakBefore w:val="0"/>
              <w:kinsoku/>
              <w:wordWrap/>
              <w:overflowPunct/>
              <w:topLinePunct w:val="0"/>
              <w:autoSpaceDE/>
              <w:autoSpaceDN/>
              <w:bidi w:val="0"/>
              <w:adjustRightInd/>
              <w:snapToGrid/>
              <w:spacing w:line="360" w:lineRule="auto"/>
              <w:rPr>
                <w:rFonts w:ascii="宋体" w:hAnsi="宋体"/>
                <w:color w:val="auto"/>
                <w:sz w:val="28"/>
                <w:szCs w:val="28"/>
              </w:rPr>
            </w:pPr>
            <w:r>
              <w:rPr>
                <w:rFonts w:hint="eastAsia" w:ascii="宋体" w:hAnsi="宋体"/>
                <w:color w:val="auto"/>
                <w:szCs w:val="21"/>
              </w:rPr>
              <w:t>签订《国有建设用地使用权出让合同》或正式运营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678" w:type="dxa"/>
          </w:tcPr>
          <w:p>
            <w:pPr>
              <w:keepNext w:val="0"/>
              <w:keepLines w:val="0"/>
              <w:pageBreakBefore w:val="0"/>
              <w:kinsoku/>
              <w:wordWrap/>
              <w:overflowPunct/>
              <w:topLinePunct w:val="0"/>
              <w:autoSpaceDE/>
              <w:autoSpaceDN/>
              <w:bidi w:val="0"/>
              <w:adjustRightInd/>
              <w:snapToGrid/>
              <w:spacing w:line="360" w:lineRule="auto"/>
              <w:rPr>
                <w:rFonts w:ascii="宋体" w:hAnsi="宋体"/>
                <w:color w:val="auto"/>
                <w:sz w:val="28"/>
                <w:szCs w:val="28"/>
              </w:rPr>
            </w:pPr>
            <w:r>
              <w:rPr>
                <w:rFonts w:hint="eastAsia" w:ascii="宋体" w:hAnsi="宋体"/>
                <w:color w:val="auto"/>
                <w:sz w:val="28"/>
                <w:szCs w:val="28"/>
              </w:rPr>
              <w:t>0.5 ＜a≤1</w:t>
            </w:r>
          </w:p>
        </w:tc>
        <w:tc>
          <w:tcPr>
            <w:tcW w:w="1687" w:type="dxa"/>
          </w:tcPr>
          <w:p>
            <w:pPr>
              <w:keepNext w:val="0"/>
              <w:keepLines w:val="0"/>
              <w:pageBreakBefore w:val="0"/>
              <w:kinsoku/>
              <w:wordWrap/>
              <w:overflowPunct/>
              <w:topLinePunct w:val="0"/>
              <w:autoSpaceDE/>
              <w:autoSpaceDN/>
              <w:bidi w:val="0"/>
              <w:adjustRightInd/>
              <w:snapToGrid/>
              <w:spacing w:line="360" w:lineRule="auto"/>
              <w:rPr>
                <w:rFonts w:ascii="宋体" w:hAnsi="宋体"/>
                <w:color w:val="auto"/>
                <w:sz w:val="28"/>
                <w:szCs w:val="28"/>
              </w:rPr>
            </w:pPr>
            <w:r>
              <w:rPr>
                <w:rFonts w:hint="eastAsia" w:ascii="宋体" w:hAnsi="宋体"/>
                <w:color w:val="auto"/>
                <w:sz w:val="28"/>
                <w:szCs w:val="28"/>
              </w:rPr>
              <w:t>10</w:t>
            </w:r>
          </w:p>
        </w:tc>
        <w:tc>
          <w:tcPr>
            <w:tcW w:w="1320" w:type="dxa"/>
          </w:tcPr>
          <w:p>
            <w:pPr>
              <w:keepNext w:val="0"/>
              <w:keepLines w:val="0"/>
              <w:pageBreakBefore w:val="0"/>
              <w:kinsoku/>
              <w:wordWrap/>
              <w:overflowPunct/>
              <w:topLinePunct w:val="0"/>
              <w:autoSpaceDE/>
              <w:autoSpaceDN/>
              <w:bidi w:val="0"/>
              <w:adjustRightInd/>
              <w:snapToGrid/>
              <w:spacing w:line="360" w:lineRule="auto"/>
              <w:rPr>
                <w:rFonts w:ascii="宋体" w:hAnsi="宋体"/>
                <w:color w:val="auto"/>
                <w:sz w:val="28"/>
                <w:szCs w:val="28"/>
              </w:rPr>
            </w:pPr>
            <w:r>
              <w:rPr>
                <w:rFonts w:hint="eastAsia" w:ascii="宋体" w:hAnsi="宋体"/>
                <w:color w:val="auto"/>
                <w:sz w:val="28"/>
                <w:szCs w:val="28"/>
              </w:rPr>
              <w:t>10</w:t>
            </w:r>
          </w:p>
        </w:tc>
        <w:tc>
          <w:tcPr>
            <w:tcW w:w="1725" w:type="dxa"/>
          </w:tcPr>
          <w:p>
            <w:pPr>
              <w:keepNext w:val="0"/>
              <w:keepLines w:val="0"/>
              <w:pageBreakBefore w:val="0"/>
              <w:kinsoku/>
              <w:wordWrap/>
              <w:overflowPunct/>
              <w:topLinePunct w:val="0"/>
              <w:autoSpaceDE/>
              <w:autoSpaceDN/>
              <w:bidi w:val="0"/>
              <w:adjustRightInd/>
              <w:snapToGrid/>
              <w:spacing w:line="360" w:lineRule="auto"/>
              <w:rPr>
                <w:rFonts w:ascii="宋体" w:hAnsi="宋体"/>
                <w:color w:val="auto"/>
                <w:sz w:val="28"/>
                <w:szCs w:val="28"/>
              </w:rPr>
            </w:pPr>
            <w:r>
              <w:rPr>
                <w:rFonts w:hint="eastAsia" w:ascii="宋体" w:hAnsi="宋体"/>
                <w:color w:val="auto"/>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2678" w:type="dxa"/>
          </w:tcPr>
          <w:p>
            <w:pPr>
              <w:keepNext w:val="0"/>
              <w:keepLines w:val="0"/>
              <w:pageBreakBefore w:val="0"/>
              <w:kinsoku/>
              <w:wordWrap/>
              <w:overflowPunct/>
              <w:topLinePunct w:val="0"/>
              <w:autoSpaceDE/>
              <w:autoSpaceDN/>
              <w:bidi w:val="0"/>
              <w:adjustRightInd/>
              <w:snapToGrid/>
              <w:spacing w:line="360" w:lineRule="auto"/>
              <w:rPr>
                <w:rFonts w:ascii="宋体" w:hAnsi="宋体"/>
                <w:color w:val="auto"/>
                <w:sz w:val="28"/>
                <w:szCs w:val="28"/>
              </w:rPr>
            </w:pPr>
            <w:r>
              <w:rPr>
                <w:rFonts w:hint="eastAsia" w:ascii="宋体" w:hAnsi="宋体"/>
                <w:color w:val="auto"/>
                <w:sz w:val="28"/>
                <w:szCs w:val="28"/>
              </w:rPr>
              <w:t>1＜a≤5</w:t>
            </w:r>
          </w:p>
        </w:tc>
        <w:tc>
          <w:tcPr>
            <w:tcW w:w="1687" w:type="dxa"/>
          </w:tcPr>
          <w:p>
            <w:pPr>
              <w:keepNext w:val="0"/>
              <w:keepLines w:val="0"/>
              <w:pageBreakBefore w:val="0"/>
              <w:kinsoku/>
              <w:wordWrap/>
              <w:overflowPunct/>
              <w:topLinePunct w:val="0"/>
              <w:autoSpaceDE/>
              <w:autoSpaceDN/>
              <w:bidi w:val="0"/>
              <w:adjustRightInd/>
              <w:snapToGrid/>
              <w:spacing w:line="360" w:lineRule="auto"/>
              <w:rPr>
                <w:rFonts w:ascii="宋体" w:hAnsi="宋体"/>
                <w:color w:val="auto"/>
                <w:sz w:val="28"/>
                <w:szCs w:val="28"/>
              </w:rPr>
            </w:pPr>
            <w:r>
              <w:rPr>
                <w:rFonts w:hint="eastAsia" w:ascii="宋体" w:hAnsi="宋体"/>
                <w:color w:val="auto"/>
                <w:sz w:val="28"/>
                <w:szCs w:val="28"/>
              </w:rPr>
              <w:t>15</w:t>
            </w:r>
          </w:p>
        </w:tc>
        <w:tc>
          <w:tcPr>
            <w:tcW w:w="1320" w:type="dxa"/>
          </w:tcPr>
          <w:p>
            <w:pPr>
              <w:keepNext w:val="0"/>
              <w:keepLines w:val="0"/>
              <w:pageBreakBefore w:val="0"/>
              <w:kinsoku/>
              <w:wordWrap/>
              <w:overflowPunct/>
              <w:topLinePunct w:val="0"/>
              <w:autoSpaceDE/>
              <w:autoSpaceDN/>
              <w:bidi w:val="0"/>
              <w:adjustRightInd/>
              <w:snapToGrid/>
              <w:spacing w:line="360" w:lineRule="auto"/>
              <w:rPr>
                <w:rFonts w:ascii="宋体" w:hAnsi="宋体"/>
                <w:color w:val="auto"/>
                <w:sz w:val="28"/>
                <w:szCs w:val="28"/>
              </w:rPr>
            </w:pPr>
            <w:r>
              <w:rPr>
                <w:rFonts w:hint="eastAsia" w:ascii="宋体" w:hAnsi="宋体"/>
                <w:color w:val="auto"/>
                <w:sz w:val="28"/>
                <w:szCs w:val="28"/>
              </w:rPr>
              <w:t>15</w:t>
            </w:r>
          </w:p>
        </w:tc>
        <w:tc>
          <w:tcPr>
            <w:tcW w:w="1725" w:type="dxa"/>
          </w:tcPr>
          <w:p>
            <w:pPr>
              <w:keepNext w:val="0"/>
              <w:keepLines w:val="0"/>
              <w:pageBreakBefore w:val="0"/>
              <w:kinsoku/>
              <w:wordWrap/>
              <w:overflowPunct/>
              <w:topLinePunct w:val="0"/>
              <w:autoSpaceDE/>
              <w:autoSpaceDN/>
              <w:bidi w:val="0"/>
              <w:adjustRightInd/>
              <w:snapToGrid/>
              <w:spacing w:line="360" w:lineRule="auto"/>
              <w:rPr>
                <w:rFonts w:ascii="宋体" w:hAnsi="宋体"/>
                <w:color w:val="auto"/>
                <w:sz w:val="28"/>
                <w:szCs w:val="28"/>
              </w:rPr>
            </w:pPr>
            <w:r>
              <w:rPr>
                <w:rFonts w:hint="eastAsia" w:ascii="宋体" w:hAnsi="宋体"/>
                <w:color w:val="auto"/>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8" w:type="dxa"/>
          </w:tcPr>
          <w:p>
            <w:pPr>
              <w:keepNext w:val="0"/>
              <w:keepLines w:val="0"/>
              <w:pageBreakBefore w:val="0"/>
              <w:kinsoku/>
              <w:wordWrap/>
              <w:overflowPunct/>
              <w:topLinePunct w:val="0"/>
              <w:autoSpaceDE/>
              <w:autoSpaceDN/>
              <w:bidi w:val="0"/>
              <w:adjustRightInd/>
              <w:snapToGrid/>
              <w:spacing w:line="360" w:lineRule="auto"/>
              <w:rPr>
                <w:rFonts w:ascii="宋体" w:hAnsi="宋体"/>
                <w:color w:val="auto"/>
                <w:sz w:val="28"/>
                <w:szCs w:val="28"/>
              </w:rPr>
            </w:pPr>
            <w:r>
              <w:rPr>
                <w:rFonts w:hint="eastAsia" w:ascii="宋体" w:hAnsi="宋体"/>
                <w:color w:val="auto"/>
                <w:sz w:val="28"/>
                <w:szCs w:val="28"/>
              </w:rPr>
              <w:t>5＜a≤10</w:t>
            </w:r>
          </w:p>
        </w:tc>
        <w:tc>
          <w:tcPr>
            <w:tcW w:w="1687" w:type="dxa"/>
          </w:tcPr>
          <w:p>
            <w:pPr>
              <w:keepNext w:val="0"/>
              <w:keepLines w:val="0"/>
              <w:pageBreakBefore w:val="0"/>
              <w:kinsoku/>
              <w:wordWrap/>
              <w:overflowPunct/>
              <w:topLinePunct w:val="0"/>
              <w:autoSpaceDE/>
              <w:autoSpaceDN/>
              <w:bidi w:val="0"/>
              <w:adjustRightInd/>
              <w:snapToGrid/>
              <w:spacing w:line="360" w:lineRule="auto"/>
              <w:rPr>
                <w:rFonts w:ascii="宋体" w:hAnsi="宋体"/>
                <w:color w:val="auto"/>
                <w:sz w:val="28"/>
                <w:szCs w:val="28"/>
              </w:rPr>
            </w:pPr>
            <w:r>
              <w:rPr>
                <w:rFonts w:hint="eastAsia" w:ascii="宋体" w:hAnsi="宋体"/>
                <w:color w:val="auto"/>
                <w:sz w:val="28"/>
                <w:szCs w:val="28"/>
              </w:rPr>
              <w:t>20</w:t>
            </w:r>
          </w:p>
        </w:tc>
        <w:tc>
          <w:tcPr>
            <w:tcW w:w="1320" w:type="dxa"/>
          </w:tcPr>
          <w:p>
            <w:pPr>
              <w:keepNext w:val="0"/>
              <w:keepLines w:val="0"/>
              <w:pageBreakBefore w:val="0"/>
              <w:kinsoku/>
              <w:wordWrap/>
              <w:overflowPunct/>
              <w:topLinePunct w:val="0"/>
              <w:autoSpaceDE/>
              <w:autoSpaceDN/>
              <w:bidi w:val="0"/>
              <w:adjustRightInd/>
              <w:snapToGrid/>
              <w:spacing w:line="360" w:lineRule="auto"/>
              <w:rPr>
                <w:rFonts w:ascii="宋体" w:hAnsi="宋体"/>
                <w:color w:val="auto"/>
                <w:sz w:val="28"/>
                <w:szCs w:val="28"/>
              </w:rPr>
            </w:pPr>
            <w:r>
              <w:rPr>
                <w:rFonts w:hint="eastAsia" w:ascii="宋体" w:hAnsi="宋体"/>
                <w:color w:val="auto"/>
                <w:sz w:val="28"/>
                <w:szCs w:val="28"/>
              </w:rPr>
              <w:t>20</w:t>
            </w:r>
          </w:p>
        </w:tc>
        <w:tc>
          <w:tcPr>
            <w:tcW w:w="1725" w:type="dxa"/>
          </w:tcPr>
          <w:p>
            <w:pPr>
              <w:keepNext w:val="0"/>
              <w:keepLines w:val="0"/>
              <w:pageBreakBefore w:val="0"/>
              <w:kinsoku/>
              <w:wordWrap/>
              <w:overflowPunct/>
              <w:topLinePunct w:val="0"/>
              <w:autoSpaceDE/>
              <w:autoSpaceDN/>
              <w:bidi w:val="0"/>
              <w:adjustRightInd/>
              <w:snapToGrid/>
              <w:spacing w:line="360" w:lineRule="auto"/>
              <w:rPr>
                <w:rFonts w:ascii="宋体" w:hAnsi="宋体"/>
                <w:color w:val="auto"/>
                <w:sz w:val="28"/>
                <w:szCs w:val="28"/>
              </w:rPr>
            </w:pPr>
            <w:r>
              <w:rPr>
                <w:rFonts w:hint="eastAsia" w:ascii="宋体" w:hAnsi="宋体"/>
                <w:color w:val="auto"/>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8" w:type="dxa"/>
          </w:tcPr>
          <w:p>
            <w:pPr>
              <w:keepNext w:val="0"/>
              <w:keepLines w:val="0"/>
              <w:pageBreakBefore w:val="0"/>
              <w:kinsoku/>
              <w:wordWrap/>
              <w:overflowPunct/>
              <w:topLinePunct w:val="0"/>
              <w:autoSpaceDE/>
              <w:autoSpaceDN/>
              <w:bidi w:val="0"/>
              <w:adjustRightInd/>
              <w:snapToGrid/>
              <w:spacing w:line="360" w:lineRule="auto"/>
              <w:rPr>
                <w:rFonts w:ascii="宋体" w:hAnsi="宋体"/>
                <w:color w:val="auto"/>
                <w:sz w:val="28"/>
                <w:szCs w:val="28"/>
              </w:rPr>
            </w:pPr>
            <w:r>
              <w:rPr>
                <w:rFonts w:hint="eastAsia" w:ascii="宋体" w:hAnsi="宋体" w:cs="宋体"/>
                <w:color w:val="auto"/>
                <w:sz w:val="28"/>
                <w:szCs w:val="28"/>
              </w:rPr>
              <w:t>&gt;</w:t>
            </w:r>
            <w:r>
              <w:rPr>
                <w:rFonts w:hint="eastAsia" w:ascii="宋体" w:hAnsi="宋体"/>
                <w:color w:val="auto"/>
                <w:sz w:val="28"/>
                <w:szCs w:val="28"/>
              </w:rPr>
              <w:t>10</w:t>
            </w:r>
          </w:p>
        </w:tc>
        <w:tc>
          <w:tcPr>
            <w:tcW w:w="1687" w:type="dxa"/>
          </w:tcPr>
          <w:p>
            <w:pPr>
              <w:keepNext w:val="0"/>
              <w:keepLines w:val="0"/>
              <w:pageBreakBefore w:val="0"/>
              <w:kinsoku/>
              <w:wordWrap/>
              <w:overflowPunct/>
              <w:topLinePunct w:val="0"/>
              <w:autoSpaceDE/>
              <w:autoSpaceDN/>
              <w:bidi w:val="0"/>
              <w:adjustRightInd/>
              <w:snapToGrid/>
              <w:spacing w:line="360" w:lineRule="auto"/>
              <w:rPr>
                <w:rFonts w:ascii="宋体" w:hAnsi="宋体"/>
                <w:color w:val="auto"/>
                <w:sz w:val="28"/>
                <w:szCs w:val="28"/>
              </w:rPr>
            </w:pPr>
            <w:r>
              <w:rPr>
                <w:rFonts w:hint="eastAsia" w:ascii="宋体" w:hAnsi="宋体"/>
                <w:color w:val="auto"/>
                <w:sz w:val="28"/>
                <w:szCs w:val="28"/>
              </w:rPr>
              <w:t>25</w:t>
            </w:r>
          </w:p>
        </w:tc>
        <w:tc>
          <w:tcPr>
            <w:tcW w:w="1320" w:type="dxa"/>
          </w:tcPr>
          <w:p>
            <w:pPr>
              <w:keepNext w:val="0"/>
              <w:keepLines w:val="0"/>
              <w:pageBreakBefore w:val="0"/>
              <w:kinsoku/>
              <w:wordWrap/>
              <w:overflowPunct/>
              <w:topLinePunct w:val="0"/>
              <w:autoSpaceDE/>
              <w:autoSpaceDN/>
              <w:bidi w:val="0"/>
              <w:adjustRightInd/>
              <w:snapToGrid/>
              <w:spacing w:line="360" w:lineRule="auto"/>
              <w:rPr>
                <w:rFonts w:ascii="宋体" w:hAnsi="宋体"/>
                <w:color w:val="auto"/>
                <w:sz w:val="28"/>
                <w:szCs w:val="28"/>
              </w:rPr>
            </w:pPr>
            <w:r>
              <w:rPr>
                <w:rFonts w:hint="eastAsia" w:ascii="宋体" w:hAnsi="宋体"/>
                <w:color w:val="auto"/>
                <w:sz w:val="28"/>
                <w:szCs w:val="28"/>
              </w:rPr>
              <w:t>25</w:t>
            </w:r>
          </w:p>
        </w:tc>
        <w:tc>
          <w:tcPr>
            <w:tcW w:w="1725" w:type="dxa"/>
          </w:tcPr>
          <w:p>
            <w:pPr>
              <w:keepNext w:val="0"/>
              <w:keepLines w:val="0"/>
              <w:pageBreakBefore w:val="0"/>
              <w:kinsoku/>
              <w:wordWrap/>
              <w:overflowPunct/>
              <w:topLinePunct w:val="0"/>
              <w:autoSpaceDE/>
              <w:autoSpaceDN/>
              <w:bidi w:val="0"/>
              <w:adjustRightInd/>
              <w:snapToGrid/>
              <w:spacing w:line="360" w:lineRule="auto"/>
              <w:rPr>
                <w:rFonts w:ascii="宋体" w:hAnsi="宋体"/>
                <w:color w:val="auto"/>
                <w:sz w:val="28"/>
                <w:szCs w:val="28"/>
              </w:rPr>
            </w:pPr>
            <w:r>
              <w:rPr>
                <w:rFonts w:hint="eastAsia" w:ascii="宋体" w:hAnsi="宋体"/>
                <w:color w:val="auto"/>
                <w:sz w:val="28"/>
                <w:szCs w:val="28"/>
              </w:rPr>
              <w:t>50</w:t>
            </w:r>
          </w:p>
        </w:tc>
      </w:tr>
    </w:tbl>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（二）对招商合作机构，成功引进约定外资项目的，项目落地动工建设后，参照省政府给予海南国际经济发展局的支持标准，按投资额的8‰予以奖励。</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四、涉及范围</w:t>
      </w:r>
    </w:p>
    <w:p>
      <w:pPr>
        <w:pStyle w:val="5"/>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招商引资及产业发展支持对象包括新迁入、新设立、已落户我市的企业（机构）</w:t>
      </w:r>
      <w:r>
        <w:rPr>
          <w:rFonts w:hint="eastAsia" w:ascii="仿宋_GB2312" w:hAnsi="仿宋_GB2312" w:eastAsia="仿宋_GB2312" w:cs="仿宋_GB2312"/>
          <w:color w:val="auto"/>
          <w:sz w:val="32"/>
          <w:szCs w:val="32"/>
          <w:lang w:eastAsia="zh-CN"/>
        </w:rPr>
        <w:t>：</w:t>
      </w:r>
    </w:p>
    <w:p>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（一）市政府鼓励的旅游业、现代服务业、高新技术产业、热带高效农业等领域的重点企业；</w:t>
      </w:r>
    </w:p>
    <w:p>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（二）市政府鼓励的，对集聚产业资源或完善产业链具有重大作用的产业行业协会（商会）和平台类、服务类、科研类等企业（机构）；</w:t>
      </w:r>
    </w:p>
    <w:p>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（三）市政府鼓励的，对改善社会民生或促进国家生态文明试验区建设具有重大作用的医疗、教育、环保等企业（机构）；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（四）上市企业、完成上市辅导企业以及获得股权投资、基金投资的拟迁入企业（不含房地产企业）；</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（五）经市政府认定的其他类型企业(机构)；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rPr>
          <w:rFonts w:hint="eastAsia" w:ascii="黑体" w:hAnsi="黑体" w:eastAsia="黑体" w:cs="黑体"/>
          <w:b w:val="0"/>
          <w:bCs w:val="0"/>
          <w:color w:val="auto"/>
          <w:sz w:val="32"/>
          <w:szCs w:val="32"/>
          <w:lang w:eastAsia="zh-CN"/>
        </w:rPr>
      </w:pPr>
      <w:r>
        <w:rPr>
          <w:rFonts w:hint="eastAsia" w:ascii="仿宋_GB2312" w:hAnsi="仿宋_GB2312" w:eastAsia="仿宋_GB2312" w:cs="仿宋_GB2312"/>
          <w:color w:val="auto"/>
          <w:sz w:val="32"/>
          <w:szCs w:val="32"/>
        </w:rPr>
        <w:t>（六）以上企业（机构）除现代服务业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热带高效农业</w:t>
      </w:r>
      <w:r>
        <w:rPr>
          <w:rFonts w:hint="eastAsia" w:ascii="仿宋_GB2312" w:hAnsi="仿宋_GB2312" w:eastAsia="仿宋_GB2312" w:cs="仿宋_GB2312"/>
          <w:color w:val="auto"/>
          <w:sz w:val="32"/>
          <w:szCs w:val="32"/>
          <w:lang w:eastAsia="zh-CN"/>
        </w:rPr>
        <w:t>及海南农产品深加工、冷链、物流等相关产业</w:t>
      </w:r>
      <w:r>
        <w:rPr>
          <w:rFonts w:hint="eastAsia" w:ascii="仿宋_GB2312" w:hAnsi="仿宋_GB2312" w:eastAsia="仿宋_GB2312" w:cs="仿宋_GB2312"/>
          <w:color w:val="auto"/>
          <w:sz w:val="32"/>
          <w:szCs w:val="32"/>
        </w:rPr>
        <w:t>外，须达到固定资产投资额5000万元以上或年度市级税收贡献200万元以上。</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五、执行标准</w:t>
      </w:r>
    </w:p>
    <w:p>
      <w:pPr>
        <w:keepNext w:val="0"/>
        <w:keepLines w:val="0"/>
        <w:pageBreakBefore w:val="0"/>
        <w:kinsoku/>
        <w:wordWrap/>
        <w:overflowPunct/>
        <w:topLinePunct w:val="0"/>
        <w:autoSpaceDE/>
        <w:autoSpaceDN/>
        <w:bidi w:val="0"/>
        <w:adjustRightInd/>
        <w:snapToGrid/>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（一）税收类</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月度市级税收贡献在20万元以上的新落户企业、月均产值达到双方约定产值要求的平台类项目公司，向市现代服务业和投资促进局备案，并按要求提供</w:t>
      </w:r>
      <w:r>
        <w:rPr>
          <w:rStyle w:val="13"/>
          <w:rFonts w:ascii="仿宋_GB2312" w:hAnsi="仿宋_GB2312" w:eastAsia="仿宋_GB2312"/>
          <w:color w:val="auto"/>
          <w:kern w:val="0"/>
          <w:sz w:val="32"/>
          <w:szCs w:val="32"/>
        </w:rPr>
        <w:t>申请</w:t>
      </w:r>
      <w:r>
        <w:rPr>
          <w:rStyle w:val="13"/>
          <w:rFonts w:hint="eastAsia" w:ascii="仿宋_GB2312" w:hAnsi="仿宋_GB2312" w:eastAsia="仿宋_GB2312"/>
          <w:color w:val="auto"/>
          <w:kern w:val="0"/>
          <w:sz w:val="32"/>
          <w:szCs w:val="32"/>
        </w:rPr>
        <w:t>书</w:t>
      </w:r>
      <w:r>
        <w:rPr>
          <w:rStyle w:val="13"/>
          <w:rFonts w:ascii="仿宋_GB2312" w:hAnsi="仿宋_GB2312" w:eastAsia="仿宋_GB2312"/>
          <w:color w:val="auto"/>
          <w:kern w:val="0"/>
          <w:sz w:val="32"/>
          <w:szCs w:val="32"/>
        </w:rPr>
        <w:t>、</w:t>
      </w:r>
      <w:r>
        <w:rPr>
          <w:rStyle w:val="13"/>
          <w:rFonts w:hint="eastAsia" w:ascii="仿宋_GB2312" w:hAnsi="仿宋_GB2312" w:eastAsia="仿宋_GB2312"/>
          <w:color w:val="auto"/>
          <w:kern w:val="0"/>
          <w:sz w:val="32"/>
          <w:szCs w:val="32"/>
        </w:rPr>
        <w:t>缴税凭证、产值证明（市统计局认可）等</w:t>
      </w:r>
      <w:r>
        <w:rPr>
          <w:rFonts w:hint="eastAsia" w:ascii="仿宋_GB2312" w:hAnsi="仿宋_GB2312" w:eastAsia="仿宋_GB2312" w:cs="仿宋_GB2312"/>
          <w:color w:val="auto"/>
          <w:sz w:val="32"/>
          <w:szCs w:val="32"/>
        </w:rPr>
        <w:t>材料。</w:t>
      </w:r>
    </w:p>
    <w:p>
      <w:pPr>
        <w:keepNext w:val="0"/>
        <w:keepLines w:val="0"/>
        <w:pageBreakBefore w:val="0"/>
        <w:kinsoku/>
        <w:wordWrap/>
        <w:overflowPunct/>
        <w:topLinePunct w:val="0"/>
        <w:autoSpaceDE/>
        <w:autoSpaceDN/>
        <w:bidi w:val="0"/>
        <w:adjustRightInd/>
        <w:snapToGrid/>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（二）其他类</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textAlignment w:val="auto"/>
        <w:rPr>
          <w:rStyle w:val="13"/>
          <w:rFonts w:ascii="仿宋_GB2312" w:hAnsi="仿宋_GB2312" w:eastAsia="仿宋_GB2312"/>
          <w:color w:val="auto"/>
          <w:kern w:val="0"/>
          <w:sz w:val="32"/>
          <w:szCs w:val="32"/>
        </w:rPr>
      </w:pPr>
      <w:r>
        <w:rPr>
          <w:rFonts w:hint="eastAsia" w:ascii="仿宋_GB2312" w:hAnsi="仿宋_GB2312" w:eastAsia="仿宋_GB2312" w:cs="仿宋_GB2312"/>
          <w:color w:val="auto"/>
          <w:sz w:val="32"/>
          <w:szCs w:val="32"/>
        </w:rPr>
        <w:t>其他符合本政策奖励条件的企业（机构），</w:t>
      </w:r>
      <w:r>
        <w:rPr>
          <w:rStyle w:val="13"/>
          <w:rFonts w:ascii="仿宋_GB2312" w:hAnsi="仿宋_GB2312" w:eastAsia="仿宋_GB2312"/>
          <w:color w:val="auto"/>
          <w:kern w:val="0"/>
          <w:sz w:val="32"/>
          <w:szCs w:val="32"/>
        </w:rPr>
        <w:t>于</w:t>
      </w:r>
      <w:r>
        <w:rPr>
          <w:rStyle w:val="13"/>
          <w:rFonts w:hint="eastAsia" w:ascii="仿宋_GB2312" w:hAnsi="仿宋_GB2312" w:eastAsia="仿宋_GB2312"/>
          <w:color w:val="auto"/>
          <w:kern w:val="0"/>
          <w:sz w:val="32"/>
          <w:szCs w:val="32"/>
        </w:rPr>
        <w:t>次年1月25日前</w:t>
      </w:r>
      <w:r>
        <w:rPr>
          <w:rStyle w:val="13"/>
          <w:rFonts w:ascii="仿宋_GB2312" w:hAnsi="仿宋_GB2312" w:eastAsia="仿宋_GB2312"/>
          <w:color w:val="auto"/>
          <w:kern w:val="0"/>
          <w:sz w:val="32"/>
          <w:szCs w:val="32"/>
        </w:rPr>
        <w:t>，向市现代服务业和投资促进局提出</w:t>
      </w:r>
      <w:r>
        <w:rPr>
          <w:rStyle w:val="13"/>
          <w:rFonts w:hint="eastAsia" w:ascii="仿宋_GB2312" w:hAnsi="仿宋_GB2312" w:eastAsia="仿宋_GB2312"/>
          <w:color w:val="auto"/>
          <w:kern w:val="0"/>
          <w:sz w:val="32"/>
          <w:szCs w:val="32"/>
        </w:rPr>
        <w:t>年度</w:t>
      </w:r>
      <w:r>
        <w:rPr>
          <w:rStyle w:val="13"/>
          <w:rFonts w:ascii="仿宋_GB2312" w:hAnsi="仿宋_GB2312" w:eastAsia="仿宋_GB2312"/>
          <w:color w:val="auto"/>
          <w:kern w:val="0"/>
          <w:sz w:val="32"/>
          <w:szCs w:val="32"/>
        </w:rPr>
        <w:t>资金扶持申请</w:t>
      </w:r>
      <w:r>
        <w:rPr>
          <w:rStyle w:val="13"/>
          <w:rFonts w:hint="eastAsia" w:ascii="仿宋_GB2312" w:hAnsi="仿宋_GB2312" w:eastAsia="仿宋_GB2312"/>
          <w:color w:val="auto"/>
          <w:kern w:val="0"/>
          <w:sz w:val="32"/>
          <w:szCs w:val="32"/>
        </w:rPr>
        <w:t>，</w:t>
      </w:r>
      <w:r>
        <w:rPr>
          <w:rStyle w:val="13"/>
          <w:rFonts w:ascii="仿宋_GB2312" w:hAnsi="仿宋_GB2312" w:eastAsia="仿宋_GB2312"/>
          <w:color w:val="auto"/>
          <w:kern w:val="0"/>
          <w:sz w:val="32"/>
          <w:szCs w:val="32"/>
        </w:rPr>
        <w:t>并按要求提供申请</w:t>
      </w:r>
      <w:r>
        <w:rPr>
          <w:rStyle w:val="13"/>
          <w:rFonts w:hint="eastAsia" w:ascii="仿宋_GB2312" w:hAnsi="仿宋_GB2312" w:eastAsia="仿宋_GB2312"/>
          <w:color w:val="auto"/>
          <w:kern w:val="0"/>
          <w:sz w:val="32"/>
          <w:szCs w:val="32"/>
        </w:rPr>
        <w:t>书</w:t>
      </w:r>
      <w:r>
        <w:rPr>
          <w:rStyle w:val="13"/>
          <w:rFonts w:ascii="仿宋_GB2312" w:hAnsi="仿宋_GB2312" w:eastAsia="仿宋_GB2312"/>
          <w:color w:val="auto"/>
          <w:kern w:val="0"/>
          <w:sz w:val="32"/>
          <w:szCs w:val="32"/>
        </w:rPr>
        <w:t>、</w:t>
      </w:r>
      <w:r>
        <w:rPr>
          <w:rStyle w:val="13"/>
          <w:rFonts w:hint="eastAsia" w:ascii="仿宋_GB2312" w:hAnsi="仿宋_GB2312" w:eastAsia="仿宋_GB2312"/>
          <w:color w:val="auto"/>
          <w:kern w:val="0"/>
          <w:sz w:val="32"/>
          <w:szCs w:val="32"/>
        </w:rPr>
        <w:t>符合本政策规定奖励条件</w:t>
      </w:r>
      <w:r>
        <w:rPr>
          <w:rStyle w:val="13"/>
          <w:rFonts w:ascii="仿宋_GB2312" w:hAnsi="仿宋_GB2312" w:eastAsia="仿宋_GB2312"/>
          <w:color w:val="auto"/>
          <w:kern w:val="0"/>
          <w:sz w:val="32"/>
          <w:szCs w:val="32"/>
        </w:rPr>
        <w:t>的</w:t>
      </w:r>
      <w:r>
        <w:rPr>
          <w:rStyle w:val="13"/>
          <w:rFonts w:hint="eastAsia" w:ascii="仿宋_GB2312" w:hAnsi="仿宋_GB2312" w:eastAsia="仿宋_GB2312"/>
          <w:color w:val="auto"/>
          <w:kern w:val="0"/>
          <w:sz w:val="32"/>
          <w:szCs w:val="32"/>
        </w:rPr>
        <w:t>相关</w:t>
      </w:r>
      <w:r>
        <w:rPr>
          <w:rStyle w:val="13"/>
          <w:rFonts w:ascii="仿宋_GB2312" w:hAnsi="仿宋_GB2312" w:eastAsia="仿宋_GB2312"/>
          <w:color w:val="auto"/>
          <w:kern w:val="0"/>
          <w:sz w:val="32"/>
          <w:szCs w:val="32"/>
        </w:rPr>
        <w:t>证明、缴税凭证</w:t>
      </w:r>
      <w:r>
        <w:rPr>
          <w:rStyle w:val="13"/>
          <w:rFonts w:hint="eastAsia" w:ascii="仿宋_GB2312" w:hAnsi="仿宋_GB2312" w:eastAsia="仿宋_GB2312"/>
          <w:color w:val="auto"/>
          <w:kern w:val="0"/>
          <w:sz w:val="32"/>
          <w:szCs w:val="32"/>
        </w:rPr>
        <w:t>等</w:t>
      </w:r>
      <w:r>
        <w:rPr>
          <w:rStyle w:val="13"/>
          <w:rFonts w:ascii="仿宋_GB2312" w:hAnsi="仿宋_GB2312" w:eastAsia="仿宋_GB2312"/>
          <w:color w:val="auto"/>
          <w:kern w:val="0"/>
          <w:sz w:val="32"/>
          <w:szCs w:val="32"/>
        </w:rPr>
        <w:t>材料。</w:t>
      </w:r>
    </w:p>
    <w:p>
      <w:pPr>
        <w:pStyle w:val="5"/>
        <w:keepNext w:val="0"/>
        <w:keepLines w:val="0"/>
        <w:pageBreakBefore w:val="0"/>
        <w:widowControl/>
        <w:numPr>
          <w:numId w:val="0"/>
        </w:numPr>
        <w:kinsoku/>
        <w:wordWrap/>
        <w:overflowPunct/>
        <w:topLinePunct w:val="0"/>
        <w:autoSpaceDE/>
        <w:autoSpaceDN/>
        <w:bidi w:val="0"/>
        <w:adjustRightInd/>
        <w:snapToGrid/>
        <w:spacing w:beforeAutospacing="0" w:afterAutospacing="0" w:line="360" w:lineRule="auto"/>
        <w:ind w:firstLine="640" w:firstLineChars="200"/>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六、注意事项</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本政策自发布之日起施行，有效期三年</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firstLine="640" w:firstLineChars="200"/>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关键词诠释</w:t>
      </w:r>
    </w:p>
    <w:p>
      <w:pPr>
        <w:pStyle w:val="5"/>
        <w:keepNext w:val="0"/>
        <w:keepLines w:val="0"/>
        <w:pageBreakBefore w:val="0"/>
        <w:widowControl/>
        <w:numPr>
          <w:numId w:val="0"/>
        </w:numPr>
        <w:kinsoku/>
        <w:wordWrap/>
        <w:overflowPunct/>
        <w:topLinePunct w:val="0"/>
        <w:autoSpaceDE/>
        <w:autoSpaceDN/>
        <w:bidi w:val="0"/>
        <w:adjustRightInd/>
        <w:snapToGrid/>
        <w:spacing w:beforeAutospacing="0" w:afterAutospacing="0" w:line="360" w:lineRule="auto"/>
        <w:ind w:firstLine="640" w:firstLineChars="200"/>
        <w:jc w:val="both"/>
        <w:rPr>
          <w:rFonts w:hint="eastAsia" w:ascii="黑体" w:hAnsi="黑体" w:eastAsia="黑体" w:cs="黑体"/>
          <w:b w:val="0"/>
          <w:bCs w:val="0"/>
          <w:color w:val="auto"/>
          <w:sz w:val="32"/>
          <w:szCs w:val="32"/>
          <w:lang w:eastAsia="zh-CN"/>
        </w:rPr>
      </w:pPr>
      <w:bookmarkStart w:id="0" w:name="_GoBack"/>
      <w:bookmarkEnd w:id="0"/>
      <w:r>
        <w:rPr>
          <w:rFonts w:hint="eastAsia" w:ascii="仿宋_GB2312" w:hAnsi="仿宋_GB2312" w:eastAsia="仿宋_GB2312" w:cs="仿宋_GB2312"/>
          <w:color w:val="auto"/>
          <w:sz w:val="32"/>
          <w:szCs w:val="32"/>
        </w:rPr>
        <w:t>本政策固定资产投资指项目不可售部分的投资；市级税收贡献指不含土地和房地产开发经营业务相关的市级分成部分的税收</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rPr>
          <w:rFonts w:hint="eastAsia" w:ascii="仿宋_GB2312" w:hAnsi="仿宋_GB2312" w:eastAsia="仿宋_GB2312" w:cs="仿宋_GB2312"/>
          <w:color w:val="auto"/>
          <w:sz w:val="32"/>
          <w:szCs w:val="32"/>
          <w:lang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00236"/>
    <w:multiLevelType w:val="singleLevel"/>
    <w:tmpl w:val="8BF00236"/>
    <w:lvl w:ilvl="0" w:tentative="0">
      <w:start w:val="7"/>
      <w:numFmt w:val="chineseCounting"/>
      <w:suff w:val="nothing"/>
      <w:lvlText w:val="%1、"/>
      <w:lvlJc w:val="left"/>
      <w:rPr>
        <w:rFonts w:hint="eastAsia"/>
      </w:rPr>
    </w:lvl>
  </w:abstractNum>
  <w:abstractNum w:abstractNumId="1">
    <w:nsid w:val="420C732A"/>
    <w:multiLevelType w:val="singleLevel"/>
    <w:tmpl w:val="420C732A"/>
    <w:lvl w:ilvl="0" w:tentative="0">
      <w:start w:val="1"/>
      <w:numFmt w:val="chineseCounting"/>
      <w:suff w:val="nothing"/>
      <w:lvlText w:val="（%1）"/>
      <w:lvlJc w:val="left"/>
      <w:rPr>
        <w:rFonts w:hint="eastAsia"/>
      </w:rPr>
    </w:lvl>
  </w:abstractNum>
  <w:abstractNum w:abstractNumId="2">
    <w:nsid w:val="553F864E"/>
    <w:multiLevelType w:val="singleLevel"/>
    <w:tmpl w:val="553F864E"/>
    <w:lvl w:ilvl="0" w:tentative="0">
      <w:start w:val="1"/>
      <w:numFmt w:val="chineseCounting"/>
      <w:suff w:val="nothing"/>
      <w:lvlText w:val="（%1）"/>
      <w:lvlJc w:val="left"/>
      <w:rPr>
        <w:rFonts w:hint="eastAsia"/>
      </w:rPr>
    </w:lvl>
  </w:abstractNum>
  <w:abstractNum w:abstractNumId="3">
    <w:nsid w:val="6D34FF69"/>
    <w:multiLevelType w:val="singleLevel"/>
    <w:tmpl w:val="6D34FF69"/>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4D40B8"/>
    <w:rsid w:val="000507B0"/>
    <w:rsid w:val="000E0D87"/>
    <w:rsid w:val="00276778"/>
    <w:rsid w:val="003872FC"/>
    <w:rsid w:val="004F0704"/>
    <w:rsid w:val="005D79BF"/>
    <w:rsid w:val="006130EA"/>
    <w:rsid w:val="00643925"/>
    <w:rsid w:val="007305EF"/>
    <w:rsid w:val="00880B0F"/>
    <w:rsid w:val="009F5DF3"/>
    <w:rsid w:val="00AB78B3"/>
    <w:rsid w:val="00B053ED"/>
    <w:rsid w:val="00B553FF"/>
    <w:rsid w:val="00BD358F"/>
    <w:rsid w:val="00CD29F2"/>
    <w:rsid w:val="00CF401B"/>
    <w:rsid w:val="00E9320B"/>
    <w:rsid w:val="00E974B1"/>
    <w:rsid w:val="00F221C6"/>
    <w:rsid w:val="00F32796"/>
    <w:rsid w:val="00FB17EA"/>
    <w:rsid w:val="01046445"/>
    <w:rsid w:val="01830A26"/>
    <w:rsid w:val="01B2479F"/>
    <w:rsid w:val="01E95FD9"/>
    <w:rsid w:val="02317705"/>
    <w:rsid w:val="026662A9"/>
    <w:rsid w:val="038D73E1"/>
    <w:rsid w:val="03911D19"/>
    <w:rsid w:val="03EF14F4"/>
    <w:rsid w:val="0418435B"/>
    <w:rsid w:val="0475098D"/>
    <w:rsid w:val="04F958D6"/>
    <w:rsid w:val="056A205B"/>
    <w:rsid w:val="05E72FF3"/>
    <w:rsid w:val="060F0E5D"/>
    <w:rsid w:val="06110F45"/>
    <w:rsid w:val="06AA1B94"/>
    <w:rsid w:val="06AD0111"/>
    <w:rsid w:val="06F04B43"/>
    <w:rsid w:val="07447869"/>
    <w:rsid w:val="075B4720"/>
    <w:rsid w:val="07B64552"/>
    <w:rsid w:val="07E85562"/>
    <w:rsid w:val="082F1074"/>
    <w:rsid w:val="08595B6A"/>
    <w:rsid w:val="087A067B"/>
    <w:rsid w:val="08D915FB"/>
    <w:rsid w:val="08F9693D"/>
    <w:rsid w:val="09216353"/>
    <w:rsid w:val="097A3BBD"/>
    <w:rsid w:val="0A21514E"/>
    <w:rsid w:val="0A2403C6"/>
    <w:rsid w:val="0A2E01AF"/>
    <w:rsid w:val="0A472B67"/>
    <w:rsid w:val="0A552E9F"/>
    <w:rsid w:val="0A7826C4"/>
    <w:rsid w:val="0A8F7283"/>
    <w:rsid w:val="0ACA6DB0"/>
    <w:rsid w:val="0B4B0F0E"/>
    <w:rsid w:val="0B7B231E"/>
    <w:rsid w:val="0C7D045C"/>
    <w:rsid w:val="0CBF3A53"/>
    <w:rsid w:val="0CFA0813"/>
    <w:rsid w:val="0D291DC0"/>
    <w:rsid w:val="0D3C5957"/>
    <w:rsid w:val="0D3E00B4"/>
    <w:rsid w:val="0D5A1EDD"/>
    <w:rsid w:val="0DBF3972"/>
    <w:rsid w:val="0E333C07"/>
    <w:rsid w:val="0E6426E6"/>
    <w:rsid w:val="0E984222"/>
    <w:rsid w:val="0EA710CF"/>
    <w:rsid w:val="0F084BB3"/>
    <w:rsid w:val="0F8F0669"/>
    <w:rsid w:val="0FC21594"/>
    <w:rsid w:val="0FD03990"/>
    <w:rsid w:val="0FFD68CE"/>
    <w:rsid w:val="10E00EC6"/>
    <w:rsid w:val="10E80A47"/>
    <w:rsid w:val="110D79D0"/>
    <w:rsid w:val="119A33BA"/>
    <w:rsid w:val="11D03FA1"/>
    <w:rsid w:val="1223176A"/>
    <w:rsid w:val="12425795"/>
    <w:rsid w:val="124311C3"/>
    <w:rsid w:val="124A6F88"/>
    <w:rsid w:val="12C44B0A"/>
    <w:rsid w:val="12C66C08"/>
    <w:rsid w:val="12E37E5E"/>
    <w:rsid w:val="12F7520C"/>
    <w:rsid w:val="13531AD1"/>
    <w:rsid w:val="136716DB"/>
    <w:rsid w:val="136C7D70"/>
    <w:rsid w:val="1377106F"/>
    <w:rsid w:val="13A82F0F"/>
    <w:rsid w:val="13B80079"/>
    <w:rsid w:val="13DF2D38"/>
    <w:rsid w:val="13E90FC8"/>
    <w:rsid w:val="141F2C23"/>
    <w:rsid w:val="1450391A"/>
    <w:rsid w:val="14686A15"/>
    <w:rsid w:val="149D24FF"/>
    <w:rsid w:val="14C7116D"/>
    <w:rsid w:val="15164F40"/>
    <w:rsid w:val="153E2C5C"/>
    <w:rsid w:val="154655EF"/>
    <w:rsid w:val="15987DB2"/>
    <w:rsid w:val="15A2582C"/>
    <w:rsid w:val="164F2426"/>
    <w:rsid w:val="16EE7D48"/>
    <w:rsid w:val="17062018"/>
    <w:rsid w:val="174D0B61"/>
    <w:rsid w:val="176F7F4A"/>
    <w:rsid w:val="17D46DE7"/>
    <w:rsid w:val="184F2B35"/>
    <w:rsid w:val="184F5C9A"/>
    <w:rsid w:val="18CB66D3"/>
    <w:rsid w:val="19A21D22"/>
    <w:rsid w:val="19EE6BB2"/>
    <w:rsid w:val="1A4174FB"/>
    <w:rsid w:val="1A5B0473"/>
    <w:rsid w:val="1A9609F9"/>
    <w:rsid w:val="1AAF330D"/>
    <w:rsid w:val="1B24335D"/>
    <w:rsid w:val="1B342F24"/>
    <w:rsid w:val="1B7D48E6"/>
    <w:rsid w:val="1B922C5C"/>
    <w:rsid w:val="1B922CC9"/>
    <w:rsid w:val="1BC31910"/>
    <w:rsid w:val="1C8D2F21"/>
    <w:rsid w:val="1CEA1859"/>
    <w:rsid w:val="1CFD5F68"/>
    <w:rsid w:val="1D0D22C3"/>
    <w:rsid w:val="1D294CEF"/>
    <w:rsid w:val="1D5A56EE"/>
    <w:rsid w:val="1DC55948"/>
    <w:rsid w:val="1DEB054C"/>
    <w:rsid w:val="1E7775FD"/>
    <w:rsid w:val="1E8C5298"/>
    <w:rsid w:val="1EBD6CDC"/>
    <w:rsid w:val="1F2B5DDF"/>
    <w:rsid w:val="1F8F0988"/>
    <w:rsid w:val="204D3767"/>
    <w:rsid w:val="20E156EE"/>
    <w:rsid w:val="20F05CCF"/>
    <w:rsid w:val="2104385C"/>
    <w:rsid w:val="2157548A"/>
    <w:rsid w:val="21656CE5"/>
    <w:rsid w:val="216F6C69"/>
    <w:rsid w:val="222C35CF"/>
    <w:rsid w:val="22A468FF"/>
    <w:rsid w:val="2367755F"/>
    <w:rsid w:val="23867B7E"/>
    <w:rsid w:val="23AD63DD"/>
    <w:rsid w:val="23C563EC"/>
    <w:rsid w:val="24010800"/>
    <w:rsid w:val="24302CF6"/>
    <w:rsid w:val="24513031"/>
    <w:rsid w:val="248367D5"/>
    <w:rsid w:val="24C5771B"/>
    <w:rsid w:val="252C310C"/>
    <w:rsid w:val="25542493"/>
    <w:rsid w:val="2587797B"/>
    <w:rsid w:val="25E00728"/>
    <w:rsid w:val="267B0CAB"/>
    <w:rsid w:val="268F43DA"/>
    <w:rsid w:val="26B45540"/>
    <w:rsid w:val="26DC5818"/>
    <w:rsid w:val="26FC3A86"/>
    <w:rsid w:val="278A27DF"/>
    <w:rsid w:val="27B6726D"/>
    <w:rsid w:val="27DC2784"/>
    <w:rsid w:val="281F24D1"/>
    <w:rsid w:val="28350892"/>
    <w:rsid w:val="28BE1234"/>
    <w:rsid w:val="28C00CB0"/>
    <w:rsid w:val="28D332ED"/>
    <w:rsid w:val="28D66420"/>
    <w:rsid w:val="291B360C"/>
    <w:rsid w:val="291C53C0"/>
    <w:rsid w:val="293E6B48"/>
    <w:rsid w:val="2990492A"/>
    <w:rsid w:val="2A2F36F9"/>
    <w:rsid w:val="2A5B76A5"/>
    <w:rsid w:val="2A700C81"/>
    <w:rsid w:val="2A825346"/>
    <w:rsid w:val="2ABD0BF1"/>
    <w:rsid w:val="2B125D71"/>
    <w:rsid w:val="2B3230E4"/>
    <w:rsid w:val="2B431E58"/>
    <w:rsid w:val="2B6E759D"/>
    <w:rsid w:val="2B8D031F"/>
    <w:rsid w:val="2BAA2965"/>
    <w:rsid w:val="2BF31FC0"/>
    <w:rsid w:val="2C383B43"/>
    <w:rsid w:val="2CBE4E14"/>
    <w:rsid w:val="2CFC63ED"/>
    <w:rsid w:val="2D055E0C"/>
    <w:rsid w:val="2D833DD3"/>
    <w:rsid w:val="2D8C0C41"/>
    <w:rsid w:val="2D990AA4"/>
    <w:rsid w:val="2E541D75"/>
    <w:rsid w:val="2E587E5E"/>
    <w:rsid w:val="2F026493"/>
    <w:rsid w:val="2F4E170C"/>
    <w:rsid w:val="2F714C2A"/>
    <w:rsid w:val="2FE8203D"/>
    <w:rsid w:val="30465BA8"/>
    <w:rsid w:val="306A6D9E"/>
    <w:rsid w:val="306A7DAE"/>
    <w:rsid w:val="31C224B6"/>
    <w:rsid w:val="31D115CA"/>
    <w:rsid w:val="32570E14"/>
    <w:rsid w:val="3262144C"/>
    <w:rsid w:val="327203CA"/>
    <w:rsid w:val="32AE6A63"/>
    <w:rsid w:val="33655D7D"/>
    <w:rsid w:val="33A92389"/>
    <w:rsid w:val="33BE40B2"/>
    <w:rsid w:val="340B4F75"/>
    <w:rsid w:val="341014FF"/>
    <w:rsid w:val="34993D97"/>
    <w:rsid w:val="35711DB4"/>
    <w:rsid w:val="357B7392"/>
    <w:rsid w:val="35A8429E"/>
    <w:rsid w:val="35B539B6"/>
    <w:rsid w:val="35EA5688"/>
    <w:rsid w:val="35F56994"/>
    <w:rsid w:val="36060934"/>
    <w:rsid w:val="364F42C0"/>
    <w:rsid w:val="365229A9"/>
    <w:rsid w:val="37184CD8"/>
    <w:rsid w:val="37673D42"/>
    <w:rsid w:val="37F2012C"/>
    <w:rsid w:val="382722CE"/>
    <w:rsid w:val="385F3E22"/>
    <w:rsid w:val="386E6266"/>
    <w:rsid w:val="38B07DF3"/>
    <w:rsid w:val="390561F2"/>
    <w:rsid w:val="39E74856"/>
    <w:rsid w:val="3A9A58C9"/>
    <w:rsid w:val="3AE1432B"/>
    <w:rsid w:val="3AF91686"/>
    <w:rsid w:val="3B526EF0"/>
    <w:rsid w:val="3B6C7BF5"/>
    <w:rsid w:val="3BA20D86"/>
    <w:rsid w:val="3BF1297C"/>
    <w:rsid w:val="3C1A317C"/>
    <w:rsid w:val="3C5A4EC2"/>
    <w:rsid w:val="3D216CC8"/>
    <w:rsid w:val="3DED680F"/>
    <w:rsid w:val="3E461B2B"/>
    <w:rsid w:val="3E5537F2"/>
    <w:rsid w:val="3E6A7490"/>
    <w:rsid w:val="3F19084C"/>
    <w:rsid w:val="3F597CFD"/>
    <w:rsid w:val="3F902719"/>
    <w:rsid w:val="3FAE2359"/>
    <w:rsid w:val="3FC54267"/>
    <w:rsid w:val="400160C6"/>
    <w:rsid w:val="404A3D34"/>
    <w:rsid w:val="40A03953"/>
    <w:rsid w:val="40FB42D6"/>
    <w:rsid w:val="41086E94"/>
    <w:rsid w:val="413B521E"/>
    <w:rsid w:val="414B0057"/>
    <w:rsid w:val="41755E3E"/>
    <w:rsid w:val="41857E26"/>
    <w:rsid w:val="418873F2"/>
    <w:rsid w:val="41951EAF"/>
    <w:rsid w:val="41D438C8"/>
    <w:rsid w:val="41D6049D"/>
    <w:rsid w:val="42633B65"/>
    <w:rsid w:val="429D21B9"/>
    <w:rsid w:val="42AE7D66"/>
    <w:rsid w:val="42B54F00"/>
    <w:rsid w:val="42CE6C7B"/>
    <w:rsid w:val="43B2098A"/>
    <w:rsid w:val="43B91B85"/>
    <w:rsid w:val="43CC7793"/>
    <w:rsid w:val="44176E0F"/>
    <w:rsid w:val="442F3583"/>
    <w:rsid w:val="44D53147"/>
    <w:rsid w:val="45312EA4"/>
    <w:rsid w:val="454F4868"/>
    <w:rsid w:val="456A6268"/>
    <w:rsid w:val="45981AFC"/>
    <w:rsid w:val="459C0373"/>
    <w:rsid w:val="45AD6CE7"/>
    <w:rsid w:val="46385730"/>
    <w:rsid w:val="463F04CD"/>
    <w:rsid w:val="464D191F"/>
    <w:rsid w:val="468B69BB"/>
    <w:rsid w:val="46CC40E8"/>
    <w:rsid w:val="472C0E81"/>
    <w:rsid w:val="47386488"/>
    <w:rsid w:val="473A2942"/>
    <w:rsid w:val="47773CD6"/>
    <w:rsid w:val="4799233C"/>
    <w:rsid w:val="47AF7273"/>
    <w:rsid w:val="47F5305F"/>
    <w:rsid w:val="480E5507"/>
    <w:rsid w:val="48552BB8"/>
    <w:rsid w:val="48D72D68"/>
    <w:rsid w:val="48D933C7"/>
    <w:rsid w:val="494666FE"/>
    <w:rsid w:val="494D40B8"/>
    <w:rsid w:val="4980674F"/>
    <w:rsid w:val="49AD14C3"/>
    <w:rsid w:val="4A127002"/>
    <w:rsid w:val="4A236103"/>
    <w:rsid w:val="4A577231"/>
    <w:rsid w:val="4A5A7B43"/>
    <w:rsid w:val="4A6418A3"/>
    <w:rsid w:val="4AA4287E"/>
    <w:rsid w:val="4ACC55E7"/>
    <w:rsid w:val="4AE406D7"/>
    <w:rsid w:val="4B2E192A"/>
    <w:rsid w:val="4B36746D"/>
    <w:rsid w:val="4B646AAF"/>
    <w:rsid w:val="4B6D71F6"/>
    <w:rsid w:val="4BA66B5E"/>
    <w:rsid w:val="4BA85CA4"/>
    <w:rsid w:val="4BBD7DD5"/>
    <w:rsid w:val="4C2461DE"/>
    <w:rsid w:val="4C9D5D72"/>
    <w:rsid w:val="4CF21BD5"/>
    <w:rsid w:val="4CF7731C"/>
    <w:rsid w:val="4D0437D8"/>
    <w:rsid w:val="4DD93188"/>
    <w:rsid w:val="4E841046"/>
    <w:rsid w:val="4F101DFB"/>
    <w:rsid w:val="4FA366A7"/>
    <w:rsid w:val="50414E05"/>
    <w:rsid w:val="50776A2E"/>
    <w:rsid w:val="5083724D"/>
    <w:rsid w:val="509D476B"/>
    <w:rsid w:val="50A34F4C"/>
    <w:rsid w:val="513A7344"/>
    <w:rsid w:val="516036D0"/>
    <w:rsid w:val="51E7687A"/>
    <w:rsid w:val="51EF5F84"/>
    <w:rsid w:val="52127D9E"/>
    <w:rsid w:val="52434F22"/>
    <w:rsid w:val="524D78E8"/>
    <w:rsid w:val="52985796"/>
    <w:rsid w:val="52F95677"/>
    <w:rsid w:val="530B65A9"/>
    <w:rsid w:val="532845DA"/>
    <w:rsid w:val="53663D87"/>
    <w:rsid w:val="53786A37"/>
    <w:rsid w:val="53836319"/>
    <w:rsid w:val="539A5EB8"/>
    <w:rsid w:val="53B34F74"/>
    <w:rsid w:val="54010630"/>
    <w:rsid w:val="54D07220"/>
    <w:rsid w:val="54DE27C8"/>
    <w:rsid w:val="55150099"/>
    <w:rsid w:val="55367B66"/>
    <w:rsid w:val="55CB6FD0"/>
    <w:rsid w:val="55D764FB"/>
    <w:rsid w:val="55F24B6D"/>
    <w:rsid w:val="566D7B65"/>
    <w:rsid w:val="567507E6"/>
    <w:rsid w:val="5676675C"/>
    <w:rsid w:val="56781C78"/>
    <w:rsid w:val="56B36EF8"/>
    <w:rsid w:val="56E178F7"/>
    <w:rsid w:val="570C1CEB"/>
    <w:rsid w:val="5715304D"/>
    <w:rsid w:val="577E61B7"/>
    <w:rsid w:val="578878EA"/>
    <w:rsid w:val="57C23A0C"/>
    <w:rsid w:val="57CA626D"/>
    <w:rsid w:val="58236275"/>
    <w:rsid w:val="584420A2"/>
    <w:rsid w:val="58766DFA"/>
    <w:rsid w:val="589B7927"/>
    <w:rsid w:val="58E907F5"/>
    <w:rsid w:val="59BB54C5"/>
    <w:rsid w:val="59BF3082"/>
    <w:rsid w:val="59D83D2D"/>
    <w:rsid w:val="5A630435"/>
    <w:rsid w:val="5A847EE8"/>
    <w:rsid w:val="5B5C5C6A"/>
    <w:rsid w:val="5B694AAE"/>
    <w:rsid w:val="5BCF764C"/>
    <w:rsid w:val="5C0D7C1E"/>
    <w:rsid w:val="5C1B7BC6"/>
    <w:rsid w:val="5C2B7BFA"/>
    <w:rsid w:val="5C485BB4"/>
    <w:rsid w:val="5C966B7B"/>
    <w:rsid w:val="5D821D0A"/>
    <w:rsid w:val="5DD8010C"/>
    <w:rsid w:val="5DE140C3"/>
    <w:rsid w:val="5E0D2914"/>
    <w:rsid w:val="5E4D2628"/>
    <w:rsid w:val="5E5731A6"/>
    <w:rsid w:val="5F8B238A"/>
    <w:rsid w:val="60042992"/>
    <w:rsid w:val="605443A0"/>
    <w:rsid w:val="60B51151"/>
    <w:rsid w:val="60DD0F31"/>
    <w:rsid w:val="6118666B"/>
    <w:rsid w:val="61322C6D"/>
    <w:rsid w:val="61353435"/>
    <w:rsid w:val="61FC1D71"/>
    <w:rsid w:val="62262EE7"/>
    <w:rsid w:val="628532D8"/>
    <w:rsid w:val="62AC1D93"/>
    <w:rsid w:val="63845711"/>
    <w:rsid w:val="638C34FB"/>
    <w:rsid w:val="639645D0"/>
    <w:rsid w:val="63BF2D32"/>
    <w:rsid w:val="63DB096E"/>
    <w:rsid w:val="642C071F"/>
    <w:rsid w:val="64590B32"/>
    <w:rsid w:val="64A53005"/>
    <w:rsid w:val="64A635B6"/>
    <w:rsid w:val="64C45B32"/>
    <w:rsid w:val="64C920E2"/>
    <w:rsid w:val="64CA5C37"/>
    <w:rsid w:val="64D92A3A"/>
    <w:rsid w:val="650B10DF"/>
    <w:rsid w:val="65222790"/>
    <w:rsid w:val="65384FD2"/>
    <w:rsid w:val="657A52AD"/>
    <w:rsid w:val="65BD65A7"/>
    <w:rsid w:val="65D851E2"/>
    <w:rsid w:val="66BF0FA2"/>
    <w:rsid w:val="66FE1C08"/>
    <w:rsid w:val="670364D2"/>
    <w:rsid w:val="678D381D"/>
    <w:rsid w:val="67F1239F"/>
    <w:rsid w:val="67FE6D4D"/>
    <w:rsid w:val="681A7617"/>
    <w:rsid w:val="6854044D"/>
    <w:rsid w:val="68645BAA"/>
    <w:rsid w:val="68B96F2E"/>
    <w:rsid w:val="695A3E7A"/>
    <w:rsid w:val="69841359"/>
    <w:rsid w:val="69D66F26"/>
    <w:rsid w:val="6A1E2FA4"/>
    <w:rsid w:val="6A24143F"/>
    <w:rsid w:val="6A257FFF"/>
    <w:rsid w:val="6A27041B"/>
    <w:rsid w:val="6AB13087"/>
    <w:rsid w:val="6AF31B2E"/>
    <w:rsid w:val="6AF55F89"/>
    <w:rsid w:val="6B2B2049"/>
    <w:rsid w:val="6B5D4274"/>
    <w:rsid w:val="6B921A9C"/>
    <w:rsid w:val="6BC35150"/>
    <w:rsid w:val="6BDD47C8"/>
    <w:rsid w:val="6C0761CC"/>
    <w:rsid w:val="6C3522F4"/>
    <w:rsid w:val="6C50690D"/>
    <w:rsid w:val="6C5C70DD"/>
    <w:rsid w:val="6C7D0F26"/>
    <w:rsid w:val="6D815274"/>
    <w:rsid w:val="6D9D3ACE"/>
    <w:rsid w:val="6DC36799"/>
    <w:rsid w:val="6DFA6C5C"/>
    <w:rsid w:val="6E174829"/>
    <w:rsid w:val="6E701EBE"/>
    <w:rsid w:val="6EA446E9"/>
    <w:rsid w:val="6EA447D7"/>
    <w:rsid w:val="6F370BBC"/>
    <w:rsid w:val="6F3E3C75"/>
    <w:rsid w:val="6F892272"/>
    <w:rsid w:val="70121978"/>
    <w:rsid w:val="714E5EB9"/>
    <w:rsid w:val="719C47D0"/>
    <w:rsid w:val="71CE1127"/>
    <w:rsid w:val="71D10249"/>
    <w:rsid w:val="72221B41"/>
    <w:rsid w:val="72E67DDA"/>
    <w:rsid w:val="72EE565C"/>
    <w:rsid w:val="734A677A"/>
    <w:rsid w:val="73FA4202"/>
    <w:rsid w:val="740075BD"/>
    <w:rsid w:val="741C1DB1"/>
    <w:rsid w:val="744F1B80"/>
    <w:rsid w:val="74972A94"/>
    <w:rsid w:val="74BB4C2B"/>
    <w:rsid w:val="753002C3"/>
    <w:rsid w:val="75667443"/>
    <w:rsid w:val="75E26373"/>
    <w:rsid w:val="763D78AE"/>
    <w:rsid w:val="76593091"/>
    <w:rsid w:val="76D656E7"/>
    <w:rsid w:val="76DD5A25"/>
    <w:rsid w:val="76F80746"/>
    <w:rsid w:val="78027CF9"/>
    <w:rsid w:val="780514F1"/>
    <w:rsid w:val="78097F6E"/>
    <w:rsid w:val="784F0F40"/>
    <w:rsid w:val="7857176E"/>
    <w:rsid w:val="7918433A"/>
    <w:rsid w:val="793F3B72"/>
    <w:rsid w:val="79755C40"/>
    <w:rsid w:val="79832C79"/>
    <w:rsid w:val="7A02253B"/>
    <w:rsid w:val="7A3011D3"/>
    <w:rsid w:val="7A3E1E2E"/>
    <w:rsid w:val="7A5A5D45"/>
    <w:rsid w:val="7A5C12E8"/>
    <w:rsid w:val="7A8572C6"/>
    <w:rsid w:val="7A88008A"/>
    <w:rsid w:val="7AA935CE"/>
    <w:rsid w:val="7AB77A50"/>
    <w:rsid w:val="7B3A5929"/>
    <w:rsid w:val="7B5A2D49"/>
    <w:rsid w:val="7B72340C"/>
    <w:rsid w:val="7B896029"/>
    <w:rsid w:val="7CA45FA2"/>
    <w:rsid w:val="7CAD180E"/>
    <w:rsid w:val="7CBD76F3"/>
    <w:rsid w:val="7CEA01A1"/>
    <w:rsid w:val="7DC87DEA"/>
    <w:rsid w:val="7DDF5337"/>
    <w:rsid w:val="7E3D56DB"/>
    <w:rsid w:val="7EA03194"/>
    <w:rsid w:val="7EAB5BF0"/>
    <w:rsid w:val="7EE824B1"/>
    <w:rsid w:val="7F235BA6"/>
    <w:rsid w:val="7F3A3A75"/>
    <w:rsid w:val="7F84208F"/>
    <w:rsid w:val="7FD8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rFonts w:ascii="仿宋_GB2312" w:hAnsi="Times New Roman" w:eastAsia="宋体" w:cs="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unhideWhenUsed/>
    <w:qFormat/>
    <w:uiPriority w:val="99"/>
    <w:rPr>
      <w:color w:val="0000FF"/>
      <w:u w:val="single"/>
    </w:rPr>
  </w:style>
  <w:style w:type="paragraph" w:customStyle="1" w:styleId="9">
    <w:name w:val="列表段落1"/>
    <w:basedOn w:val="1"/>
    <w:qFormat/>
    <w:uiPriority w:val="99"/>
    <w:pPr>
      <w:ind w:firstLine="420" w:firstLineChars="200"/>
    </w:pPr>
  </w:style>
  <w:style w:type="paragraph" w:customStyle="1" w:styleId="10">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character" w:customStyle="1" w:styleId="11">
    <w:name w:val="fontstyle01"/>
    <w:qFormat/>
    <w:uiPriority w:val="0"/>
    <w:rPr>
      <w:rFonts w:ascii="仿宋_GB2312" w:hAnsi="仿宋_GB2312" w:eastAsia="仿宋_GB2312" w:cs="仿宋_GB2312"/>
      <w:color w:val="000000"/>
      <w:sz w:val="32"/>
      <w:szCs w:val="32"/>
    </w:rPr>
  </w:style>
  <w:style w:type="paragraph" w:customStyle="1" w:styleId="12">
    <w:name w:val="HtmlNormal"/>
    <w:basedOn w:val="1"/>
    <w:qFormat/>
    <w:uiPriority w:val="0"/>
    <w:pPr>
      <w:spacing w:before="100" w:beforeAutospacing="1" w:after="100" w:afterAutospacing="1"/>
      <w:jc w:val="left"/>
      <w:textAlignment w:val="baseline"/>
    </w:pPr>
    <w:rPr>
      <w:rFonts w:ascii="Calibri" w:hAnsi="Calibri" w:eastAsia="宋体"/>
      <w:kern w:val="0"/>
      <w:sz w:val="24"/>
    </w:rPr>
  </w:style>
  <w:style w:type="character" w:customStyle="1" w:styleId="13">
    <w:name w:val="NormalCharacter"/>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565</Words>
  <Characters>3225</Characters>
  <Lines>26</Lines>
  <Paragraphs>7</Paragraphs>
  <TotalTime>0</TotalTime>
  <ScaleCrop>false</ScaleCrop>
  <LinksUpToDate>false</LinksUpToDate>
  <CharactersWithSpaces>3783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2020-02-05T06:20:00Z</dcterms:created>
  <dc:creator>未定义</dc:creator>
  <cp:lastModifiedBy>邱建荣</cp:lastModifiedBy>
  <cp:lastPrinted>2020-03-02T02:12:00Z</cp:lastPrinted>
  <dcterms:modified xsi:type="dcterms:W3CDTF">2020-09-15T07:23:05Z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