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Style w:val="8"/>
          <w:rFonts w:hint="eastAsia" w:asciiTheme="majorEastAsia" w:hAnsiTheme="majorEastAsia" w:eastAsiaTheme="majorEastAsia" w:cstheme="majorEastAsia"/>
          <w:b/>
          <w:bCs/>
          <w:spacing w:val="-4"/>
          <w:sz w:val="44"/>
          <w:szCs w:val="44"/>
        </w:rPr>
      </w:pPr>
      <w:r>
        <w:rPr>
          <w:rStyle w:val="8"/>
          <w:rFonts w:hint="eastAsia" w:asciiTheme="majorEastAsia" w:hAnsiTheme="majorEastAsia" w:eastAsiaTheme="majorEastAsia" w:cstheme="majorEastAsia"/>
          <w:b/>
          <w:bCs/>
          <w:spacing w:val="-4"/>
          <w:sz w:val="44"/>
          <w:szCs w:val="44"/>
          <w:lang w:eastAsia="zh-CN"/>
        </w:rPr>
        <w:t>政策解读——</w:t>
      </w:r>
      <w:r>
        <w:rPr>
          <w:rStyle w:val="8"/>
          <w:rFonts w:hint="eastAsia" w:asciiTheme="majorEastAsia" w:hAnsiTheme="majorEastAsia" w:eastAsiaTheme="majorEastAsia" w:cstheme="majorEastAsia"/>
          <w:b/>
          <w:bCs/>
          <w:spacing w:val="-4"/>
          <w:sz w:val="44"/>
          <w:szCs w:val="44"/>
        </w:rPr>
        <w:t>儋州市促进夜间消费扶持政策</w:t>
      </w:r>
    </w:p>
    <w:p>
      <w:pPr>
        <w:widowControl/>
        <w:spacing w:line="560" w:lineRule="exact"/>
        <w:rPr>
          <w:rStyle w:val="8"/>
          <w:rFonts w:ascii="仿宋_GB2312" w:hAnsi="仿宋_GB2312" w:eastAsia="仿宋_GB2312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Style w:val="8"/>
          <w:rFonts w:ascii="黑体" w:hAnsi="黑体" w:eastAsia="黑体"/>
          <w:spacing w:val="-4"/>
          <w:sz w:val="32"/>
          <w:szCs w:val="32"/>
        </w:rPr>
      </w:pPr>
      <w:bookmarkStart w:id="0" w:name="_GoBack"/>
      <w:r>
        <w:rPr>
          <w:rStyle w:val="8"/>
          <w:rFonts w:ascii="黑体" w:hAnsi="黑体" w:eastAsia="黑体"/>
          <w:spacing w:val="-4"/>
          <w:sz w:val="32"/>
          <w:szCs w:val="32"/>
        </w:rPr>
        <w:t>一、扶持范围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在儋州市依法合规经营并依法纳统:年主营业务收入200万元及以上的餐饮业法人单位;年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主</w:t>
      </w:r>
      <w:r>
        <w:rPr>
          <w:rStyle w:val="8"/>
          <w:rFonts w:ascii="仿宋_GB2312" w:hAnsi="仿宋_GB2312" w:eastAsia="仿宋_GB2312"/>
          <w:sz w:val="32"/>
          <w:szCs w:val="32"/>
        </w:rPr>
        <w:t>营业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务</w:t>
      </w:r>
      <w:r>
        <w:rPr>
          <w:rStyle w:val="8"/>
          <w:rFonts w:ascii="仿宋_GB2312" w:hAnsi="仿宋_GB2312" w:eastAsia="仿宋_GB2312"/>
          <w:sz w:val="32"/>
          <w:szCs w:val="32"/>
        </w:rPr>
        <w:t>收入500万元及以上，或年末从业人员50人及以上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</w:t>
      </w:r>
      <w:r>
        <w:rPr>
          <w:rStyle w:val="8"/>
          <w:rFonts w:ascii="仿宋_GB2312" w:hAnsi="仿宋_GB2312" w:eastAsia="仿宋_GB2312"/>
          <w:sz w:val="32"/>
          <w:szCs w:val="32"/>
        </w:rPr>
        <w:t>服务业法人单位</w:t>
      </w:r>
      <w:r>
        <w:rPr>
          <w:rStyle w:val="8"/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营业时间当日下午6点到次日早上6点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区间（国家有规定的行业除外）</w:t>
      </w:r>
      <w:r>
        <w:rPr>
          <w:rStyle w:val="8"/>
          <w:rFonts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（一）扶持</w:t>
      </w:r>
      <w:r>
        <w:rPr>
          <w:rStyle w:val="6"/>
          <w:rFonts w:ascii="仿宋_GB2312" w:hAnsi="仿宋_GB2312" w:eastAsia="仿宋_GB2312"/>
          <w:b w:val="0"/>
          <w:sz w:val="32"/>
          <w:szCs w:val="32"/>
        </w:rPr>
        <w:t>业态包括但不限于：</w:t>
      </w:r>
      <w:r>
        <w:rPr>
          <w:rStyle w:val="8"/>
          <w:rFonts w:ascii="仿宋_GB2312" w:hAnsi="仿宋_GB2312" w:eastAsia="仿宋_GB2312"/>
          <w:sz w:val="32"/>
          <w:szCs w:val="32"/>
        </w:rPr>
        <w:t>商场、超市、品牌餐饮、</w:t>
      </w:r>
      <w:r>
        <w:rPr>
          <w:rStyle w:val="6"/>
          <w:rFonts w:ascii="仿宋_GB2312" w:hAnsi="仿宋_GB2312" w:eastAsia="仿宋_GB2312"/>
          <w:b w:val="0"/>
          <w:sz w:val="32"/>
          <w:szCs w:val="32"/>
        </w:rPr>
        <w:t>24小时实体书店、24小时便利店、</w:t>
      </w:r>
      <w:r>
        <w:rPr>
          <w:rStyle w:val="8"/>
          <w:rFonts w:ascii="仿宋_GB2312" w:hAnsi="仿宋_GB2312" w:eastAsia="仿宋_GB2312"/>
          <w:sz w:val="32"/>
          <w:szCs w:val="32"/>
        </w:rPr>
        <w:t>餐吧、电影院、KTV、酒吧、慢摇吧、足浴养生、电玩城、游乐城、电竞馆、健身房、球馆、时尚类演艺项目等优质业态。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（二）统一收银的夜间示范街区或智慧商圈。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（三）创新夜间旅游产品，开展的灯光节、音乐节、露营节等夜游节庆活动。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（四）商场超市开展夜间促销、“24小时不打烊”活动、打折让利活动，引入深夜购物、市民庆祝活动、广场之夜、嘉</w:t>
      </w:r>
      <w:r>
        <w:rPr>
          <w:rFonts w:hint="eastAsia" w:ascii="仿宋_GB2312" w:hAnsi="仿宋_GB2312" w:eastAsia="仿宋_GB2312" w:cs="仿宋_GB2312"/>
          <w:sz w:val="32"/>
          <w:szCs w:val="32"/>
        </w:rPr>
        <w:t>年华等形式的时尚消费活动。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二、扶持举措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夜间经济运行管理原则上实行“以市养市”，根据需求适当给予扶持，对发展夜间经济的市场主体按</w:t>
      </w:r>
      <w:r>
        <w:rPr>
          <w:rStyle w:val="8"/>
          <w:rFonts w:ascii="仿宋_GB2312" w:hAnsi="仿宋_GB2312" w:eastAsia="仿宋_GB2312"/>
          <w:sz w:val="32"/>
          <w:szCs w:val="32"/>
        </w:rPr>
        <w:t>规定给予一定的财政补贴。支持运营商集中结算、统一核算，对纳入统计部门限上统计的给予一定资金扶持（具体参照《儋州市农业重点企业和“四上”企业扶持奖励办法（试行）》执行）。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  <w:lang w:val="zh-TW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（一）对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已营业且愿意</w:t>
      </w:r>
      <w:r>
        <w:rPr>
          <w:rStyle w:val="8"/>
          <w:rFonts w:ascii="仿宋_GB2312" w:hAnsi="仿宋_GB2312" w:eastAsia="仿宋_GB2312"/>
          <w:sz w:val="32"/>
          <w:szCs w:val="32"/>
        </w:rPr>
        <w:t>延长营业时间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开展夜间经营活动的</w:t>
      </w:r>
      <w:r>
        <w:rPr>
          <w:rStyle w:val="8"/>
          <w:rFonts w:ascii="仿宋_GB2312" w:hAnsi="仿宋_GB2312" w:eastAsia="仿宋_GB2312"/>
          <w:sz w:val="32"/>
          <w:szCs w:val="32"/>
        </w:rPr>
        <w:t>夜间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经济</w:t>
      </w:r>
      <w:r>
        <w:rPr>
          <w:rStyle w:val="8"/>
          <w:rFonts w:ascii="仿宋_GB2312" w:hAnsi="仿宋_GB2312" w:eastAsia="仿宋_GB2312"/>
          <w:sz w:val="32"/>
          <w:szCs w:val="32"/>
        </w:rPr>
        <w:t>经营法人单位，给予其</w:t>
      </w:r>
      <w:r>
        <w:rPr>
          <w:rStyle w:val="8"/>
          <w:rFonts w:ascii="仿宋_GB2312" w:hAnsi="仿宋_GB2312" w:eastAsia="仿宋_GB2312" w:cs="仿宋_GB2312"/>
          <w:bCs/>
          <w:sz w:val="32"/>
          <w:szCs w:val="32"/>
          <w:lang w:val="zh-TW"/>
        </w:rPr>
        <w:t>形成的</w:t>
      </w:r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  <w:lang w:val="zh-TW"/>
        </w:rPr>
        <w:t>市级税收贡献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较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zh-TW"/>
        </w:rPr>
        <w:t>上一年度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增长部分</w:t>
      </w:r>
      <w:r>
        <w:rPr>
          <w:rStyle w:val="8"/>
          <w:rFonts w:ascii="仿宋_GB2312" w:hAnsi="仿宋_GB2312" w:eastAsia="仿宋_GB2312"/>
          <w:sz w:val="32"/>
          <w:szCs w:val="32"/>
        </w:rPr>
        <w:t>90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%的奖励。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8"/>
          <w:rFonts w:ascii="仿宋_GB2312" w:hAnsi="仿宋_GB2312" w:eastAsia="仿宋_GB2312"/>
          <w:sz w:val="32"/>
          <w:szCs w:val="32"/>
          <w:lang w:val="zh-TW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（二）对新建的夜间消费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项目</w:t>
      </w:r>
      <w:r>
        <w:rPr>
          <w:rStyle w:val="8"/>
          <w:rFonts w:ascii="仿宋_GB2312" w:hAnsi="仿宋_GB2312" w:eastAsia="仿宋_GB2312"/>
          <w:sz w:val="32"/>
          <w:szCs w:val="32"/>
        </w:rPr>
        <w:t>，固定投资额（除征地拆征及房屋建设之外的费用。以下类同）在1000万元（含）以上的，一次性补助100万元；固定投资额在500万元（含）—1000万元的，一次性补助50万元；固定投资额在100万元（含）—500万元的，一次性补助20万元；固定投资额在50万元（含）—100万元的，一次性补助10万元，并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连续</w:t>
      </w:r>
      <w:r>
        <w:rPr>
          <w:rStyle w:val="8"/>
          <w:rFonts w:ascii="仿宋_GB2312" w:hAnsi="仿宋_GB2312" w:eastAsia="仿宋_GB2312"/>
          <w:sz w:val="32"/>
          <w:szCs w:val="32"/>
        </w:rPr>
        <w:t>3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给予其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营业收入</w:t>
      </w:r>
      <w:r>
        <w:rPr>
          <w:rStyle w:val="8"/>
          <w:rFonts w:ascii="仿宋_GB2312" w:hAnsi="仿宋_GB2312" w:eastAsia="仿宋_GB2312" w:cs="仿宋_GB2312"/>
          <w:bCs/>
          <w:sz w:val="32"/>
          <w:szCs w:val="32"/>
          <w:lang w:val="zh-TW"/>
        </w:rPr>
        <w:t>形成的</w:t>
      </w:r>
      <w:r>
        <w:rPr>
          <w:rStyle w:val="8"/>
          <w:rFonts w:hint="eastAsia" w:ascii="仿宋_GB2312" w:hAnsi="仿宋_GB2312" w:eastAsia="仿宋_GB2312" w:cs="仿宋_GB2312"/>
          <w:bCs/>
          <w:kern w:val="2"/>
          <w:sz w:val="32"/>
          <w:szCs w:val="32"/>
          <w:lang w:val="zh-TW"/>
        </w:rPr>
        <w:t>市级税收贡献</w:t>
      </w:r>
      <w:r>
        <w:rPr>
          <w:rStyle w:val="8"/>
          <w:rFonts w:ascii="仿宋_GB2312" w:hAnsi="仿宋_GB2312" w:eastAsia="仿宋_GB2312"/>
          <w:sz w:val="32"/>
          <w:szCs w:val="32"/>
        </w:rPr>
        <w:t>90</w:t>
      </w:r>
      <w:r>
        <w:rPr>
          <w:rStyle w:val="8"/>
          <w:rFonts w:ascii="仿宋_GB2312" w:hAnsi="仿宋_GB2312" w:eastAsia="仿宋_GB2312"/>
          <w:sz w:val="32"/>
          <w:szCs w:val="32"/>
          <w:lang w:val="zh-TW"/>
        </w:rPr>
        <w:t>%的奖励。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（三）对引进或举办</w:t>
      </w:r>
      <w:r>
        <w:rPr>
          <w:rStyle w:val="8"/>
          <w:rFonts w:ascii="仿宋_GB2312" w:hAnsi="仿宋_GB2312" w:eastAsia="仿宋_GB2312"/>
          <w:sz w:val="32"/>
        </w:rPr>
        <w:t>主题乐园、</w:t>
      </w:r>
      <w:r>
        <w:rPr>
          <w:rStyle w:val="8"/>
          <w:rFonts w:ascii="仿宋_GB2312" w:hAnsi="仿宋_GB2312" w:eastAsia="仿宋_GB2312"/>
          <w:sz w:val="32"/>
          <w:szCs w:val="32"/>
        </w:rPr>
        <w:t>沉浸式话剧、音乐剧、歌舞剧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、大型晚会</w:t>
      </w:r>
      <w:r>
        <w:rPr>
          <w:rStyle w:val="8"/>
          <w:rFonts w:ascii="仿宋_GB2312" w:hAnsi="仿宋_GB2312" w:eastAsia="仿宋_GB2312"/>
          <w:sz w:val="32"/>
          <w:szCs w:val="32"/>
        </w:rPr>
        <w:t>等各类具有吸引力和知名度的夜间文化艺术项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目及国内外顶级特色娱乐活动的法人单位，按其每场活动的直接资金投入的50%给予奖励，最高不超过300万元。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（四）对音乐俱乐部、驻场秀、酒吧、KTV、慢摇吧等夜间文化娱乐业态秉持包容审慎态度，原则上对该类场所的例行检查，相关职能部门要联合进行并事先通知。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Cs/>
          <w:sz w:val="32"/>
          <w:szCs w:val="32"/>
        </w:rPr>
        <w:t>（五）对</w:t>
      </w:r>
      <w:r>
        <w:rPr>
          <w:rStyle w:val="8"/>
          <w:rFonts w:ascii="仿宋_GB2312" w:hAnsi="仿宋_GB2312" w:eastAsia="仿宋_GB2312"/>
          <w:sz w:val="32"/>
          <w:szCs w:val="32"/>
        </w:rPr>
        <w:t>夜间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经济</w:t>
      </w:r>
      <w:r>
        <w:rPr>
          <w:rStyle w:val="8"/>
          <w:rFonts w:ascii="仿宋_GB2312" w:hAnsi="仿宋_GB2312" w:eastAsia="仿宋_GB2312"/>
          <w:sz w:val="32"/>
          <w:szCs w:val="32"/>
        </w:rPr>
        <w:t>经营法人单位及从业人员，相关职能单位对其所需证照给予优先从简办理，原则上不超过2天（特殊证照除外）。对联合例行检查中发现需要办理健康证等，但未办理完成的夜间经济经营业态的新入职从业人员，给予其一周的缓冲办理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 w:cs="仿宋_GB2312"/>
          <w:bCs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（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六</w:t>
      </w:r>
      <w:r>
        <w:rPr>
          <w:rStyle w:val="8"/>
          <w:rFonts w:ascii="仿宋_GB2312" w:hAnsi="仿宋_GB2312" w:eastAsia="仿宋_GB2312"/>
          <w:sz w:val="32"/>
          <w:szCs w:val="32"/>
        </w:rPr>
        <w:t>）放宽夜间外摆位管制，在不影响市容市貌的前提下允许有条件的夜间示范街区等设置“外摆位”。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_GB2312" w:hAnsi="仿宋_GB2312" w:eastAsia="仿宋_GB2312"/>
          <w:b/>
          <w:bCs/>
          <w:kern w:val="0"/>
          <w:sz w:val="32"/>
          <w:szCs w:val="32"/>
        </w:rPr>
      </w:pPr>
      <w:r>
        <w:rPr>
          <w:rStyle w:val="8"/>
          <w:rFonts w:ascii="黑体" w:hAnsi="黑体" w:eastAsia="黑体" w:cs="黑体"/>
          <w:bCs/>
          <w:sz w:val="32"/>
          <w:szCs w:val="32"/>
        </w:rPr>
        <w:t>三、申报、</w:t>
      </w:r>
      <w:r>
        <w:rPr>
          <w:rStyle w:val="8"/>
          <w:rFonts w:hint="eastAsia" w:ascii="黑体" w:hAnsi="黑体" w:eastAsia="黑体" w:cs="黑体"/>
          <w:bCs/>
          <w:sz w:val="32"/>
          <w:szCs w:val="32"/>
        </w:rPr>
        <w:t>备案</w:t>
      </w:r>
      <w:r>
        <w:rPr>
          <w:rStyle w:val="8"/>
          <w:rFonts w:ascii="黑体" w:hAnsi="黑体" w:eastAsia="黑体" w:cs="黑体"/>
          <w:bCs/>
          <w:sz w:val="32"/>
          <w:szCs w:val="32"/>
        </w:rPr>
        <w:t>及兑现流程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Style w:val="8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z w:val="32"/>
          <w:szCs w:val="32"/>
        </w:rPr>
        <w:t>（一）税收类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月主营业务收入达到20万（餐饮业）和50万（服务业）或年主营业务收入收入200万（餐饮业）和500万（服务业）的</w:t>
      </w:r>
      <w:r>
        <w:rPr>
          <w:rStyle w:val="8"/>
          <w:rFonts w:ascii="仿宋_GB2312" w:hAnsi="仿宋_GB2312" w:eastAsia="仿宋_GB2312"/>
          <w:sz w:val="32"/>
          <w:szCs w:val="32"/>
        </w:rPr>
        <w:t>夜间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经济经营法人单位，向市现代服务业和投资促进局备案，并按要求提供申请书、缴税凭证、产值证明（市统计局认可）等材料。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（二）其他类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其他符合本政策奖励条件的夜间经济经营法人单位，于次年1月25日前，向市现代服务业和投资促进局提出年度资金扶持申请，并按要求提供申请书、符合本政策规定奖励条件的相关证明、缴税凭证等材料。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ascii="仿宋" w:hAnsi="仿宋" w:eastAsia="仿宋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538FD"/>
    <w:rsid w:val="6FBF70A0"/>
    <w:rsid w:val="7E1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仿宋_GB2312" w:hAnsi="Times New Roman" w:eastAsia="宋体" w:cs="Times New Roman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6">
    <w:name w:val="Strong"/>
    <w:qFormat/>
    <w:uiPriority w:val="0"/>
    <w:rPr>
      <w:rFonts w:ascii="Calibri" w:hAnsi="Calibri" w:eastAsia="宋体" w:cs="Times New Roman"/>
      <w:b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2020-06-24T01:46:00Z</dcterms:created>
  <dc:creator>uet19</dc:creator>
  <cp:lastModifiedBy>未定义</cp:lastModifiedBy>
  <dcterms:modified xsi:type="dcterms:W3CDTF">2020-09-07T06:58:52Z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