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</w:rPr>
        <w:t>儋州市20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444444"/>
          <w:kern w:val="0"/>
          <w:sz w:val="44"/>
          <w:szCs w:val="44"/>
        </w:rPr>
        <w:t>批重大劳动保障违法案件汇总表</w:t>
      </w:r>
    </w:p>
    <w:p>
      <w:pPr>
        <w:pStyle w:val="2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35"/>
        <w:gridCol w:w="298"/>
        <w:gridCol w:w="1637"/>
        <w:gridCol w:w="1890"/>
        <w:gridCol w:w="1410"/>
        <w:gridCol w:w="5325"/>
        <w:gridCol w:w="2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违法主体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地址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查处情况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 xml:space="preserve">海南伟立光建筑工程有限公司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91469003MA5RHATEXC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海南省儋州市白马井镇中八路北侧横巷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廖树生</w:t>
            </w:r>
          </w:p>
        </w:tc>
        <w:tc>
          <w:tcPr>
            <w:tcW w:w="5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2023年2月22日，张方乾等32人投诉在儋州市排浦镇海花岛1号岛C区七星半岛酒店项目施工工地被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拖欠工资合计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53.6601万元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招用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张方乾等32名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工人在该项目务工并拖欠工人工资，市人社局依法认定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欠薪属实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。根据相关的法律、法规规定，市人社局依法向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《劳动保障监察限期整改指令书》（儋人社监令字﹝2023﹞A055号）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，责令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其限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期支付工人工资，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逾期未支付工人工资。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在限期内未按照《劳动保障监察限期整改指令书》改正其违法行为，未支付所拖欠的工人工资。202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日，市人社局以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海南伟立光建筑工程有限公司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涉嫌拒不支付劳动报酬罪移送公安机关查处。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19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珠海市佳多机电安装有限公司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91440400MA4WBHHX8Y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珠海市横琴新区宝华路6号105室-27895（集中办公区）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黎军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2023年2月20日、2023年3月1日黎金平班组11人、郭继棠班组6人共计17人陆续向我局投诉在儋州市那大镇富力阅山湖项目施工工地务工，被珠海市佳多公司拖欠工资合计38.4161万元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珠海市佳多机电安装有限公司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招用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黎金平班组11人、郭继棠班组6人共计17人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在该项目务工并拖欠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黎金平班组11人、郭继棠班组6人共计17名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工人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工资，市人社局依法认定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珠海市佳多机电安装有限公司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拖欠工资。根据相关的法律、法规规定，市人社局依法向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珠海市佳多机电安装有限公司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《劳动保障监察限期整改指令书》（儋人社监令字〔2023〕A079号）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，责令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珠海市佳多机电安装有限公司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限期支付工人工资，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珠海市佳多机电安装有限公司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逾期未支付工人工资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珠海市佳多机电安装有限公司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在限期内未按照《劳动保障监察限期整改指令书》改正其违法行为，未支付所拖欠的工人工资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违法主体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地址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rPr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4"/>
                <w:szCs w:val="24"/>
              </w:rPr>
              <w:t>查处情况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0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海南星和娱乐有限公司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91460000MABQT2B71W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海南省儋州市白马井镇滨海新区第一组团B-2-1号地块“重庆城”45#商业一至三层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陈承舜</w:t>
            </w:r>
          </w:p>
        </w:tc>
        <w:tc>
          <w:tcPr>
            <w:tcW w:w="5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2023年1月31日我局接到“12345”热线:李某某反映海南星和娱乐有限公司存在违法用工情况，在执法检查过程中我局发现反映人李某某及许某某、何某某为未成年人，根据相关的法律、法规规定，市人社局于2023年3月6日依法向海南星和娱乐有限公司下达《儋州市人力资源和社会保障局行政处罚事先告知书》（儋人社罚告字﹝2023﹞B1号），于2023年3月21日依法向海南星和娱乐有限公司下达《儋州市人力资源和社会保障局行政处罚决定书》（儋人社罚字﹝2023﹞B1号）。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444444"/>
                <w:kern w:val="0"/>
                <w:sz w:val="24"/>
                <w:szCs w:val="24"/>
                <w:lang w:val="en-US" w:eastAsia="zh-CN"/>
              </w:rPr>
              <w:t>市人社局已就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海南星和娱乐有限公司非法招用未成年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的违法行为，下达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儋州市人力资源和社会保障局行政处罚决定书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》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135"/>
        <w:gridCol w:w="1935"/>
        <w:gridCol w:w="1890"/>
        <w:gridCol w:w="1410"/>
        <w:gridCol w:w="5325"/>
        <w:gridCol w:w="2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违法主体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统一社会信用代码（注册号）或身份证号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地址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法定代表人或负责人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主要违法事实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444444"/>
                <w:kern w:val="0"/>
                <w:sz w:val="28"/>
                <w:szCs w:val="28"/>
              </w:rPr>
              <w:t>查处情况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符春花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460029****590X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海南省儋州市雅星镇****村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符春花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2023年2月24日，儋州市社会保险服务中心向我局移交《儋州市社会保险服务中心关于移交原八一总场职工符春花（1965年生）冒用他人档案骗取基本养老金线索的函》中反映到原八一总场职工符春花(1965年生)2008年8月办理退休手续时,冒用符春花(1957年生)人事档案，由原省农垦总局审批退休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根据相关的法律、法规规定，市人社局依法向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符春花(1965年生)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下达《劳动保障监察限期整改指令书》（儋人社监令字﹝202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﹞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B66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号），责令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符春花(1965年生)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限期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将违法骗取的社会保险退休金退还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符春花(1965年生)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逾期未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退还。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符春花(1965年生)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在限期内未按照《劳动保障监察限期整改指令书》改正其违法行为，未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退还违法骗取的社会保险退休金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。202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日，市人社局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以符春花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涉嫌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诈骗公私财物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移送公安机关查处。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37D11"/>
    <w:rsid w:val="2FF37D11"/>
    <w:rsid w:val="DFB69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2023-05-25T09:57:00Z</dcterms:created>
  <dc:creator>未定义</dc:creator>
  <cp:lastModifiedBy>许造杰</cp:lastModifiedBy>
  <dcterms:modified xsi:type="dcterms:W3CDTF">2023-10-16T14:52:08Z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BA49626F2B539D8098DD2C65A157E7C2</vt:lpwstr>
  </property>
</Properties>
</file>