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儋州市支持商业演出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促进消费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若干措施</w:t>
      </w:r>
    </w:p>
    <w:p>
      <w:pPr>
        <w:pStyle w:val="2"/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充分发挥政府政策激励作用，鼓励市场主体引进和投资大型文艺演出，激发我市消费市场活力。结合我市实际，制定本措施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pacing w:val="-17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一、鼓励引进大型演唱会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对主办单位引进国际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国内</w:t>
      </w:r>
      <w:r>
        <w:rPr>
          <w:rFonts w:hint="eastAsia" w:ascii="仿宋_GB2312" w:hAnsi="仿宋_GB2312" w:eastAsia="仿宋_GB2312" w:cs="仿宋_GB2312"/>
          <w:sz w:val="32"/>
          <w:szCs w:val="32"/>
        </w:rPr>
        <w:t>知名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大型演唱会，累计售票总人次超过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8000人奖励100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万元，每增加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000人次奖励递增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万元，以此类推，最高不超过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累计售票人次超过３万且岛外观众比例超过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0%的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在人数规模奖励的基础上，再给予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00万元一次性奖励（10天内由同一主办单位举办的同一个或同一组艺人演出，售票人次可累计统计）。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二、鼓励引进音乐节、嘉年华等大型商业性文旅活动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对主办单位引进国际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国内</w:t>
      </w:r>
      <w:r>
        <w:rPr>
          <w:rFonts w:hint="eastAsia" w:ascii="仿宋_GB2312" w:hAnsi="仿宋_GB2312" w:eastAsia="仿宋_GB2312" w:cs="仿宋_GB2312"/>
          <w:sz w:val="32"/>
          <w:szCs w:val="32"/>
        </w:rPr>
        <w:t>知名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大型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音乐节、嘉年华和烟花秀等</w:t>
      </w:r>
      <w:r>
        <w:rPr>
          <w:rFonts w:hint="eastAsia" w:ascii="仿宋_GB2312" w:hAnsi="仿宋_GB2312" w:eastAsia="仿宋_GB2312" w:cs="仿宋_GB2312"/>
          <w:sz w:val="32"/>
          <w:szCs w:val="32"/>
        </w:rPr>
        <w:t>，累计售票总人次超过1万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奖励50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万元，每增加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000人次奖励递增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万元，以此类推，最高不超过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累计售票人次超过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万且岛外观众比例超过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0%的，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在人数规模奖励的基础上，再给予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200万元一次性奖励。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" w:eastAsia="zh-CN"/>
        </w:rPr>
        <w:t>累计售票人次超过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" w:eastAsia="zh-CN"/>
        </w:rPr>
        <w:t>万且岛外观众比例超过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30%的，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" w:eastAsia="zh-CN"/>
        </w:rPr>
        <w:t>在人数规模奖励的基础上，再给予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300万元一次性奖励。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三、鼓励精品旅游演艺项目落地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按已印发的《关于支持旅游演艺扩大消费的若干措施》执行。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四、其他规定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上述市级奖励资金与省级财政奖励同时适用。原则上已获得其他市级财政资金支持的项目，不再重复支持。对于由财政资金支持开展的活动，不计入奖励范围。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本措施从印发之日起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试行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根据实施效果进一步优化相关措施或延长有效期。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本措施由儋州市旅游和文化广电体育局负责解释。</w:t>
      </w:r>
    </w:p>
    <w:p>
      <w:pPr>
        <w:pStyle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9"/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儋州市支持商业演出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促进消费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奖励实施细则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为贯彻落实《儋州市支持商业演出促进消费若干措施》，激发我市商业演出市场潜力，制订本实施细则。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eastAsia="zh-CN"/>
        </w:rPr>
        <w:t>、奖励主体资格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一）依法在中国境内注册的具有独立法人资格的单位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财务管理规范、财务管理制度健全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诚信经营、无不良信用记录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四）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守法经营，在申领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奖励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领域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年内无重大违法及安全事故发生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无重大舆情等不良行为。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按照国家规定为职工缴纳各项社会保险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依法纳税，无欠缴税款或其它违反税收规定行为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奖励申报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时间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活动结束后3个月内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/>
          <w:lang w:val="en-US" w:eastAsia="zh-CN" w:bidi="ar-SA"/>
        </w:rPr>
        <w:t>向市文化旅游体育主管部门报送申报资料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逾期未报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资料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视为自动放弃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三、申报材料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1.基本材料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申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和申请书，申请书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内容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应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包申请人基本情况、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项目完成情况、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申请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奖励金额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等相关内容；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营业执照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法定代表人身份证、账户信息等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复印件；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申报主体的经营或职责范围需符合申报项目）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3）财务管理规范、财务管理制度健全相关证明文件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4）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税务机关开具的税款缴纳凭证；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以上申报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材料须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加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盖申报单位公章。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2.专项材料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（1）营业性演出许可证、申报项目营业性演出准予许可决定。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执行方案（含组织、医疗、安保、宣传等）、总结、现场照片。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购票观众人数凭证，包括但不限于各销售平台数据凭证：1.票务销售方案（应包含演出项目名称、演出时间、演出场次、售票渠道、门票数量、票务公开销售比例、退票规则等信息）；2.演出举办单位与演出票务售平台签订的票务销售合同（含委托书）、发票；3.演出票务销售平台销售结算清单、银行流水、会计凭证、纳税申报表、完税证明等；4.销售点统计汇总表；5.各票价销售统计汇总表。1-5 项凭证材料须盖申报单位公章、盖票务销售平台公章；6.体现演出阵容和现场观众人数的照片和视频（保证真实性和关联性，如舞台和观众全景照片、视频等）等。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落实“双实名制”的有关材料：1.风险自评报告（应包含重点分析研判票务销售、现场管理、网络舆情等方面风险，并提出针对性工作措施）；2.实名制购票清单（实名制购票声明及购票信息清单）；3.实名制入场清单（实名制入场声明；项目场次检票报表清单；闸机验票统计汇总表；PDA 检票统计汇总表；手机 APP 电子检票统计汇总表；如使用纸质票检票，请提供汇总表）。以上材料须盖申报单位公章、盖检票票务平台公章，以查验演出当天观众入场数量。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 xml:space="preserve">  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 w:bidi="ar"/>
        </w:rPr>
        <w:t>（5）社会效益和品牌影响力凭证，包括但不限于媒体报道、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自媒体评论等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以上资料由申报单位自主提供并签署承诺书。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四、资格审核与资金核准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（一）审核与核准。市文化旅游体育主管部门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收到申报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资料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后，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组织或委托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第三方评估审计机构进行评审，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并就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是否无重大安全事故、是否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无重大违法或行政违法、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是否已享受本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级同类奖励、是否依法纳税及实质性运营、是否诚信经营以及其他需要确认的有关情况分别征求相关部门意见。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（二）公示。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评审结果通过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官方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网站向社会公示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个工作日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公示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期内如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有异议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市文化旅游体育主管部门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重审证明异议内容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属实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取消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奖励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资格。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（三）奖励发放。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公示后由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市文化旅游体育主管部门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按确认后的奖励对象和奖励金额进行发放。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五、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监督管理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（一）申报单位应对上报资料的真实性负责，对弄虚作假骗取财政资金的，一经查实将取消享受奖励政策的资格，追回已获奖励资金，三年内不得申请资金，涉嫌犯罪的将移送司法机关处理。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（二）市文化旅游体育主管部门负责对奖励对象的资格审核、申报项目资金核准等情况进行全过程监督；市财政部门负责指导和监督资金使用情况；市审计机关在职责范围内对奖励情况依法开展审计监督。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  <w:t>儋州市支持商业演出促进消费专项资金申请表</w:t>
      </w:r>
    </w:p>
    <w:tbl>
      <w:tblPr>
        <w:tblStyle w:val="6"/>
        <w:tblW w:w="9690" w:type="dxa"/>
        <w:tblInd w:w="-5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185"/>
        <w:gridCol w:w="183"/>
        <w:gridCol w:w="1857"/>
        <w:gridCol w:w="738"/>
        <w:gridCol w:w="537"/>
        <w:gridCol w:w="261"/>
        <w:gridCol w:w="1131"/>
        <w:gridCol w:w="381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企业（单位）名称</w:t>
            </w:r>
          </w:p>
        </w:tc>
        <w:tc>
          <w:tcPr>
            <w:tcW w:w="67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67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67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开户银行及账号</w:t>
            </w:r>
          </w:p>
        </w:tc>
        <w:tc>
          <w:tcPr>
            <w:tcW w:w="67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申报项目名称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（活动名称）</w:t>
            </w:r>
          </w:p>
        </w:tc>
        <w:tc>
          <w:tcPr>
            <w:tcW w:w="67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67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活动场次</w:t>
            </w:r>
          </w:p>
        </w:tc>
        <w:tc>
          <w:tcPr>
            <w:tcW w:w="33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时间</w:t>
            </w:r>
          </w:p>
        </w:tc>
        <w:tc>
          <w:tcPr>
            <w:tcW w:w="3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单场售票人数（万人）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累计售票总人数（万人）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2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岛外观众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人数比例</w:t>
            </w: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90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申报奖励金额（万元）</w:t>
            </w:r>
          </w:p>
        </w:tc>
        <w:tc>
          <w:tcPr>
            <w:tcW w:w="25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申请类型（在表格内打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>√</w:t>
            </w:r>
            <w:r>
              <w:rPr>
                <w:rStyle w:val="12"/>
                <w:highlight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9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eastAsia="zh-CN"/>
              </w:rPr>
              <w:t>大型演唱会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音乐节、嘉年华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9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96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申报企业（单位）历年获得省、市级财政资金情况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财政资金名称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扶持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时间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给予扶持政府部门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扶持金额（万元）</w:t>
            </w:r>
          </w:p>
        </w:tc>
        <w:tc>
          <w:tcPr>
            <w:tcW w:w="3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获得财政资金扶持的项目名称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3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3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 w:bidi="ar"/>
        </w:rPr>
        <w:t>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我单位在填报申请之前，已经完全了解《儋州市支持商业演出促进消费若干措施》相关规定，保证遵守其中的全部内容，并自愿做出以下承诺：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一、本单位填报信息真实、准确、全面，不存在漏报、瞒报、谎报的情形。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二、本单位申请的项目不存在多头申报、重复申报的情形。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三、本单位申请的项目产权明晰，相关权益均归属我单位，不存在知识产权争议，不存在重大法律纠纷。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四、本单位近三年内（自本通知发布之日起上溯三年）未受到司法部门或执法机构处罚，未因违法行为受到罚款以上行政处罚，未发生旅游安全事故。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五、依法在海南省内申报纳税，无欠交税款或其它违反税收规定行为。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六、本单位清楚并同意，将本次申请提供的信息资料用于公开评审。涉密资料应在申报时向市文化旅游主管部门提出保密申请。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如违反上述承诺及相关规定，我单位愿意承担相应法律责任，主动退还扶持资金。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法人代表签字并加盖单位公章：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                                      年   月   日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k2OGQ1YzUxNzFlMDkxOGUzMDVmOWE5ODRhMWUifQ=="/>
  </w:docVars>
  <w:rsids>
    <w:rsidRoot w:val="16624B9D"/>
    <w:rsid w:val="16624B9D"/>
    <w:rsid w:val="29CD8897"/>
    <w:rsid w:val="2DBF5A57"/>
    <w:rsid w:val="3AEF7C08"/>
    <w:rsid w:val="3EDA5C03"/>
    <w:rsid w:val="3EFFAFB0"/>
    <w:rsid w:val="4BD952E3"/>
    <w:rsid w:val="54E39AEB"/>
    <w:rsid w:val="5EED15EA"/>
    <w:rsid w:val="5FB62CCE"/>
    <w:rsid w:val="5FFF6466"/>
    <w:rsid w:val="6EDFCFB2"/>
    <w:rsid w:val="719FA122"/>
    <w:rsid w:val="73E784BB"/>
    <w:rsid w:val="73F7F827"/>
    <w:rsid w:val="769FE1AC"/>
    <w:rsid w:val="774EE6D8"/>
    <w:rsid w:val="7F6EAE03"/>
    <w:rsid w:val="99EE9B0F"/>
    <w:rsid w:val="9FFF7FD2"/>
    <w:rsid w:val="AEF9F4CC"/>
    <w:rsid w:val="B7F8002F"/>
    <w:rsid w:val="BB7F547A"/>
    <w:rsid w:val="BCDEDEF2"/>
    <w:rsid w:val="BF5F96C2"/>
    <w:rsid w:val="CFEF988A"/>
    <w:rsid w:val="CFF6108C"/>
    <w:rsid w:val="D1B0D4AD"/>
    <w:rsid w:val="D5B5AFFB"/>
    <w:rsid w:val="DADFB8B9"/>
    <w:rsid w:val="DBF77615"/>
    <w:rsid w:val="DDFF3405"/>
    <w:rsid w:val="DEAFA9A6"/>
    <w:rsid w:val="DFDB5487"/>
    <w:rsid w:val="DFF386F7"/>
    <w:rsid w:val="EFAF4845"/>
    <w:rsid w:val="EFFE5012"/>
    <w:rsid w:val="EFFF055B"/>
    <w:rsid w:val="FECFC945"/>
    <w:rsid w:val="FF7F454C"/>
    <w:rsid w:val="FFC7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/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1">
    <w:name w:val="font11"/>
    <w:basedOn w:val="8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2024-08-25T09:08:00Z</dcterms:created>
  <dc:creator>李拂尘</dc:creator>
  <cp:lastModifiedBy>user</cp:lastModifiedBy>
  <cp:lastPrinted>2025-04-28T07:59:00Z</cp:lastPrinted>
  <dcterms:modified xsi:type="dcterms:W3CDTF">2025-06-17T10:30:17Z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58D0021B02264DD682650CF033EE9100_11</vt:lpwstr>
  </property>
</Properties>
</file>