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78" w:lineRule="exac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rPr>
        <w:t>附件</w:t>
      </w:r>
      <w:r>
        <w:rPr>
          <w:rFonts w:hint="eastAsia" w:ascii="黑体" w:hAnsi="黑体" w:eastAsia="黑体" w:cs="黑体"/>
          <w:b w:val="0"/>
          <w:bCs/>
          <w:sz w:val="32"/>
          <w:szCs w:val="32"/>
          <w:lang w:val="en-US" w:eastAsia="zh-CN"/>
        </w:rPr>
        <w:t>5</w:t>
      </w:r>
    </w:p>
    <w:p>
      <w:pPr>
        <w:keepNext w:val="0"/>
        <w:keepLines w:val="0"/>
        <w:pageBreakBefore w:val="0"/>
        <w:widowControl w:val="0"/>
        <w:kinsoku/>
        <w:wordWrap/>
        <w:overflowPunct/>
        <w:topLinePunct w:val="0"/>
        <w:autoSpaceDE/>
        <w:autoSpaceDN/>
        <w:bidi w:val="0"/>
        <w:adjustRightInd/>
        <w:snapToGrid w:val="0"/>
        <w:spacing w:line="578" w:lineRule="exact"/>
        <w:jc w:val="center"/>
        <w:textAlignment w:val="auto"/>
        <w:rPr>
          <w:rFonts w:ascii="仿宋_GB2312" w:hAnsi="华文中宋"/>
          <w:b w:val="0"/>
          <w:bCs/>
          <w:sz w:val="36"/>
          <w:szCs w:val="44"/>
        </w:rPr>
      </w:pPr>
    </w:p>
    <w:p>
      <w:pPr>
        <w:keepNext w:val="0"/>
        <w:keepLines w:val="0"/>
        <w:pageBreakBefore w:val="0"/>
        <w:widowControl w:val="0"/>
        <w:kinsoku/>
        <w:wordWrap/>
        <w:overflowPunct/>
        <w:topLinePunct w:val="0"/>
        <w:autoSpaceDE/>
        <w:autoSpaceDN/>
        <w:bidi w:val="0"/>
        <w:adjustRightInd/>
        <w:snapToGrid w:val="0"/>
        <w:spacing w:line="578" w:lineRule="exact"/>
        <w:jc w:val="center"/>
        <w:textAlignment w:val="auto"/>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lang w:eastAsia="zh-CN"/>
        </w:rPr>
        <w:t>儋州市少年儿童业余体育训练学校省旅游和文化广电体育事业专项资金（高水平体育后备人才输送经费）</w:t>
      </w:r>
      <w:r>
        <w:rPr>
          <w:rFonts w:hint="eastAsia" w:ascii="方正小标宋简体" w:hAnsi="方正小标宋简体" w:eastAsia="方正小标宋简体" w:cs="方正小标宋简体"/>
          <w:b w:val="0"/>
          <w:bCs/>
          <w:color w:val="auto"/>
          <w:sz w:val="44"/>
          <w:szCs w:val="44"/>
        </w:rPr>
        <w:t>转移支付20</w:t>
      </w:r>
      <w:r>
        <w:rPr>
          <w:rFonts w:hint="eastAsia" w:ascii="方正小标宋简体" w:hAnsi="方正小标宋简体" w:eastAsia="方正小标宋简体" w:cs="方正小标宋简体"/>
          <w:b w:val="0"/>
          <w:bCs/>
          <w:color w:val="auto"/>
          <w:sz w:val="44"/>
          <w:szCs w:val="44"/>
          <w:lang w:val="en-US" w:eastAsia="zh-CN"/>
        </w:rPr>
        <w:t>23</w:t>
      </w:r>
      <w:r>
        <w:rPr>
          <w:rFonts w:hint="eastAsia" w:ascii="方正小标宋简体" w:hAnsi="方正小标宋简体" w:eastAsia="方正小标宋简体" w:cs="方正小标宋简体"/>
          <w:b w:val="0"/>
          <w:bCs/>
          <w:color w:val="auto"/>
          <w:sz w:val="44"/>
          <w:szCs w:val="44"/>
        </w:rPr>
        <w:t>年度绩效自评报告</w:t>
      </w:r>
    </w:p>
    <w:p>
      <w:pPr>
        <w:keepNext w:val="0"/>
        <w:keepLines w:val="0"/>
        <w:pageBreakBefore w:val="0"/>
        <w:widowControl w:val="0"/>
        <w:kinsoku/>
        <w:wordWrap/>
        <w:overflowPunct/>
        <w:topLinePunct w:val="0"/>
        <w:autoSpaceDE/>
        <w:autoSpaceDN/>
        <w:bidi w:val="0"/>
        <w:adjustRightInd/>
        <w:snapToGrid w:val="0"/>
        <w:spacing w:line="578" w:lineRule="exact"/>
        <w:ind w:firstLine="640" w:firstLineChars="200"/>
        <w:textAlignment w:val="auto"/>
        <w:rPr>
          <w:rFonts w:hint="eastAsia" w:ascii="黑体" w:hAnsi="黑体" w:eastAsia="黑体" w:cs="黑体"/>
          <w:b w:val="0"/>
          <w:bCs/>
          <w:color w:val="auto"/>
          <w:sz w:val="32"/>
          <w:szCs w:val="32"/>
        </w:rPr>
      </w:pP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黑体" w:hAnsi="黑体" w:eastAsia="黑体" w:cs="黑体"/>
          <w:b w:val="0"/>
          <w:bCs/>
          <w:color w:val="auto"/>
          <w:sz w:val="32"/>
          <w:szCs w:val="32"/>
        </w:rPr>
      </w:pP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ascii="黑体" w:hAnsi="黑体" w:eastAsia="黑体" w:cs="黑体"/>
          <w:b w:val="0"/>
          <w:bCs/>
          <w:color w:val="auto"/>
          <w:sz w:val="32"/>
          <w:szCs w:val="32"/>
        </w:rPr>
      </w:pPr>
      <w:r>
        <w:rPr>
          <w:rFonts w:hint="eastAsia" w:ascii="黑体" w:hAnsi="黑体" w:eastAsia="黑体" w:cs="黑体"/>
          <w:b w:val="0"/>
          <w:bCs/>
          <w:color w:val="auto"/>
          <w:sz w:val="32"/>
          <w:szCs w:val="32"/>
        </w:rPr>
        <w:t>一、绩效目标分解下达情况</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default"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根据《</w:t>
      </w:r>
      <w:r>
        <w:rPr>
          <w:rFonts w:hint="default" w:ascii="仿宋" w:hAnsi="仿宋" w:eastAsia="仿宋" w:cs="仿宋"/>
          <w:b w:val="0"/>
          <w:bCs/>
          <w:color w:val="auto"/>
          <w:sz w:val="32"/>
          <w:szCs w:val="32"/>
          <w:lang w:val="en-US" w:eastAsia="zh-CN"/>
        </w:rPr>
        <w:t>海南省财政厅关于202</w:t>
      </w:r>
      <w:r>
        <w:rPr>
          <w:rFonts w:hint="eastAsia" w:ascii="仿宋" w:hAnsi="仿宋" w:eastAsia="仿宋" w:cs="仿宋"/>
          <w:b w:val="0"/>
          <w:bCs/>
          <w:color w:val="auto"/>
          <w:sz w:val="32"/>
          <w:szCs w:val="32"/>
          <w:lang w:val="en-US" w:eastAsia="zh-CN"/>
        </w:rPr>
        <w:t>3</w:t>
      </w:r>
      <w:r>
        <w:rPr>
          <w:rFonts w:hint="default" w:ascii="仿宋" w:hAnsi="仿宋" w:eastAsia="仿宋" w:cs="仿宋"/>
          <w:b w:val="0"/>
          <w:bCs/>
          <w:color w:val="auto"/>
          <w:sz w:val="32"/>
          <w:szCs w:val="32"/>
          <w:lang w:val="en-US" w:eastAsia="zh-CN"/>
        </w:rPr>
        <w:t>年省旅游和文化广电体育事业专项资金预算的通知</w:t>
      </w:r>
      <w:r>
        <w:rPr>
          <w:rFonts w:hint="eastAsia" w:ascii="仿宋" w:hAnsi="仿宋" w:eastAsia="仿宋" w:cs="仿宋"/>
          <w:b w:val="0"/>
          <w:bCs/>
          <w:color w:val="auto"/>
          <w:sz w:val="32"/>
          <w:szCs w:val="32"/>
          <w:lang w:val="en-US" w:eastAsia="zh-CN"/>
        </w:rPr>
        <w:t>》，2023年度省级下达高水平后备人才培养资金13.09万元。</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二、</w:t>
      </w:r>
      <w:r>
        <w:rPr>
          <w:rFonts w:hint="eastAsia" w:ascii="黑体" w:hAnsi="黑体" w:eastAsia="黑体" w:cs="黑体"/>
          <w:b w:val="0"/>
          <w:bCs/>
          <w:color w:val="auto"/>
          <w:sz w:val="32"/>
          <w:szCs w:val="32"/>
          <w:highlight w:val="none"/>
          <w:lang w:eastAsia="zh-CN"/>
        </w:rPr>
        <w:t>绩效</w:t>
      </w:r>
      <w:r>
        <w:rPr>
          <w:rFonts w:hint="eastAsia" w:ascii="黑体" w:hAnsi="黑体" w:eastAsia="黑体" w:cs="黑体"/>
          <w:b w:val="0"/>
          <w:bCs/>
          <w:color w:val="auto"/>
          <w:sz w:val="32"/>
          <w:szCs w:val="32"/>
          <w:highlight w:val="none"/>
        </w:rPr>
        <w:t>情况分析</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 w:hAnsi="仿宋" w:eastAsia="仿宋" w:cs="仿宋"/>
          <w:b w:val="0"/>
          <w:bCs/>
          <w:color w:val="auto"/>
          <w:sz w:val="32"/>
          <w:szCs w:val="32"/>
          <w:highlight w:val="none"/>
          <w:lang w:eastAsia="zh-CN"/>
        </w:rPr>
      </w:pPr>
      <w:r>
        <w:rPr>
          <w:rFonts w:hint="eastAsia" w:ascii="楷体_GB2312" w:hAnsi="楷体_GB2312" w:eastAsia="楷体_GB2312" w:cs="楷体_GB2312"/>
          <w:b w:val="0"/>
          <w:bCs/>
          <w:color w:val="auto"/>
          <w:sz w:val="32"/>
          <w:szCs w:val="32"/>
          <w:highlight w:val="none"/>
        </w:rPr>
        <w:t>（一）资金投入情况分析。</w:t>
      </w:r>
      <w:r>
        <w:rPr>
          <w:rFonts w:hint="eastAsia" w:ascii="仿宋" w:hAnsi="仿宋" w:eastAsia="仿宋" w:cs="仿宋"/>
          <w:b w:val="0"/>
          <w:bCs/>
          <w:color w:val="auto"/>
          <w:sz w:val="32"/>
          <w:szCs w:val="32"/>
          <w:highlight w:val="none"/>
          <w:lang w:eastAsia="zh-CN"/>
        </w:rPr>
        <w:t>（分析资金投入及执行情况）</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1.项目资金到位情况分析</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 w:hAnsi="仿宋" w:eastAsia="仿宋"/>
          <w:color w:val="auto"/>
          <w:sz w:val="32"/>
          <w:szCs w:val="32"/>
          <w:lang w:eastAsia="zh-CN"/>
        </w:rPr>
      </w:pPr>
      <w:r>
        <w:rPr>
          <w:rFonts w:hint="eastAsia" w:ascii="仿宋" w:hAnsi="仿宋" w:eastAsia="仿宋" w:cs="仿宋"/>
          <w:b w:val="0"/>
          <w:bCs w:val="0"/>
          <w:color w:val="auto"/>
          <w:sz w:val="32"/>
          <w:szCs w:val="32"/>
          <w:lang w:val="en-US" w:eastAsia="zh-CN"/>
        </w:rPr>
        <w:t>省旅游和文化广电体育事业专项资金（高水平后备人才培养经费）13.09万元</w:t>
      </w:r>
      <w:r>
        <w:rPr>
          <w:rFonts w:hint="eastAsia" w:ascii="仿宋" w:hAnsi="仿宋" w:eastAsia="仿宋" w:cs="仿宋"/>
          <w:b w:val="0"/>
          <w:bCs w:val="0"/>
          <w:color w:val="auto"/>
          <w:sz w:val="32"/>
          <w:szCs w:val="32"/>
        </w:rPr>
        <w:t>于202</w:t>
      </w:r>
      <w:r>
        <w:rPr>
          <w:rFonts w:hint="eastAsia" w:ascii="仿宋" w:hAnsi="仿宋" w:eastAsia="仿宋" w:cs="仿宋"/>
          <w:b w:val="0"/>
          <w:bCs w:val="0"/>
          <w:color w:val="auto"/>
          <w:sz w:val="32"/>
          <w:szCs w:val="32"/>
          <w:lang w:val="en-US" w:eastAsia="zh-CN"/>
        </w:rPr>
        <w:t>3</w:t>
      </w:r>
      <w:r>
        <w:rPr>
          <w:rFonts w:hint="eastAsia" w:ascii="仿宋" w:hAnsi="仿宋" w:eastAsia="仿宋" w:cs="仿宋"/>
          <w:b w:val="0"/>
          <w:bCs w:val="0"/>
          <w:color w:val="auto"/>
          <w:sz w:val="32"/>
          <w:szCs w:val="32"/>
        </w:rPr>
        <w:t>年</w:t>
      </w:r>
      <w:r>
        <w:rPr>
          <w:rFonts w:hint="eastAsia" w:ascii="仿宋" w:hAnsi="仿宋" w:eastAsia="仿宋" w:cs="仿宋"/>
          <w:b w:val="0"/>
          <w:bCs w:val="0"/>
          <w:color w:val="auto"/>
          <w:sz w:val="32"/>
          <w:szCs w:val="32"/>
          <w:lang w:val="en-US" w:eastAsia="zh-CN"/>
        </w:rPr>
        <w:t>2</w:t>
      </w:r>
      <w:r>
        <w:rPr>
          <w:rFonts w:hint="eastAsia" w:ascii="仿宋" w:hAnsi="仿宋" w:eastAsia="仿宋" w:cs="仿宋"/>
          <w:b w:val="0"/>
          <w:bCs w:val="0"/>
          <w:color w:val="auto"/>
          <w:sz w:val="32"/>
          <w:szCs w:val="32"/>
        </w:rPr>
        <w:t>月</w:t>
      </w:r>
      <w:r>
        <w:rPr>
          <w:rFonts w:hint="eastAsia" w:ascii="仿宋" w:hAnsi="仿宋" w:eastAsia="仿宋" w:cs="仿宋"/>
          <w:b w:val="0"/>
          <w:bCs w:val="0"/>
          <w:color w:val="auto"/>
          <w:sz w:val="32"/>
          <w:szCs w:val="32"/>
          <w:lang w:eastAsia="zh-CN"/>
        </w:rPr>
        <w:t>全部</w:t>
      </w:r>
      <w:r>
        <w:rPr>
          <w:rFonts w:hint="eastAsia" w:ascii="仿宋" w:hAnsi="仿宋" w:eastAsia="仿宋" w:cs="仿宋"/>
          <w:b w:val="0"/>
          <w:bCs w:val="0"/>
          <w:color w:val="auto"/>
          <w:sz w:val="32"/>
          <w:szCs w:val="32"/>
        </w:rPr>
        <w:t>下</w:t>
      </w:r>
      <w:r>
        <w:rPr>
          <w:rFonts w:hint="eastAsia" w:ascii="仿宋" w:hAnsi="仿宋" w:eastAsia="仿宋" w:cs="仿宋"/>
          <w:b w:val="0"/>
          <w:bCs w:val="0"/>
          <w:color w:val="auto"/>
          <w:sz w:val="32"/>
          <w:szCs w:val="32"/>
          <w:lang w:eastAsia="zh-CN"/>
        </w:rPr>
        <w:t>达至我单位账户</w:t>
      </w:r>
      <w:r>
        <w:rPr>
          <w:rFonts w:hint="eastAsia" w:ascii="仿宋" w:hAnsi="仿宋" w:eastAsia="仿宋" w:cs="仿宋"/>
          <w:b w:val="0"/>
          <w:bCs w:val="0"/>
          <w:color w:val="auto"/>
          <w:sz w:val="32"/>
          <w:szCs w:val="32"/>
        </w:rPr>
        <w:t>。</w:t>
      </w:r>
      <w:r>
        <w:rPr>
          <w:rFonts w:hint="eastAsia" w:ascii="仿宋" w:hAnsi="仿宋" w:eastAsia="仿宋"/>
          <w:color w:val="auto"/>
          <w:sz w:val="32"/>
          <w:szCs w:val="32"/>
          <w:lang w:eastAsia="zh-CN"/>
        </w:rPr>
        <w:t>为</w:t>
      </w:r>
      <w:r>
        <w:rPr>
          <w:rFonts w:hint="eastAsia" w:ascii="仿宋" w:hAnsi="仿宋" w:eastAsia="仿宋"/>
          <w:color w:val="auto"/>
          <w:sz w:val="32"/>
          <w:szCs w:val="32"/>
        </w:rPr>
        <w:t>确保专项资金落到实处，提高专项资金的使用效率，资金管理和使用坚持“统筹安排、分级管理、分级负责、专款专用”的原则</w:t>
      </w:r>
      <w:r>
        <w:rPr>
          <w:rFonts w:hint="eastAsia" w:ascii="仿宋" w:hAnsi="仿宋" w:eastAsia="仿宋"/>
          <w:color w:val="auto"/>
          <w:sz w:val="32"/>
          <w:szCs w:val="32"/>
          <w:lang w:eastAsia="zh-CN"/>
        </w:rPr>
        <w:t>，科学合理支出。</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仿宋" w:hAnsi="仿宋" w:eastAsia="仿宋"/>
          <w:color w:val="auto"/>
          <w:sz w:val="32"/>
          <w:szCs w:val="32"/>
        </w:rPr>
      </w:pPr>
      <w:r>
        <w:rPr>
          <w:rFonts w:hint="eastAsia" w:ascii="仿宋" w:hAnsi="仿宋" w:eastAsia="仿宋"/>
          <w:color w:val="auto"/>
          <w:sz w:val="32"/>
          <w:szCs w:val="32"/>
        </w:rPr>
        <w:t>2.项目资金执行情况分析</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项目资金年初预算数13.09万元，全年预算数13.09万元，实际执行数13.09元，预算执行100。如下：</w:t>
      </w:r>
    </w:p>
    <w:p>
      <w:pPr>
        <w:keepNext w:val="0"/>
        <w:keepLines w:val="0"/>
        <w:pageBreakBefore w:val="0"/>
        <w:widowControl w:val="0"/>
        <w:numPr>
          <w:ilvl w:val="0"/>
          <w:numId w:val="1"/>
        </w:numPr>
        <w:kinsoku/>
        <w:wordWrap/>
        <w:overflowPunct/>
        <w:topLinePunct w:val="0"/>
        <w:autoSpaceDE/>
        <w:autoSpaceDN/>
        <w:bidi w:val="0"/>
        <w:adjustRightInd/>
        <w:snapToGrid w:val="0"/>
        <w:spacing w:line="560" w:lineRule="exact"/>
        <w:ind w:firstLine="640" w:firstLineChars="200"/>
        <w:textAlignment w:val="auto"/>
        <w:outlineLvl w:val="0"/>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发放运动员日常训练伙食补助6.97万元；</w:t>
      </w:r>
    </w:p>
    <w:p>
      <w:pPr>
        <w:keepNext w:val="0"/>
        <w:keepLines w:val="0"/>
        <w:pageBreakBefore w:val="0"/>
        <w:widowControl w:val="0"/>
        <w:numPr>
          <w:ilvl w:val="0"/>
          <w:numId w:val="1"/>
        </w:numPr>
        <w:kinsoku/>
        <w:wordWrap/>
        <w:overflowPunct/>
        <w:topLinePunct w:val="0"/>
        <w:autoSpaceDE/>
        <w:autoSpaceDN/>
        <w:bidi w:val="0"/>
        <w:adjustRightInd/>
        <w:snapToGrid w:val="0"/>
        <w:spacing w:line="560" w:lineRule="exact"/>
        <w:ind w:firstLine="640" w:firstLineChars="200"/>
        <w:textAlignment w:val="auto"/>
        <w:outlineLvl w:val="0"/>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支付购买运动员训练器材6.12万元；</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 w:hAnsi="仿宋" w:eastAsia="仿宋" w:cs="仿宋"/>
          <w:b w:val="0"/>
          <w:bCs/>
          <w:color w:val="auto"/>
          <w:sz w:val="32"/>
          <w:szCs w:val="32"/>
          <w:highlight w:val="none"/>
          <w:lang w:eastAsia="zh-CN"/>
        </w:rPr>
      </w:pPr>
      <w:r>
        <w:rPr>
          <w:rFonts w:hint="eastAsia" w:ascii="楷体_GB2312" w:hAnsi="楷体_GB2312" w:eastAsia="楷体_GB2312" w:cs="楷体_GB2312"/>
          <w:b w:val="0"/>
          <w:bCs/>
          <w:color w:val="auto"/>
          <w:sz w:val="32"/>
          <w:szCs w:val="32"/>
          <w:highlight w:val="none"/>
          <w:lang w:eastAsia="zh-CN"/>
        </w:rPr>
        <w:t>（二）资金管理情况分析。</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 w:hAnsi="仿宋" w:eastAsia="仿宋" w:cs="仿宋"/>
          <w:b w:val="0"/>
          <w:bCs/>
          <w:color w:val="auto"/>
          <w:sz w:val="32"/>
          <w:szCs w:val="32"/>
          <w:highlight w:val="none"/>
          <w:lang w:eastAsia="zh-CN"/>
        </w:rPr>
      </w:pPr>
      <w:r>
        <w:rPr>
          <w:rFonts w:hint="eastAsia" w:ascii="仿宋" w:hAnsi="仿宋" w:eastAsia="仿宋" w:cs="仿宋"/>
          <w:b w:val="0"/>
          <w:bCs/>
          <w:color w:val="auto"/>
          <w:sz w:val="32"/>
          <w:szCs w:val="32"/>
        </w:rPr>
        <w:t>严格按预算安排资金执行，积极落实项目专项资金，严格按照制度规定进行资金管理，做到了专款专用，没有滞留、截留、挤占和挪用的现象，项目执行率</w:t>
      </w:r>
      <w:r>
        <w:rPr>
          <w:rFonts w:hint="eastAsia" w:ascii="仿宋" w:hAnsi="仿宋" w:eastAsia="仿宋" w:cs="仿宋"/>
          <w:b w:val="0"/>
          <w:bCs/>
          <w:color w:val="auto"/>
          <w:sz w:val="32"/>
          <w:szCs w:val="32"/>
          <w:lang w:val="en-US" w:eastAsia="zh-CN"/>
        </w:rPr>
        <w:t>100</w:t>
      </w:r>
      <w:r>
        <w:rPr>
          <w:rFonts w:hint="eastAsia" w:ascii="仿宋" w:hAnsi="仿宋" w:eastAsia="仿宋" w:cs="仿宋"/>
          <w:b w:val="0"/>
          <w:bCs/>
          <w:color w:val="auto"/>
          <w:sz w:val="32"/>
          <w:szCs w:val="32"/>
        </w:rPr>
        <w:t>%。项目</w:t>
      </w:r>
      <w:r>
        <w:rPr>
          <w:rFonts w:hint="eastAsia" w:ascii="仿宋" w:hAnsi="仿宋" w:eastAsia="仿宋" w:cs="仿宋"/>
          <w:b w:val="0"/>
          <w:bCs/>
          <w:color w:val="auto"/>
          <w:sz w:val="32"/>
          <w:szCs w:val="32"/>
        </w:rPr>
        <w:fldChar w:fldCharType="begin"/>
      </w:r>
      <w:r>
        <w:rPr>
          <w:rFonts w:hint="eastAsia" w:ascii="仿宋" w:hAnsi="仿宋" w:eastAsia="仿宋" w:cs="仿宋"/>
          <w:b w:val="0"/>
          <w:bCs/>
          <w:color w:val="auto"/>
          <w:sz w:val="32"/>
          <w:szCs w:val="32"/>
        </w:rPr>
        <w:instrText xml:space="preserve"> HYPERLINK "http://www.zhazhi.com/lunwen/jjkx/qycwgllw/" </w:instrText>
      </w:r>
      <w:r>
        <w:rPr>
          <w:rFonts w:hint="eastAsia" w:ascii="仿宋" w:hAnsi="仿宋" w:eastAsia="仿宋" w:cs="仿宋"/>
          <w:b w:val="0"/>
          <w:bCs/>
          <w:color w:val="auto"/>
          <w:sz w:val="32"/>
          <w:szCs w:val="32"/>
        </w:rPr>
        <w:fldChar w:fldCharType="separate"/>
      </w:r>
      <w:r>
        <w:rPr>
          <w:rFonts w:hint="eastAsia" w:ascii="仿宋" w:hAnsi="仿宋" w:eastAsia="仿宋" w:cs="仿宋"/>
          <w:b w:val="0"/>
          <w:bCs/>
          <w:color w:val="auto"/>
          <w:sz w:val="32"/>
          <w:szCs w:val="32"/>
        </w:rPr>
        <w:t>财务</w:t>
      </w:r>
      <w:r>
        <w:rPr>
          <w:rFonts w:hint="eastAsia" w:ascii="仿宋" w:hAnsi="仿宋" w:eastAsia="仿宋" w:cs="仿宋"/>
          <w:b w:val="0"/>
          <w:bCs/>
          <w:color w:val="auto"/>
          <w:sz w:val="32"/>
          <w:szCs w:val="32"/>
        </w:rPr>
        <w:fldChar w:fldCharType="end"/>
      </w:r>
      <w:r>
        <w:rPr>
          <w:rFonts w:hint="eastAsia" w:ascii="仿宋" w:hAnsi="仿宋" w:eastAsia="仿宋" w:cs="仿宋"/>
          <w:b w:val="0"/>
          <w:bCs/>
          <w:color w:val="auto"/>
          <w:sz w:val="32"/>
          <w:szCs w:val="32"/>
        </w:rPr>
        <w:t>管理方面，财务管理制度健全，严格执行财务管理制度，账务处理及时，</w:t>
      </w:r>
      <w:r>
        <w:rPr>
          <w:rFonts w:hint="eastAsia" w:ascii="仿宋" w:hAnsi="仿宋" w:eastAsia="仿宋" w:cs="仿宋"/>
          <w:b w:val="0"/>
          <w:bCs/>
          <w:color w:val="auto"/>
          <w:sz w:val="32"/>
          <w:szCs w:val="32"/>
        </w:rPr>
        <w:fldChar w:fldCharType="begin"/>
      </w:r>
      <w:r>
        <w:rPr>
          <w:rFonts w:hint="eastAsia" w:ascii="仿宋" w:hAnsi="仿宋" w:eastAsia="仿宋" w:cs="仿宋"/>
          <w:b w:val="0"/>
          <w:bCs/>
          <w:color w:val="auto"/>
          <w:sz w:val="32"/>
          <w:szCs w:val="32"/>
        </w:rPr>
        <w:instrText xml:space="preserve"> HYPERLINK "http://www.zhazhi.com/qikan/jingji/kjzz/" </w:instrText>
      </w:r>
      <w:r>
        <w:rPr>
          <w:rFonts w:hint="eastAsia" w:ascii="仿宋" w:hAnsi="仿宋" w:eastAsia="仿宋" w:cs="仿宋"/>
          <w:b w:val="0"/>
          <w:bCs/>
          <w:color w:val="auto"/>
          <w:sz w:val="32"/>
          <w:szCs w:val="32"/>
        </w:rPr>
        <w:fldChar w:fldCharType="separate"/>
      </w:r>
      <w:r>
        <w:rPr>
          <w:rFonts w:hint="eastAsia" w:ascii="仿宋" w:hAnsi="仿宋" w:eastAsia="仿宋" w:cs="仿宋"/>
          <w:b w:val="0"/>
          <w:bCs/>
          <w:color w:val="auto"/>
          <w:sz w:val="32"/>
          <w:szCs w:val="32"/>
        </w:rPr>
        <w:t>会计</w:t>
      </w:r>
      <w:r>
        <w:rPr>
          <w:rFonts w:hint="eastAsia" w:ascii="仿宋" w:hAnsi="仿宋" w:eastAsia="仿宋" w:cs="仿宋"/>
          <w:b w:val="0"/>
          <w:bCs/>
          <w:color w:val="auto"/>
          <w:sz w:val="32"/>
          <w:szCs w:val="32"/>
        </w:rPr>
        <w:fldChar w:fldCharType="end"/>
      </w:r>
      <w:r>
        <w:rPr>
          <w:rFonts w:hint="eastAsia" w:ascii="仿宋" w:hAnsi="仿宋" w:eastAsia="仿宋" w:cs="仿宋"/>
          <w:b w:val="0"/>
          <w:bCs/>
          <w:color w:val="auto"/>
          <w:sz w:val="32"/>
          <w:szCs w:val="32"/>
        </w:rPr>
        <w:t>核算规范。并按以上原则、体系和标准进行绩效评价。</w:t>
      </w:r>
    </w:p>
    <w:p>
      <w:pPr>
        <w:keepNext w:val="0"/>
        <w:keepLines w:val="0"/>
        <w:pageBreakBefore w:val="0"/>
        <w:widowControl w:val="0"/>
        <w:numPr>
          <w:ilvl w:val="0"/>
          <w:numId w:val="2"/>
        </w:numPr>
        <w:kinsoku/>
        <w:wordWrap/>
        <w:overflowPunct/>
        <w:topLinePunct w:val="0"/>
        <w:autoSpaceDE/>
        <w:autoSpaceDN/>
        <w:bidi w:val="0"/>
        <w:adjustRightInd/>
        <w:snapToGrid w:val="0"/>
        <w:spacing w:line="560" w:lineRule="exact"/>
        <w:ind w:firstLine="640" w:firstLineChars="200"/>
        <w:textAlignment w:val="auto"/>
        <w:outlineLvl w:val="0"/>
        <w:rPr>
          <w:rFonts w:hint="eastAsia" w:ascii="仿宋" w:hAnsi="仿宋" w:eastAsia="仿宋" w:cs="仿宋"/>
          <w:b w:val="0"/>
          <w:bCs/>
          <w:color w:val="auto"/>
          <w:sz w:val="32"/>
          <w:szCs w:val="32"/>
          <w:lang w:eastAsia="zh-CN"/>
        </w:rPr>
      </w:pPr>
      <w:r>
        <w:rPr>
          <w:rFonts w:hint="eastAsia" w:ascii="楷体_GB2312" w:hAnsi="楷体_GB2312" w:eastAsia="楷体_GB2312" w:cs="楷体_GB2312"/>
          <w:b w:val="0"/>
          <w:bCs/>
          <w:color w:val="auto"/>
          <w:sz w:val="32"/>
          <w:szCs w:val="32"/>
        </w:rPr>
        <w:t>总体绩效目标完成情况分析。</w:t>
      </w:r>
      <w:r>
        <w:rPr>
          <w:rFonts w:hint="eastAsia" w:ascii="仿宋" w:hAnsi="仿宋" w:eastAsia="仿宋" w:cs="仿宋"/>
          <w:b w:val="0"/>
          <w:bCs/>
          <w:color w:val="auto"/>
          <w:sz w:val="32"/>
          <w:szCs w:val="32"/>
          <w:lang w:eastAsia="zh-CN"/>
        </w:rPr>
        <w:t>（对照总体目标分析全年实际完成情况）</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default"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eastAsia="zh-CN"/>
        </w:rPr>
        <w:t>通过省级资金的支持，推动海南省高水平体育后备人才培养工作得到深入开展，为建设体育强国。健康中国注入新的生机与活力。</w:t>
      </w:r>
    </w:p>
    <w:p>
      <w:pPr>
        <w:keepNext w:val="0"/>
        <w:keepLines w:val="0"/>
        <w:pageBreakBefore w:val="0"/>
        <w:widowControl w:val="0"/>
        <w:numPr>
          <w:ilvl w:val="-1"/>
          <w:numId w:val="0"/>
        </w:numPr>
        <w:kinsoku/>
        <w:wordWrap/>
        <w:overflowPunct/>
        <w:topLinePunct w:val="0"/>
        <w:autoSpaceDE/>
        <w:autoSpaceDN/>
        <w:bidi w:val="0"/>
        <w:adjustRightInd/>
        <w:snapToGrid w:val="0"/>
        <w:spacing w:line="560" w:lineRule="exact"/>
        <w:ind w:firstLine="640" w:firstLineChars="200"/>
        <w:textAlignment w:val="auto"/>
        <w:outlineLvl w:val="0"/>
        <w:rPr>
          <w:rFonts w:hint="default" w:ascii="仿宋" w:hAnsi="仿宋" w:eastAsia="仿宋" w:cs="仿宋"/>
          <w:b w:val="0"/>
          <w:bCs/>
          <w:color w:val="auto"/>
          <w:sz w:val="32"/>
          <w:szCs w:val="32"/>
          <w:lang w:val="en-US" w:eastAsia="zh-CN"/>
        </w:rPr>
      </w:pPr>
      <w:r>
        <w:rPr>
          <w:rFonts w:hint="eastAsia" w:ascii="仿宋" w:hAnsi="仿宋" w:eastAsia="仿宋" w:cs="仿宋"/>
          <w:b w:val="0"/>
          <w:bCs w:val="0"/>
          <w:color w:val="auto"/>
          <w:sz w:val="32"/>
          <w:szCs w:val="32"/>
          <w:lang w:val="en-US" w:eastAsia="zh-CN"/>
        </w:rPr>
        <w:t>省旅游和文化广电体育事业专项资金（高水平后备人才培养经费）</w:t>
      </w:r>
      <w:r>
        <w:rPr>
          <w:rFonts w:hint="eastAsia" w:ascii="仿宋" w:hAnsi="仿宋" w:eastAsia="仿宋" w:cs="仿宋"/>
          <w:b w:val="0"/>
          <w:bCs/>
          <w:color w:val="auto"/>
          <w:sz w:val="32"/>
          <w:szCs w:val="32"/>
          <w:lang w:val="en-US" w:eastAsia="zh-CN"/>
        </w:rPr>
        <w:t>全年实际完成情况：按照资金管理和使用坚持“统筹安排、分级管理、分级负责、专款专用”的原则，</w:t>
      </w:r>
      <w:r>
        <w:rPr>
          <w:rFonts w:hint="eastAsia" w:ascii="仿宋" w:hAnsi="仿宋" w:eastAsia="仿宋" w:cs="仿宋"/>
          <w:b w:val="0"/>
          <w:bCs/>
          <w:color w:val="auto"/>
          <w:sz w:val="32"/>
          <w:szCs w:val="32"/>
          <w:highlight w:val="none"/>
          <w:lang w:val="en-US" w:eastAsia="zh-CN"/>
        </w:rPr>
        <w:t>项目资金年初预算数13.09万元，全年预算数13.09万元，实际执行数13.09万元，预算执行率100%。</w:t>
      </w:r>
    </w:p>
    <w:p>
      <w:pPr>
        <w:keepNext w:val="0"/>
        <w:keepLines w:val="0"/>
        <w:pageBreakBefore w:val="0"/>
        <w:widowControl w:val="0"/>
        <w:numPr>
          <w:ilvl w:val="0"/>
          <w:numId w:val="2"/>
        </w:numPr>
        <w:kinsoku/>
        <w:wordWrap/>
        <w:overflowPunct/>
        <w:topLinePunct w:val="0"/>
        <w:autoSpaceDE/>
        <w:autoSpaceDN/>
        <w:bidi w:val="0"/>
        <w:adjustRightInd/>
        <w:snapToGrid w:val="0"/>
        <w:spacing w:line="560" w:lineRule="exact"/>
        <w:ind w:firstLine="640" w:firstLineChars="200"/>
        <w:textAlignment w:val="auto"/>
        <w:outlineLvl w:val="0"/>
        <w:rPr>
          <w:rFonts w:hint="eastAsia" w:ascii="仿宋" w:hAnsi="仿宋" w:eastAsia="仿宋" w:cs="仿宋"/>
          <w:b w:val="0"/>
          <w:bCs/>
          <w:color w:val="auto"/>
          <w:sz w:val="32"/>
          <w:szCs w:val="32"/>
        </w:rPr>
      </w:pPr>
      <w:r>
        <w:rPr>
          <w:rFonts w:hint="eastAsia" w:ascii="楷体_GB2312" w:hAnsi="楷体_GB2312" w:eastAsia="楷体_GB2312" w:cs="楷体_GB2312"/>
          <w:b w:val="0"/>
          <w:bCs/>
          <w:color w:val="auto"/>
          <w:sz w:val="32"/>
          <w:szCs w:val="32"/>
        </w:rPr>
        <w:t>绩效指标完成情况分析。</w:t>
      </w:r>
      <w:r>
        <w:rPr>
          <w:rFonts w:hint="eastAsia" w:ascii="仿宋" w:hAnsi="仿宋" w:eastAsia="仿宋" w:cs="仿宋"/>
          <w:b w:val="0"/>
          <w:bCs/>
          <w:color w:val="auto"/>
          <w:sz w:val="32"/>
          <w:szCs w:val="32"/>
        </w:rPr>
        <w:t>（</w:t>
      </w:r>
      <w:r>
        <w:rPr>
          <w:rFonts w:hint="eastAsia" w:ascii="仿宋" w:hAnsi="仿宋" w:eastAsia="仿宋" w:cs="仿宋"/>
          <w:b w:val="0"/>
          <w:bCs/>
          <w:color w:val="auto"/>
          <w:sz w:val="32"/>
          <w:szCs w:val="32"/>
          <w:lang w:eastAsia="zh-CN"/>
        </w:rPr>
        <w:t>根据各三级绩效指标值，逐项分析全年实际完成情况</w:t>
      </w:r>
      <w:r>
        <w:rPr>
          <w:rFonts w:hint="eastAsia" w:ascii="仿宋" w:hAnsi="仿宋" w:eastAsia="仿宋" w:cs="仿宋"/>
          <w:b w:val="0"/>
          <w:bCs/>
          <w:color w:val="auto"/>
          <w:sz w:val="32"/>
          <w:szCs w:val="32"/>
        </w:rPr>
        <w:t>）</w:t>
      </w:r>
    </w:p>
    <w:p>
      <w:pPr>
        <w:keepNext w:val="0"/>
        <w:keepLines w:val="0"/>
        <w:pageBreakBefore w:val="0"/>
        <w:widowControl w:val="0"/>
        <w:numPr>
          <w:ilvl w:val="-1"/>
          <w:numId w:val="0"/>
        </w:numPr>
        <w:kinsoku/>
        <w:wordWrap/>
        <w:overflowPunct/>
        <w:topLinePunct w:val="0"/>
        <w:autoSpaceDE/>
        <w:autoSpaceDN/>
        <w:bidi w:val="0"/>
        <w:adjustRightInd/>
        <w:snapToGrid w:val="0"/>
        <w:spacing w:line="560" w:lineRule="exact"/>
        <w:ind w:firstLine="640" w:firstLineChars="200"/>
        <w:textAlignment w:val="auto"/>
        <w:outlineLvl w:val="0"/>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1、产出指标：</w:t>
      </w:r>
    </w:p>
    <w:p>
      <w:pPr>
        <w:keepNext w:val="0"/>
        <w:keepLines w:val="0"/>
        <w:pageBreakBefore w:val="0"/>
        <w:widowControl w:val="0"/>
        <w:numPr>
          <w:ilvl w:val="-1"/>
          <w:numId w:val="0"/>
        </w:numPr>
        <w:kinsoku/>
        <w:wordWrap/>
        <w:overflowPunct/>
        <w:topLinePunct w:val="0"/>
        <w:autoSpaceDE/>
        <w:autoSpaceDN/>
        <w:bidi w:val="0"/>
        <w:adjustRightInd/>
        <w:snapToGrid w:val="0"/>
        <w:spacing w:line="560" w:lineRule="exact"/>
        <w:ind w:firstLine="640" w:firstLineChars="200"/>
        <w:textAlignment w:val="auto"/>
        <w:outlineLvl w:val="0"/>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eastAsia="zh-CN"/>
        </w:rPr>
        <w:t>（</w:t>
      </w:r>
      <w:r>
        <w:rPr>
          <w:rFonts w:hint="eastAsia" w:ascii="仿宋" w:hAnsi="仿宋" w:eastAsia="仿宋" w:cs="仿宋"/>
          <w:b w:val="0"/>
          <w:bCs/>
          <w:color w:val="auto"/>
          <w:sz w:val="32"/>
          <w:szCs w:val="32"/>
          <w:lang w:val="en-US" w:eastAsia="zh-CN"/>
        </w:rPr>
        <w:t>1</w:t>
      </w:r>
      <w:r>
        <w:rPr>
          <w:rFonts w:hint="eastAsia" w:ascii="仿宋" w:hAnsi="仿宋" w:eastAsia="仿宋" w:cs="仿宋"/>
          <w:b w:val="0"/>
          <w:bCs/>
          <w:color w:val="auto"/>
          <w:sz w:val="32"/>
          <w:szCs w:val="32"/>
          <w:lang w:eastAsia="zh-CN"/>
        </w:rPr>
        <w:t>）</w:t>
      </w:r>
      <w:r>
        <w:rPr>
          <w:rFonts w:hint="eastAsia" w:ascii="仿宋" w:hAnsi="仿宋" w:eastAsia="仿宋" w:cs="仿宋"/>
          <w:b w:val="0"/>
          <w:bCs/>
          <w:color w:val="auto"/>
          <w:sz w:val="32"/>
          <w:szCs w:val="32"/>
        </w:rPr>
        <w:t>数量指标：</w:t>
      </w:r>
      <w:r>
        <w:rPr>
          <w:rFonts w:hint="eastAsia" w:ascii="仿宋" w:hAnsi="仿宋" w:eastAsia="仿宋" w:cs="仿宋"/>
          <w:b w:val="0"/>
          <w:bCs/>
          <w:color w:val="auto"/>
          <w:sz w:val="32"/>
          <w:szCs w:val="32"/>
          <w:lang w:eastAsia="zh-CN"/>
        </w:rPr>
        <w:t>全年输送高水平运动员人数</w:t>
      </w:r>
      <w:r>
        <w:rPr>
          <w:rFonts w:hint="eastAsia" w:ascii="仿宋" w:hAnsi="仿宋" w:eastAsia="仿宋" w:cs="仿宋"/>
          <w:b w:val="0"/>
          <w:bCs/>
          <w:color w:val="auto"/>
          <w:sz w:val="32"/>
          <w:szCs w:val="32"/>
          <w:lang w:val="en-US" w:eastAsia="zh-CN"/>
        </w:rPr>
        <w:t>11</w:t>
      </w:r>
      <w:r>
        <w:rPr>
          <w:rFonts w:hint="eastAsia" w:ascii="仿宋" w:hAnsi="仿宋" w:eastAsia="仿宋" w:cs="仿宋"/>
          <w:b w:val="0"/>
          <w:bCs/>
          <w:color w:val="auto"/>
          <w:sz w:val="32"/>
          <w:szCs w:val="32"/>
          <w:lang w:eastAsia="zh-CN"/>
        </w:rPr>
        <w:t>个人以上</w:t>
      </w:r>
      <w:r>
        <w:rPr>
          <w:rFonts w:hint="eastAsia" w:ascii="仿宋" w:hAnsi="仿宋" w:eastAsia="仿宋" w:cs="仿宋"/>
          <w:b w:val="0"/>
          <w:bCs/>
          <w:color w:val="auto"/>
          <w:sz w:val="32"/>
          <w:szCs w:val="32"/>
        </w:rPr>
        <w:t>。全年实际完成</w:t>
      </w:r>
      <w:r>
        <w:rPr>
          <w:rFonts w:hint="eastAsia" w:ascii="仿宋" w:hAnsi="仿宋" w:eastAsia="仿宋" w:cs="仿宋"/>
          <w:b w:val="0"/>
          <w:bCs/>
          <w:color w:val="auto"/>
          <w:sz w:val="32"/>
          <w:szCs w:val="32"/>
          <w:lang w:eastAsia="zh-CN"/>
        </w:rPr>
        <w:t>情况：大于等于</w:t>
      </w:r>
      <w:r>
        <w:rPr>
          <w:rFonts w:hint="eastAsia" w:ascii="仿宋" w:hAnsi="仿宋" w:eastAsia="仿宋" w:cs="仿宋"/>
          <w:b w:val="0"/>
          <w:bCs/>
          <w:color w:val="auto"/>
          <w:sz w:val="32"/>
          <w:szCs w:val="32"/>
          <w:lang w:val="en-US" w:eastAsia="zh-CN"/>
        </w:rPr>
        <w:t>11人</w:t>
      </w:r>
      <w:r>
        <w:rPr>
          <w:rFonts w:hint="eastAsia" w:ascii="仿宋" w:hAnsi="仿宋" w:eastAsia="仿宋" w:cs="仿宋"/>
          <w:b w:val="0"/>
          <w:bCs/>
          <w:color w:val="auto"/>
          <w:sz w:val="32"/>
          <w:szCs w:val="32"/>
          <w:lang w:eastAsia="zh-CN"/>
        </w:rPr>
        <w:t>。</w:t>
      </w:r>
    </w:p>
    <w:p>
      <w:pPr>
        <w:keepNext w:val="0"/>
        <w:keepLines w:val="0"/>
        <w:pageBreakBefore w:val="0"/>
        <w:widowControl w:val="0"/>
        <w:numPr>
          <w:ilvl w:val="-1"/>
          <w:numId w:val="0"/>
        </w:numPr>
        <w:kinsoku/>
        <w:wordWrap/>
        <w:overflowPunct/>
        <w:topLinePunct w:val="0"/>
        <w:autoSpaceDE/>
        <w:autoSpaceDN/>
        <w:bidi w:val="0"/>
        <w:adjustRightInd/>
        <w:snapToGrid w:val="0"/>
        <w:spacing w:line="560" w:lineRule="exact"/>
        <w:ind w:firstLine="640" w:firstLineChars="200"/>
        <w:textAlignment w:val="auto"/>
        <w:outlineLvl w:val="0"/>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lang w:eastAsia="zh-CN"/>
        </w:rPr>
        <w:t>（</w:t>
      </w:r>
      <w:r>
        <w:rPr>
          <w:rFonts w:hint="eastAsia" w:ascii="仿宋" w:hAnsi="仿宋" w:eastAsia="仿宋" w:cs="仿宋"/>
          <w:b w:val="0"/>
          <w:bCs/>
          <w:color w:val="auto"/>
          <w:sz w:val="32"/>
          <w:szCs w:val="32"/>
          <w:lang w:val="en-US" w:eastAsia="zh-CN"/>
        </w:rPr>
        <w:t>2</w:t>
      </w:r>
      <w:r>
        <w:rPr>
          <w:rFonts w:hint="eastAsia" w:ascii="仿宋" w:hAnsi="仿宋" w:eastAsia="仿宋" w:cs="仿宋"/>
          <w:b w:val="0"/>
          <w:bCs/>
          <w:color w:val="auto"/>
          <w:sz w:val="32"/>
          <w:szCs w:val="32"/>
          <w:lang w:eastAsia="zh-CN"/>
        </w:rPr>
        <w:t>）</w:t>
      </w:r>
      <w:r>
        <w:rPr>
          <w:rFonts w:hint="eastAsia" w:ascii="仿宋" w:hAnsi="仿宋" w:eastAsia="仿宋" w:cs="仿宋"/>
          <w:b w:val="0"/>
          <w:bCs/>
          <w:color w:val="auto"/>
          <w:sz w:val="32"/>
          <w:szCs w:val="32"/>
        </w:rPr>
        <w:t>质量指标</w:t>
      </w:r>
      <w:r>
        <w:rPr>
          <w:rFonts w:hint="eastAsia" w:ascii="仿宋" w:hAnsi="仿宋" w:eastAsia="仿宋" w:cs="仿宋"/>
          <w:b w:val="0"/>
          <w:bCs/>
          <w:color w:val="auto"/>
          <w:sz w:val="32"/>
          <w:szCs w:val="32"/>
          <w:lang w:eastAsia="zh-CN"/>
        </w:rPr>
        <w:t>：竞赛组织、竞赛服务竞赛场大于等于</w:t>
      </w:r>
      <w:r>
        <w:rPr>
          <w:rFonts w:hint="eastAsia" w:ascii="仿宋" w:hAnsi="仿宋" w:eastAsia="仿宋" w:cs="仿宋"/>
          <w:b w:val="0"/>
          <w:bCs/>
          <w:color w:val="auto"/>
          <w:sz w:val="32"/>
          <w:szCs w:val="32"/>
          <w:lang w:val="en-US" w:eastAsia="zh-CN"/>
        </w:rPr>
        <w:t>3场</w:t>
      </w:r>
      <w:r>
        <w:rPr>
          <w:rFonts w:hint="eastAsia" w:ascii="仿宋" w:hAnsi="仿宋" w:eastAsia="仿宋" w:cs="仿宋"/>
          <w:b w:val="0"/>
          <w:bCs/>
          <w:color w:val="auto"/>
          <w:sz w:val="32"/>
          <w:szCs w:val="32"/>
          <w:lang w:eastAsia="zh-CN"/>
        </w:rPr>
        <w:t>以上</w:t>
      </w:r>
      <w:r>
        <w:rPr>
          <w:rFonts w:hint="eastAsia" w:ascii="仿宋" w:hAnsi="仿宋" w:eastAsia="仿宋" w:cs="仿宋"/>
          <w:b w:val="0"/>
          <w:bCs/>
          <w:color w:val="auto"/>
          <w:sz w:val="32"/>
          <w:szCs w:val="32"/>
        </w:rPr>
        <w:t>。全年实际完成</w:t>
      </w:r>
      <w:r>
        <w:rPr>
          <w:rFonts w:hint="eastAsia" w:ascii="仿宋" w:hAnsi="仿宋" w:eastAsia="仿宋" w:cs="仿宋"/>
          <w:b w:val="0"/>
          <w:bCs/>
          <w:color w:val="auto"/>
          <w:sz w:val="32"/>
          <w:szCs w:val="32"/>
          <w:lang w:eastAsia="zh-CN"/>
        </w:rPr>
        <w:t>情况：大于等于</w:t>
      </w:r>
      <w:r>
        <w:rPr>
          <w:rFonts w:hint="eastAsia" w:ascii="仿宋" w:hAnsi="仿宋" w:eastAsia="仿宋" w:cs="仿宋"/>
          <w:b w:val="0"/>
          <w:bCs/>
          <w:color w:val="auto"/>
          <w:sz w:val="32"/>
          <w:szCs w:val="32"/>
          <w:lang w:val="en-US" w:eastAsia="zh-CN"/>
        </w:rPr>
        <w:t>3</w:t>
      </w:r>
      <w:r>
        <w:rPr>
          <w:rFonts w:hint="eastAsia" w:ascii="仿宋" w:hAnsi="仿宋" w:eastAsia="仿宋" w:cs="仿宋"/>
          <w:b w:val="0"/>
          <w:bCs/>
          <w:color w:val="auto"/>
          <w:sz w:val="32"/>
          <w:szCs w:val="32"/>
          <w:lang w:eastAsia="zh-CN"/>
        </w:rPr>
        <w:t>。</w:t>
      </w:r>
    </w:p>
    <w:p>
      <w:pPr>
        <w:keepNext w:val="0"/>
        <w:keepLines w:val="0"/>
        <w:pageBreakBefore w:val="0"/>
        <w:widowControl w:val="0"/>
        <w:numPr>
          <w:ilvl w:val="-1"/>
          <w:numId w:val="0"/>
        </w:numPr>
        <w:kinsoku/>
        <w:wordWrap/>
        <w:overflowPunct/>
        <w:topLinePunct w:val="0"/>
        <w:autoSpaceDE/>
        <w:autoSpaceDN/>
        <w:bidi w:val="0"/>
        <w:adjustRightInd/>
        <w:snapToGrid w:val="0"/>
        <w:spacing w:line="560" w:lineRule="exact"/>
        <w:ind w:firstLine="640" w:firstLineChars="200"/>
        <w:textAlignment w:val="auto"/>
        <w:outlineLvl w:val="0"/>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eastAsia="zh-CN"/>
        </w:rPr>
        <w:t>（</w:t>
      </w:r>
      <w:r>
        <w:rPr>
          <w:rFonts w:hint="eastAsia" w:ascii="仿宋" w:hAnsi="仿宋" w:eastAsia="仿宋" w:cs="仿宋"/>
          <w:b w:val="0"/>
          <w:bCs/>
          <w:color w:val="auto"/>
          <w:sz w:val="32"/>
          <w:szCs w:val="32"/>
          <w:lang w:val="en-US" w:eastAsia="zh-CN"/>
        </w:rPr>
        <w:t>3</w:t>
      </w:r>
      <w:r>
        <w:rPr>
          <w:rFonts w:hint="eastAsia" w:ascii="仿宋" w:hAnsi="仿宋" w:eastAsia="仿宋" w:cs="仿宋"/>
          <w:b w:val="0"/>
          <w:bCs/>
          <w:color w:val="auto"/>
          <w:sz w:val="32"/>
          <w:szCs w:val="32"/>
          <w:lang w:eastAsia="zh-CN"/>
        </w:rPr>
        <w:t>）</w:t>
      </w:r>
      <w:r>
        <w:rPr>
          <w:rFonts w:hint="eastAsia" w:ascii="仿宋" w:hAnsi="仿宋" w:eastAsia="仿宋" w:cs="仿宋"/>
          <w:b w:val="0"/>
          <w:bCs/>
          <w:color w:val="auto"/>
          <w:sz w:val="32"/>
          <w:szCs w:val="32"/>
        </w:rPr>
        <w:t>时效指标：</w:t>
      </w:r>
      <w:r>
        <w:rPr>
          <w:rFonts w:hint="eastAsia" w:ascii="仿宋" w:hAnsi="仿宋" w:eastAsia="仿宋" w:cs="仿宋"/>
          <w:b w:val="0"/>
          <w:bCs/>
          <w:color w:val="auto"/>
          <w:sz w:val="32"/>
          <w:szCs w:val="32"/>
          <w:lang w:eastAsia="zh-CN"/>
        </w:rPr>
        <w:t>工作任务完成及时率</w:t>
      </w:r>
      <w:r>
        <w:rPr>
          <w:rFonts w:hint="eastAsia" w:ascii="仿宋" w:hAnsi="仿宋" w:eastAsia="仿宋" w:cs="仿宋"/>
          <w:b w:val="0"/>
          <w:bCs/>
          <w:color w:val="auto"/>
          <w:sz w:val="32"/>
          <w:szCs w:val="32"/>
          <w:lang w:val="en-US" w:eastAsia="zh-CN"/>
        </w:rPr>
        <w:t>80人</w:t>
      </w:r>
      <w:r>
        <w:rPr>
          <w:rFonts w:hint="eastAsia" w:ascii="仿宋" w:hAnsi="仿宋" w:eastAsia="仿宋" w:cs="仿宋"/>
          <w:b w:val="0"/>
          <w:bCs/>
          <w:color w:val="auto"/>
          <w:sz w:val="32"/>
          <w:szCs w:val="32"/>
        </w:rPr>
        <w:t>以上。全年实际完成</w:t>
      </w:r>
      <w:r>
        <w:rPr>
          <w:rFonts w:hint="eastAsia" w:ascii="仿宋" w:hAnsi="仿宋" w:eastAsia="仿宋" w:cs="仿宋"/>
          <w:b w:val="0"/>
          <w:bCs/>
          <w:color w:val="auto"/>
          <w:sz w:val="32"/>
          <w:szCs w:val="32"/>
          <w:lang w:eastAsia="zh-CN"/>
        </w:rPr>
        <w:t>情况：大于等于</w:t>
      </w:r>
      <w:r>
        <w:rPr>
          <w:rFonts w:hint="eastAsia" w:ascii="仿宋" w:hAnsi="仿宋" w:eastAsia="仿宋" w:cs="仿宋"/>
          <w:b w:val="0"/>
          <w:bCs/>
          <w:color w:val="auto"/>
          <w:sz w:val="32"/>
          <w:szCs w:val="32"/>
          <w:lang w:val="en-US" w:eastAsia="zh-CN"/>
        </w:rPr>
        <w:t>80%；</w:t>
      </w:r>
    </w:p>
    <w:p>
      <w:pPr>
        <w:keepNext w:val="0"/>
        <w:keepLines w:val="0"/>
        <w:pageBreakBefore w:val="0"/>
        <w:widowControl w:val="0"/>
        <w:numPr>
          <w:ilvl w:val="-1"/>
          <w:numId w:val="0"/>
        </w:numPr>
        <w:kinsoku/>
        <w:wordWrap/>
        <w:overflowPunct/>
        <w:topLinePunct w:val="0"/>
        <w:autoSpaceDE/>
        <w:autoSpaceDN/>
        <w:bidi w:val="0"/>
        <w:adjustRightInd/>
        <w:snapToGrid w:val="0"/>
        <w:spacing w:line="560" w:lineRule="exact"/>
        <w:ind w:firstLine="640" w:firstLineChars="200"/>
        <w:textAlignment w:val="auto"/>
        <w:outlineLvl w:val="0"/>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2、效益指标：</w:t>
      </w:r>
    </w:p>
    <w:p>
      <w:pPr>
        <w:keepNext w:val="0"/>
        <w:keepLines w:val="0"/>
        <w:pageBreakBefore w:val="0"/>
        <w:widowControl w:val="0"/>
        <w:numPr>
          <w:ilvl w:val="-1"/>
          <w:numId w:val="0"/>
        </w:numPr>
        <w:kinsoku/>
        <w:wordWrap/>
        <w:overflowPunct/>
        <w:topLinePunct w:val="0"/>
        <w:autoSpaceDE/>
        <w:autoSpaceDN/>
        <w:bidi w:val="0"/>
        <w:adjustRightInd/>
        <w:snapToGrid w:val="0"/>
        <w:spacing w:line="560" w:lineRule="exact"/>
        <w:ind w:firstLine="640" w:firstLineChars="200"/>
        <w:textAlignment w:val="auto"/>
        <w:outlineLvl w:val="0"/>
        <w:rPr>
          <w:rFonts w:hint="eastAsia" w:ascii="仿宋" w:hAnsi="仿宋" w:eastAsia="仿宋" w:cs="仿宋"/>
          <w:b w:val="0"/>
          <w:bCs/>
          <w:color w:val="auto"/>
          <w:sz w:val="32"/>
          <w:szCs w:val="32"/>
          <w:lang w:eastAsia="zh-CN"/>
        </w:rPr>
      </w:pPr>
      <w:r>
        <w:rPr>
          <w:rFonts w:hint="eastAsia" w:ascii="仿宋" w:hAnsi="仿宋" w:eastAsia="仿宋" w:cs="仿宋"/>
          <w:b w:val="0"/>
          <w:bCs/>
          <w:color w:val="auto"/>
          <w:sz w:val="32"/>
          <w:szCs w:val="32"/>
          <w:lang w:eastAsia="zh-CN"/>
        </w:rPr>
        <w:t>（</w:t>
      </w:r>
      <w:r>
        <w:rPr>
          <w:rFonts w:hint="eastAsia" w:ascii="仿宋" w:hAnsi="仿宋" w:eastAsia="仿宋" w:cs="仿宋"/>
          <w:b w:val="0"/>
          <w:bCs/>
          <w:color w:val="auto"/>
          <w:sz w:val="32"/>
          <w:szCs w:val="32"/>
          <w:lang w:val="en-US" w:eastAsia="zh-CN"/>
        </w:rPr>
        <w:t>1</w:t>
      </w:r>
      <w:r>
        <w:rPr>
          <w:rFonts w:hint="eastAsia" w:ascii="仿宋" w:hAnsi="仿宋" w:eastAsia="仿宋" w:cs="仿宋"/>
          <w:b w:val="0"/>
          <w:bCs/>
          <w:color w:val="auto"/>
          <w:sz w:val="32"/>
          <w:szCs w:val="32"/>
          <w:lang w:eastAsia="zh-CN"/>
        </w:rPr>
        <w:t>）社会效益指标：完善青少年体育赛事体系，加强体育后备人才人数</w:t>
      </w:r>
      <w:r>
        <w:rPr>
          <w:rFonts w:hint="eastAsia" w:ascii="仿宋" w:hAnsi="仿宋" w:eastAsia="仿宋" w:cs="仿宋"/>
          <w:b w:val="0"/>
          <w:bCs/>
          <w:color w:val="auto"/>
          <w:sz w:val="32"/>
          <w:szCs w:val="32"/>
          <w:lang w:val="en-US" w:eastAsia="zh-CN"/>
        </w:rPr>
        <w:t>90人以上</w:t>
      </w:r>
      <w:r>
        <w:rPr>
          <w:rFonts w:hint="eastAsia" w:ascii="仿宋" w:hAnsi="仿宋" w:eastAsia="仿宋" w:cs="仿宋"/>
          <w:b w:val="0"/>
          <w:bCs/>
          <w:color w:val="auto"/>
          <w:sz w:val="32"/>
          <w:szCs w:val="32"/>
          <w:lang w:eastAsia="zh-CN"/>
        </w:rPr>
        <w:t>。</w:t>
      </w:r>
      <w:r>
        <w:rPr>
          <w:rFonts w:hint="eastAsia" w:ascii="仿宋" w:hAnsi="仿宋" w:eastAsia="仿宋" w:cs="仿宋"/>
          <w:b w:val="0"/>
          <w:bCs/>
          <w:color w:val="auto"/>
          <w:sz w:val="32"/>
          <w:szCs w:val="32"/>
        </w:rPr>
        <w:t>全年实际完成</w:t>
      </w:r>
      <w:r>
        <w:rPr>
          <w:rFonts w:hint="eastAsia" w:ascii="仿宋" w:hAnsi="仿宋" w:eastAsia="仿宋" w:cs="仿宋"/>
          <w:b w:val="0"/>
          <w:bCs/>
          <w:color w:val="auto"/>
          <w:sz w:val="32"/>
          <w:szCs w:val="32"/>
          <w:lang w:eastAsia="zh-CN"/>
        </w:rPr>
        <w:t>情况：社会效益≥</w:t>
      </w:r>
      <w:r>
        <w:rPr>
          <w:rFonts w:hint="eastAsia" w:ascii="仿宋" w:hAnsi="仿宋" w:eastAsia="仿宋" w:cs="仿宋"/>
          <w:b w:val="0"/>
          <w:bCs/>
          <w:color w:val="auto"/>
          <w:sz w:val="32"/>
          <w:szCs w:val="32"/>
          <w:lang w:val="en-US" w:eastAsia="zh-CN"/>
        </w:rPr>
        <w:t>9</w:t>
      </w:r>
      <w:r>
        <w:rPr>
          <w:rFonts w:hint="eastAsia" w:ascii="仿宋" w:hAnsi="仿宋" w:eastAsia="仿宋" w:cs="仿宋"/>
          <w:b w:val="0"/>
          <w:bCs/>
          <w:color w:val="auto"/>
          <w:sz w:val="32"/>
          <w:szCs w:val="32"/>
          <w:lang w:eastAsia="zh-CN"/>
        </w:rPr>
        <w:t>0%。</w:t>
      </w:r>
    </w:p>
    <w:p>
      <w:pPr>
        <w:keepNext w:val="0"/>
        <w:keepLines w:val="0"/>
        <w:pageBreakBefore w:val="0"/>
        <w:widowControl w:val="0"/>
        <w:numPr>
          <w:ilvl w:val="-1"/>
          <w:numId w:val="0"/>
        </w:numPr>
        <w:kinsoku/>
        <w:wordWrap/>
        <w:overflowPunct/>
        <w:topLinePunct w:val="0"/>
        <w:autoSpaceDE/>
        <w:autoSpaceDN/>
        <w:bidi w:val="0"/>
        <w:adjustRightInd/>
        <w:snapToGrid w:val="0"/>
        <w:spacing w:line="560" w:lineRule="exact"/>
        <w:ind w:firstLine="640" w:firstLineChars="200"/>
        <w:textAlignment w:val="auto"/>
        <w:outlineLvl w:val="0"/>
        <w:rPr>
          <w:rFonts w:hint="eastAsia" w:ascii="仿宋" w:hAnsi="仿宋" w:eastAsia="仿宋" w:cs="仿宋"/>
          <w:b w:val="0"/>
          <w:bCs/>
          <w:color w:val="auto"/>
          <w:sz w:val="32"/>
          <w:szCs w:val="32"/>
          <w:lang w:eastAsia="zh-CN"/>
        </w:rPr>
      </w:pPr>
      <w:r>
        <w:rPr>
          <w:rFonts w:hint="eastAsia" w:ascii="仿宋" w:hAnsi="仿宋" w:eastAsia="仿宋" w:cs="仿宋"/>
          <w:b w:val="0"/>
          <w:bCs/>
          <w:color w:val="auto"/>
          <w:sz w:val="32"/>
          <w:szCs w:val="32"/>
          <w:lang w:val="en-US" w:eastAsia="zh-CN"/>
        </w:rPr>
        <w:t>3、</w:t>
      </w:r>
      <w:r>
        <w:rPr>
          <w:rFonts w:hint="eastAsia" w:ascii="仿宋" w:hAnsi="仿宋" w:eastAsia="仿宋" w:cs="仿宋"/>
          <w:b w:val="0"/>
          <w:bCs/>
          <w:color w:val="auto"/>
          <w:sz w:val="32"/>
          <w:szCs w:val="32"/>
          <w:lang w:eastAsia="zh-CN"/>
        </w:rPr>
        <w:t>满意度指标：</w:t>
      </w:r>
    </w:p>
    <w:p>
      <w:pPr>
        <w:keepNext w:val="0"/>
        <w:keepLines w:val="0"/>
        <w:pageBreakBefore w:val="0"/>
        <w:widowControl w:val="0"/>
        <w:numPr>
          <w:ilvl w:val="-1"/>
          <w:numId w:val="0"/>
        </w:numPr>
        <w:kinsoku/>
        <w:wordWrap/>
        <w:overflowPunct/>
        <w:topLinePunct w:val="0"/>
        <w:autoSpaceDE/>
        <w:autoSpaceDN/>
        <w:bidi w:val="0"/>
        <w:adjustRightInd/>
        <w:snapToGrid w:val="0"/>
        <w:spacing w:line="560" w:lineRule="exact"/>
        <w:ind w:firstLine="640" w:firstLineChars="200"/>
        <w:textAlignment w:val="auto"/>
        <w:outlineLvl w:val="0"/>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lang w:eastAsia="zh-CN"/>
        </w:rPr>
        <w:t>（</w:t>
      </w:r>
      <w:r>
        <w:rPr>
          <w:rFonts w:hint="eastAsia" w:ascii="仿宋" w:hAnsi="仿宋" w:eastAsia="仿宋" w:cs="仿宋"/>
          <w:b w:val="0"/>
          <w:bCs/>
          <w:color w:val="auto"/>
          <w:sz w:val="32"/>
          <w:szCs w:val="32"/>
          <w:lang w:val="en-US" w:eastAsia="zh-CN"/>
        </w:rPr>
        <w:t>1</w:t>
      </w:r>
      <w:r>
        <w:rPr>
          <w:rFonts w:hint="eastAsia" w:ascii="仿宋" w:hAnsi="仿宋" w:eastAsia="仿宋" w:cs="仿宋"/>
          <w:b w:val="0"/>
          <w:bCs/>
          <w:color w:val="auto"/>
          <w:sz w:val="32"/>
          <w:szCs w:val="32"/>
          <w:lang w:eastAsia="zh-CN"/>
        </w:rPr>
        <w:t>）服务对象满意度指标：运动员满意度大于等于</w:t>
      </w:r>
      <w:r>
        <w:rPr>
          <w:rFonts w:hint="eastAsia" w:ascii="仿宋" w:hAnsi="仿宋" w:eastAsia="仿宋" w:cs="仿宋"/>
          <w:b w:val="0"/>
          <w:bCs/>
          <w:color w:val="auto"/>
          <w:sz w:val="32"/>
          <w:szCs w:val="32"/>
          <w:lang w:val="en-US" w:eastAsia="zh-CN"/>
        </w:rPr>
        <w:t>80%</w:t>
      </w:r>
      <w:r>
        <w:rPr>
          <w:rFonts w:hint="eastAsia" w:ascii="仿宋" w:hAnsi="仿宋" w:eastAsia="仿宋" w:cs="仿宋"/>
          <w:b w:val="0"/>
          <w:bCs/>
          <w:color w:val="auto"/>
          <w:sz w:val="32"/>
          <w:szCs w:val="32"/>
          <w:lang w:eastAsia="zh-CN"/>
        </w:rPr>
        <w:t>。</w:t>
      </w:r>
      <w:r>
        <w:rPr>
          <w:rFonts w:hint="eastAsia" w:ascii="仿宋" w:hAnsi="仿宋" w:eastAsia="仿宋" w:cs="仿宋"/>
          <w:b w:val="0"/>
          <w:bCs/>
          <w:color w:val="auto"/>
          <w:sz w:val="32"/>
          <w:szCs w:val="32"/>
        </w:rPr>
        <w:t>全年实际完成</w:t>
      </w:r>
      <w:r>
        <w:rPr>
          <w:rFonts w:hint="eastAsia" w:ascii="仿宋" w:hAnsi="仿宋" w:eastAsia="仿宋" w:cs="仿宋"/>
          <w:b w:val="0"/>
          <w:bCs/>
          <w:color w:val="auto"/>
          <w:sz w:val="32"/>
          <w:szCs w:val="32"/>
          <w:lang w:eastAsia="zh-CN"/>
        </w:rPr>
        <w:t>情况：运动员满意度</w:t>
      </w:r>
      <w:r>
        <w:rPr>
          <w:rFonts w:hint="eastAsia" w:ascii="仿宋" w:hAnsi="仿宋" w:eastAsia="仿宋" w:cs="仿宋"/>
          <w:b w:val="0"/>
          <w:bCs/>
          <w:color w:val="auto"/>
          <w:sz w:val="32"/>
          <w:szCs w:val="32"/>
          <w:lang w:val="en-US" w:eastAsia="zh-CN"/>
        </w:rPr>
        <w:t>80人</w:t>
      </w:r>
      <w:r>
        <w:rPr>
          <w:rFonts w:hint="eastAsia" w:ascii="仿宋" w:hAnsi="仿宋" w:eastAsia="仿宋" w:cs="仿宋"/>
          <w:b w:val="0"/>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三、偏离绩效目标的原因和下一步改进措施</w:t>
      </w:r>
      <w:bookmarkStart w:id="0" w:name="_GoBack"/>
      <w:bookmarkEnd w:id="0"/>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default"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 xml:space="preserve">     </w:t>
      </w:r>
      <w:r>
        <w:rPr>
          <w:rFonts w:hint="eastAsia" w:ascii="仿宋" w:hAnsi="仿宋" w:eastAsia="仿宋" w:cs="仿宋"/>
          <w:b w:val="0"/>
          <w:bCs/>
          <w:color w:val="auto"/>
          <w:sz w:val="32"/>
          <w:szCs w:val="32"/>
          <w:lang w:eastAsia="zh-CN"/>
        </w:rPr>
        <w:t>无此情况。</w:t>
      </w:r>
    </w:p>
    <w:p>
      <w:pPr>
        <w:keepNext w:val="0"/>
        <w:keepLines w:val="0"/>
        <w:pageBreakBefore w:val="0"/>
        <w:widowControl w:val="0"/>
        <w:numPr>
          <w:ilvl w:val="0"/>
          <w:numId w:val="3"/>
        </w:numPr>
        <w:kinsoku/>
        <w:wordWrap/>
        <w:overflowPunct/>
        <w:topLinePunct w:val="0"/>
        <w:autoSpaceDE/>
        <w:autoSpaceDN/>
        <w:bidi w:val="0"/>
        <w:adjustRightInd/>
        <w:snapToGrid w:val="0"/>
        <w:spacing w:line="56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绩效自评结果拟应用和公开情况</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仿宋" w:hAnsi="仿宋" w:eastAsia="仿宋"/>
          <w:color w:val="auto"/>
          <w:sz w:val="32"/>
          <w:szCs w:val="32"/>
        </w:rPr>
      </w:pPr>
      <w:r>
        <w:rPr>
          <w:rFonts w:hint="eastAsia" w:ascii="仿宋" w:hAnsi="仿宋" w:eastAsia="仿宋"/>
          <w:color w:val="auto"/>
          <w:sz w:val="32"/>
          <w:szCs w:val="32"/>
        </w:rPr>
        <w:t>我市项目主管部门适时对绩效自评结果进行抽查，并加强抽查结果应用，绩效自评结果将作为以后年度项目立项和经费支持的重要依据，对绩效自评结果与实际情况出入较大或绩效较差的单位，下一年度项目预算从紧从严。项目主管部门会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ascii="黑体" w:hAnsi="黑体" w:eastAsia="黑体" w:cs="黑体"/>
          <w:b w:val="0"/>
          <w:bCs/>
          <w:color w:val="auto"/>
          <w:sz w:val="32"/>
          <w:szCs w:val="32"/>
        </w:rPr>
      </w:pPr>
      <w:r>
        <w:rPr>
          <w:rFonts w:hint="eastAsia" w:ascii="黑体" w:hAnsi="黑体" w:eastAsia="黑体" w:cs="黑体"/>
          <w:b w:val="0"/>
          <w:bCs/>
          <w:color w:val="auto"/>
          <w:sz w:val="32"/>
          <w:szCs w:val="32"/>
        </w:rPr>
        <w:t>五、其他需要说明的问题</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 w:hAnsi="仿宋" w:eastAsia="仿宋" w:cs="仿宋"/>
          <w:b w:val="0"/>
          <w:bCs/>
          <w:color w:val="auto"/>
          <w:sz w:val="32"/>
          <w:szCs w:val="32"/>
          <w:lang w:eastAsia="zh-CN"/>
        </w:rPr>
      </w:pPr>
      <w:r>
        <w:rPr>
          <w:rFonts w:hint="eastAsia" w:ascii="仿宋" w:hAnsi="仿宋" w:eastAsia="仿宋" w:cs="仿宋"/>
          <w:b w:val="0"/>
          <w:bCs/>
          <w:color w:val="auto"/>
          <w:sz w:val="32"/>
          <w:szCs w:val="32"/>
          <w:lang w:eastAsia="zh-CN"/>
        </w:rPr>
        <w:t>无。</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黑体" w:hAnsi="黑体" w:eastAsia="黑体" w:cs="黑体"/>
          <w:b w:val="0"/>
          <w:bCs/>
          <w:color w:val="auto"/>
          <w:sz w:val="32"/>
          <w:szCs w:val="32"/>
          <w:lang w:val="en"/>
        </w:rPr>
      </w:pPr>
      <w:r>
        <w:rPr>
          <w:rFonts w:hint="eastAsia" w:ascii="黑体" w:hAnsi="黑体" w:eastAsia="黑体" w:cs="黑体"/>
          <w:b w:val="0"/>
          <w:bCs/>
          <w:color w:val="auto"/>
          <w:sz w:val="32"/>
          <w:szCs w:val="32"/>
          <w:lang w:val="en"/>
        </w:rPr>
        <w:t>六、附件</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pPr>
    </w:p>
    <w:sectPr>
      <w:footerReference r:id="rId3" w:type="default"/>
      <w:pgSz w:w="11906" w:h="16838"/>
      <w:pgMar w:top="2098" w:right="1474" w:bottom="1984" w:left="1587" w:header="851" w:footer="1587" w:gutter="0"/>
      <w:pgNumType w:fmt="decimal"/>
      <w:cols w:space="0" w:num="1"/>
      <w:rtlGutter w:val="0"/>
      <w:docGrid w:type="lines" w:linePitch="41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eastAsia="zh-CN"/>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C39251"/>
    <w:multiLevelType w:val="singleLevel"/>
    <w:tmpl w:val="C7C39251"/>
    <w:lvl w:ilvl="0" w:tentative="0">
      <w:start w:val="3"/>
      <w:numFmt w:val="chineseCounting"/>
      <w:suff w:val="nothing"/>
      <w:lvlText w:val="（%1）"/>
      <w:lvlJc w:val="left"/>
      <w:rPr>
        <w:rFonts w:hint="eastAsia"/>
      </w:rPr>
    </w:lvl>
  </w:abstractNum>
  <w:abstractNum w:abstractNumId="1">
    <w:nsid w:val="02C9E017"/>
    <w:multiLevelType w:val="singleLevel"/>
    <w:tmpl w:val="02C9E017"/>
    <w:lvl w:ilvl="0" w:tentative="0">
      <w:start w:val="4"/>
      <w:numFmt w:val="chineseCounting"/>
      <w:suff w:val="nothing"/>
      <w:lvlText w:val="%1、"/>
      <w:lvlJc w:val="left"/>
      <w:rPr>
        <w:rFonts w:hint="eastAsia"/>
      </w:rPr>
    </w:lvl>
  </w:abstractNum>
  <w:abstractNum w:abstractNumId="2">
    <w:nsid w:val="22923DF2"/>
    <w:multiLevelType w:val="singleLevel"/>
    <w:tmpl w:val="22923DF2"/>
    <w:lvl w:ilvl="0" w:tentative="0">
      <w:start w:val="1"/>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5MDAyMjU2YzM4YWU1NmRhOWY2YzQ4YWU5YWJiZmMifQ=="/>
  </w:docVars>
  <w:rsids>
    <w:rsidRoot w:val="00000000"/>
    <w:rsid w:val="0C156426"/>
    <w:rsid w:val="13960416"/>
    <w:rsid w:val="535434B0"/>
    <w:rsid w:val="5BC10B72"/>
    <w:rsid w:val="66BF7FCB"/>
    <w:rsid w:val="6951317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4">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1140</Words>
  <Characters>1208</Characters>
  <Lines>0</Lines>
  <Paragraphs>0</Paragraphs>
  <TotalTime>0</TotalTime>
  <ScaleCrop>false</ScaleCrop>
  <LinksUpToDate>false</LinksUpToDate>
  <CharactersWithSpaces>1208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Administrator.BF-20190524HSPJ</dc:creator>
  <cp:lastModifiedBy>珍惜</cp:lastModifiedBy>
  <dcterms:modified xsi:type="dcterms:W3CDTF">2024-03-12T03:14:02Z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5BBEA4AEB9AB4C86942AE5A1353B7360</vt:lpwstr>
  </property>
</Properties>
</file>