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3</w:t>
      </w: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省旅游和文化广电体育事业专项资金</w:t>
      </w: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（青少年体育竞赛经费）绩效</w:t>
      </w: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自评报告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" w:hAnsi="仿宋" w:eastAsia="仿宋" w:cs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一、绩效目标分解下达情况</w:t>
      </w:r>
    </w:p>
    <w:p>
      <w:pPr>
        <w:widowControl w:val="0"/>
        <w:spacing w:line="560" w:lineRule="exact"/>
        <w:ind w:firstLine="640" w:firstLineChars="200"/>
        <w:jc w:val="both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2022年下达</w:t>
      </w: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省旅游和文化广电体育事业专项资金</w:t>
      </w:r>
    </w:p>
    <w:p>
      <w:pPr>
        <w:widowControl w:val="0"/>
        <w:spacing w:line="560" w:lineRule="exact"/>
        <w:jc w:val="both"/>
        <w:rPr>
          <w:rFonts w:hint="eastAsia" w:ascii="仿宋_GB2312" w:hAnsi="仿宋_GB2312" w:eastAsia="仿宋_GB2312" w:cs="仿宋_GB2312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（青少年体育竞赛经费）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66.15万元至我单位，用于举办2021年海南省青少年篮球锦标赛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</w:rPr>
        <w:t>单位自评分</w:t>
      </w:r>
      <w:r>
        <w:rPr>
          <w:rFonts w:hint="eastAsia" w:ascii="仿宋_GB2312" w:hAnsi="仿宋_GB2312" w:cs="仿宋_GB2312"/>
          <w:lang w:val="en-US" w:eastAsia="zh-CN"/>
        </w:rPr>
        <w:t>为100分，</w:t>
      </w:r>
      <w:r>
        <w:rPr>
          <w:rFonts w:hint="eastAsia" w:ascii="仿宋_GB2312" w:hAnsi="仿宋_GB2312" w:eastAsia="仿宋_GB2312" w:cs="仿宋_GB2312"/>
        </w:rPr>
        <w:t>评估等级</w:t>
      </w:r>
      <w:r>
        <w:rPr>
          <w:rFonts w:hint="eastAsia" w:ascii="仿宋_GB2312" w:hAnsi="仿宋_GB2312" w:cs="仿宋_GB231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</w:rPr>
        <w:t>优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三、绩效目标完成情况分析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（一）资金情况分析。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省旅游和文化广电体育事业专项资金（青少年体育竞赛经费）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66.15万元至我单位，该项目为2022年预算项目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现该项目已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成功举办，已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支付2021年海南省青少年篮球锦标赛承办费66.15万元。该项经费已全部支出。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总体绩效目标完成情况分析。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2021年海南省青少年篮球锦标赛一方面借助“黄金周”时间优势，催热赛事经济，以赛促旅、借赛兴游。另一方面，计划通过比赛练兵，发现自身不足，从而不断完善自身技术水平，为我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发现和培养高水平篮球后备人才提供了契机，进一步地推动了全省青少年篮球运动的发展，积极组织开展全民健身运动。不断增强广大群众体育健身意识，有助于形成人人爱体育、人人懂体育、人人享受体育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绩效指标完成情况分析。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2021年海南省青少年篮球锦标赛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比赛效果良好，项目已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圆满举办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四、偏离绩效目标的原因和下一步改进措施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将继续强化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省旅游和文化广电体育事业专项资金（青少年体育竞赛经费）</w:t>
      </w:r>
      <w:r>
        <w:rPr>
          <w:rFonts w:hint="eastAsia" w:ascii="仿宋_GB2312" w:eastAsia="仿宋_GB2312"/>
          <w:sz w:val="32"/>
          <w:szCs w:val="32"/>
        </w:rPr>
        <w:t>和项目管理，督促指导项目推进力度，确保</w:t>
      </w:r>
      <w:r>
        <w:rPr>
          <w:rFonts w:hint="eastAsia" w:ascii="仿宋_GB2312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早日</w:t>
      </w:r>
      <w:r>
        <w:rPr>
          <w:rFonts w:hint="eastAsia" w:ascii="仿宋_GB2312"/>
          <w:sz w:val="32"/>
          <w:szCs w:val="32"/>
          <w:lang w:eastAsia="zh-CN"/>
        </w:rPr>
        <w:t>举办，</w:t>
      </w:r>
      <w:r>
        <w:rPr>
          <w:rFonts w:hint="eastAsia" w:ascii="仿宋_GB2312"/>
          <w:sz w:val="32"/>
          <w:szCs w:val="32"/>
          <w:lang w:val="en-US" w:eastAsia="zh-CN"/>
        </w:rPr>
        <w:t>按时支付项目资金</w:t>
      </w:r>
      <w:r>
        <w:rPr>
          <w:rFonts w:hint="eastAsia" w:ascii="仿宋_GB2312" w:eastAsia="仿宋_GB2312"/>
          <w:sz w:val="32"/>
          <w:szCs w:val="32"/>
        </w:rPr>
        <w:t>。同时，对项目进行监督检查和绩效考核，并强化考核结果应用。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绩效自评结果拟应用和公开情况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仿宋_GB2312" w:hAnsi="仿宋" w:eastAsia="仿宋_GB2312"/>
          <w:sz w:val="32"/>
          <w:szCs w:val="32"/>
        </w:rPr>
        <w:t>高度重视绩效评价结果的应用工作，积极探索和建立一套与预算管理相结合、多渠道应用评价结果的有效机制，着力提高绩效意识和财政资金使用效益。同时，将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省旅游和文化广电体育事业专项资金（青少年体育竞赛经费）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的绩效目标自评表和</w:t>
      </w:r>
      <w:r>
        <w:rPr>
          <w:rFonts w:hint="eastAsia" w:ascii="仿宋_GB2312" w:hAnsi="仿宋" w:eastAsia="仿宋_GB2312"/>
          <w:sz w:val="32"/>
          <w:szCs w:val="32"/>
        </w:rPr>
        <w:t>绩效目标自评报告进行公开，接受社会监督。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六、其他需要说明的问题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4673B"/>
    <w:multiLevelType w:val="singleLevel"/>
    <w:tmpl w:val="8B3467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8A5814"/>
    <w:multiLevelType w:val="singleLevel"/>
    <w:tmpl w:val="058A581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3250E"/>
    <w:rsid w:val="015B4A61"/>
    <w:rsid w:val="02457914"/>
    <w:rsid w:val="0B2C2D1F"/>
    <w:rsid w:val="0BA82AA4"/>
    <w:rsid w:val="0D1505DB"/>
    <w:rsid w:val="1150643E"/>
    <w:rsid w:val="13606CDA"/>
    <w:rsid w:val="1DBC4A55"/>
    <w:rsid w:val="224C6623"/>
    <w:rsid w:val="26592BF9"/>
    <w:rsid w:val="29B170B5"/>
    <w:rsid w:val="2C8E2FE1"/>
    <w:rsid w:val="2D8A1FE4"/>
    <w:rsid w:val="35615416"/>
    <w:rsid w:val="35E9618D"/>
    <w:rsid w:val="35F59BDF"/>
    <w:rsid w:val="396B3041"/>
    <w:rsid w:val="3FB410E6"/>
    <w:rsid w:val="3FEE6CC9"/>
    <w:rsid w:val="43BB52CC"/>
    <w:rsid w:val="44A3250E"/>
    <w:rsid w:val="44AD0579"/>
    <w:rsid w:val="453833F6"/>
    <w:rsid w:val="46FC14D0"/>
    <w:rsid w:val="4A441947"/>
    <w:rsid w:val="4AE16DD2"/>
    <w:rsid w:val="50161C26"/>
    <w:rsid w:val="565B3686"/>
    <w:rsid w:val="56806D53"/>
    <w:rsid w:val="59CE11AA"/>
    <w:rsid w:val="5BFC4C9D"/>
    <w:rsid w:val="5C9F4CD7"/>
    <w:rsid w:val="5DF63802"/>
    <w:rsid w:val="639332C1"/>
    <w:rsid w:val="645F1374"/>
    <w:rsid w:val="667A1BC0"/>
    <w:rsid w:val="68D6777E"/>
    <w:rsid w:val="69FD302A"/>
    <w:rsid w:val="6B3741F6"/>
    <w:rsid w:val="6D841374"/>
    <w:rsid w:val="6FB11C15"/>
    <w:rsid w:val="726C3AFC"/>
    <w:rsid w:val="773A5E3C"/>
    <w:rsid w:val="77582CBE"/>
    <w:rsid w:val="79BF2C85"/>
    <w:rsid w:val="7E3A7F21"/>
    <w:rsid w:val="7E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2023-03-15T21:25:00Z</dcterms:created>
  <dc:creator>Administrator</dc:creator>
  <cp:lastModifiedBy>user</cp:lastModifiedBy>
  <cp:lastPrinted>2023-03-15T23:11:00Z</cp:lastPrinted>
  <dcterms:modified xsi:type="dcterms:W3CDTF">2023-04-27T15:35:28Z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