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B94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儋州市互联网租赁电动自行车管理</w:t>
      </w:r>
    </w:p>
    <w:p w14:paraId="4E1972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指导性意见</w:t>
      </w:r>
    </w:p>
    <w:p w14:paraId="08353D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试行2年</w:t>
      </w:r>
      <w:r>
        <w:rPr>
          <w:rFonts w:hint="eastAsia" w:ascii="楷体_GB2312" w:hAnsi="楷体_GB2312" w:eastAsia="楷体_GB2312" w:cs="楷体_GB2312"/>
          <w:b w:val="0"/>
          <w:bCs w:val="0"/>
          <w:sz w:val="32"/>
          <w:szCs w:val="32"/>
          <w:lang w:eastAsia="zh-CN"/>
        </w:rPr>
        <w:t>）</w:t>
      </w:r>
    </w:p>
    <w:p w14:paraId="2D6B8E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p>
    <w:p w14:paraId="172D4B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rPr>
      </w:pPr>
      <w:r>
        <w:rPr>
          <w:rFonts w:hint="eastAsia" w:ascii="黑体" w:hAnsi="黑体" w:eastAsia="黑体" w:cs="黑体"/>
          <w:b w:val="0"/>
          <w:bCs w:val="0"/>
        </w:rPr>
        <w:t>第一章 总则</w:t>
      </w:r>
    </w:p>
    <w:p w14:paraId="31514D6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第一条</w:t>
      </w:r>
      <w:r>
        <w:rPr>
          <w:rFonts w:hint="eastAsia"/>
        </w:rPr>
        <w:t xml:space="preserve"> 为引导和规范互联网租赁电动自行车健康有序发展，更好地满足市民出行需求，保障交通安全，倡导市民绿色低碳出行，促进城市公共资源合理利用，维护良好的公共秩序和市容环境，根据《中华人民共和国道路交通安全法》《电动自行车安全技术规范》（GB 17761-2024）《中华人民共和国网络安全法》《关于鼓励和规范互联网租赁自行车发展的指导意见》（交运发〔2017〕109号）和《海南省电动自行车管理条例》等法律、行政法规规定，结合我市实际，制定本</w:t>
      </w:r>
      <w:r>
        <w:rPr>
          <w:rFonts w:hint="eastAsia"/>
          <w:lang w:val="en-US" w:eastAsia="zh-CN"/>
        </w:rPr>
        <w:t>意见</w:t>
      </w:r>
      <w:r>
        <w:rPr>
          <w:rFonts w:hint="eastAsia"/>
        </w:rPr>
        <w:t>。</w:t>
      </w:r>
    </w:p>
    <w:p w14:paraId="05E33E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第二条</w:t>
      </w:r>
      <w:r>
        <w:rPr>
          <w:rFonts w:hint="eastAsia"/>
        </w:rPr>
        <w:t xml:space="preserve"> 儋州市行政区域内互联网租赁电动自行车的经营服务、使用及其相关监督管理活动适用本</w:t>
      </w:r>
      <w:r>
        <w:rPr>
          <w:rFonts w:hint="eastAsia"/>
          <w:lang w:eastAsia="zh-CN"/>
        </w:rPr>
        <w:t>意见</w:t>
      </w:r>
      <w:r>
        <w:rPr>
          <w:rFonts w:hint="eastAsia"/>
        </w:rPr>
        <w:t>。</w:t>
      </w:r>
    </w:p>
    <w:p w14:paraId="0A99A3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第三条</w:t>
      </w:r>
      <w:r>
        <w:rPr>
          <w:rFonts w:hint="eastAsia"/>
        </w:rPr>
        <w:t xml:space="preserve"> 本</w:t>
      </w:r>
      <w:r>
        <w:rPr>
          <w:rFonts w:hint="eastAsia"/>
          <w:lang w:eastAsia="zh-CN"/>
        </w:rPr>
        <w:t>意见</w:t>
      </w:r>
      <w:r>
        <w:rPr>
          <w:rFonts w:hint="eastAsia"/>
        </w:rPr>
        <w:t>所称互联网租赁电动自行车是指以移动互联网技术为依托构建平台，由企业投放，为使用者提供分时租赁服务的营运非机动车。</w:t>
      </w:r>
    </w:p>
    <w:p w14:paraId="1A3A4F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第四条</w:t>
      </w:r>
      <w:r>
        <w:rPr>
          <w:rFonts w:hint="eastAsia"/>
        </w:rPr>
        <w:t xml:space="preserve"> 本市坚持优先发展公共交通</w:t>
      </w:r>
      <w:r>
        <w:rPr>
          <w:rFonts w:hint="eastAsia"/>
          <w:lang w:eastAsia="zh-CN"/>
        </w:rPr>
        <w:t>，</w:t>
      </w:r>
      <w:r>
        <w:rPr>
          <w:rFonts w:hint="eastAsia"/>
        </w:rPr>
        <w:t>对互联网租赁电动自行车遵循规范存量、有序发展的原则，推进互联网租赁电动自行车与公共交通融合发展，构建多层次、多样化的城市绿色交通系统。</w:t>
      </w:r>
    </w:p>
    <w:p w14:paraId="6C5962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highlight w:val="none"/>
        </w:rPr>
      </w:pPr>
      <w:r>
        <w:rPr>
          <w:rFonts w:hint="eastAsia"/>
          <w:color w:val="auto"/>
          <w:highlight w:val="none"/>
        </w:rPr>
        <w:t>本市原则上鼓励发展</w:t>
      </w:r>
      <w:r>
        <w:rPr>
          <w:rFonts w:hint="eastAsia"/>
          <w:color w:val="auto"/>
          <w:highlight w:val="none"/>
          <w:lang w:val="en-US" w:eastAsia="zh-CN"/>
        </w:rPr>
        <w:t>氢能等新能源互联网租赁电动自行</w:t>
      </w:r>
      <w:r>
        <w:rPr>
          <w:rFonts w:hint="eastAsia"/>
          <w:color w:val="auto"/>
          <w:highlight w:val="none"/>
        </w:rPr>
        <w:t>车</w:t>
      </w:r>
      <w:r>
        <w:rPr>
          <w:rFonts w:hint="eastAsia"/>
          <w:color w:val="auto"/>
          <w:highlight w:val="none"/>
          <w:lang w:val="en-US" w:eastAsia="zh-CN"/>
        </w:rPr>
        <w:t>试点工作</w:t>
      </w:r>
      <w:r>
        <w:rPr>
          <w:rFonts w:hint="eastAsia"/>
          <w:color w:val="auto"/>
          <w:highlight w:val="none"/>
        </w:rPr>
        <w:t>。</w:t>
      </w:r>
    </w:p>
    <w:p w14:paraId="0DCF04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第五条</w:t>
      </w:r>
      <w:r>
        <w:rPr>
          <w:rFonts w:hint="eastAsia"/>
        </w:rPr>
        <w:t xml:space="preserve"> 各有关部门按照各自职责，规范互联网租赁电动自行车发展，依法履行监督、管理责任，发挥服务监管</w:t>
      </w:r>
      <w:r>
        <w:rPr>
          <w:rFonts w:hint="eastAsia"/>
          <w:lang w:eastAsia="zh-CN"/>
        </w:rPr>
        <w:t>职责</w:t>
      </w:r>
      <w:r>
        <w:rPr>
          <w:rFonts w:hint="eastAsia"/>
        </w:rPr>
        <w:t>。</w:t>
      </w:r>
    </w:p>
    <w:p w14:paraId="2F681B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rPr>
        <w:t>第二章 经营管理</w:t>
      </w:r>
    </w:p>
    <w:p w14:paraId="08F261E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第六条</w:t>
      </w:r>
      <w:r>
        <w:rPr>
          <w:rFonts w:hint="eastAsia"/>
        </w:rPr>
        <w:t xml:space="preserve"> 洋浦经济开发区交通运输和港航局作为</w:t>
      </w:r>
      <w:r>
        <w:rPr>
          <w:rFonts w:hint="eastAsia"/>
          <w:highlight w:val="none"/>
          <w:lang w:val="en-US" w:eastAsia="zh-CN"/>
        </w:rPr>
        <w:t>牵头部门</w:t>
      </w:r>
      <w:r>
        <w:rPr>
          <w:rFonts w:hint="eastAsia"/>
          <w:highlight w:val="none"/>
        </w:rPr>
        <w:t>，</w:t>
      </w:r>
      <w:r>
        <w:rPr>
          <w:rFonts w:hint="eastAsia"/>
        </w:rPr>
        <w:t>根据互联网租赁电动自行车发展定位和市民交通出行需求，综合考虑城市公共资源利用及设施承载能力等因素，确定互联网租赁电动自行车总量规模。</w:t>
      </w:r>
    </w:p>
    <w:p w14:paraId="505877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lang w:eastAsia="zh-CN"/>
        </w:rPr>
      </w:pPr>
      <w:r>
        <w:rPr>
          <w:rFonts w:hint="eastAsia"/>
          <w:b/>
          <w:bCs/>
        </w:rPr>
        <w:t>第七条</w:t>
      </w:r>
      <w:r>
        <w:rPr>
          <w:rFonts w:hint="eastAsia"/>
        </w:rPr>
        <w:t xml:space="preserve"> 依据本市互联网租赁电动自行车运力调控工作部署，经营主体须依规完成投放准入审核，取得准入资质后方可在本市范围内开展运营。</w:t>
      </w:r>
    </w:p>
    <w:p w14:paraId="211C31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第八条</w:t>
      </w:r>
      <w:r>
        <w:rPr>
          <w:rFonts w:hint="eastAsia"/>
        </w:rPr>
        <w:t xml:space="preserve"> 运营企业经营准备：</w:t>
      </w:r>
    </w:p>
    <w:p w14:paraId="59933F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（一）鼓励</w:t>
      </w:r>
      <w:r>
        <w:rPr>
          <w:rFonts w:hint="eastAsia"/>
          <w:lang w:val="en-US" w:eastAsia="zh-CN"/>
        </w:rPr>
        <w:t>企业</w:t>
      </w:r>
      <w:r>
        <w:rPr>
          <w:rFonts w:hint="eastAsia"/>
        </w:rPr>
        <w:t>在</w:t>
      </w:r>
      <w:r>
        <w:rPr>
          <w:rFonts w:hint="eastAsia"/>
          <w:lang w:val="en-US" w:eastAsia="zh-CN"/>
        </w:rPr>
        <w:t>儋州市</w:t>
      </w:r>
      <w:r>
        <w:rPr>
          <w:rFonts w:hint="eastAsia"/>
        </w:rPr>
        <w:t>设立</w:t>
      </w:r>
      <w:r>
        <w:rPr>
          <w:rFonts w:hint="eastAsia"/>
          <w:lang w:val="en-US" w:eastAsia="zh-CN"/>
        </w:rPr>
        <w:t>注册</w:t>
      </w:r>
      <w:r>
        <w:rPr>
          <w:rFonts w:hint="eastAsia"/>
          <w:lang w:eastAsia="zh-CN"/>
        </w:rPr>
        <w:t>，</w:t>
      </w:r>
      <w:r>
        <w:rPr>
          <w:rFonts w:hint="eastAsia"/>
        </w:rPr>
        <w:t>具有独立的法人资格，依法取得工商营业执照，具有独立承担民事责任的能力，且近3年内无重大违法记录；</w:t>
      </w:r>
    </w:p>
    <w:p w14:paraId="4D9E0B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（二）在儋州市有固定办公场所、固定负责人员和管理人员；</w:t>
      </w:r>
    </w:p>
    <w:p w14:paraId="3B3B96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（三）运营企业应配备与车辆投放规模相匹配的线上及线下管理人员，具有运营企业信息平台，具备线上线下服务能力；</w:t>
      </w:r>
    </w:p>
    <w:p w14:paraId="7362DB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ighlight w:val="yellow"/>
        </w:rPr>
      </w:pPr>
      <w:r>
        <w:rPr>
          <w:rFonts w:hint="eastAsia"/>
        </w:rPr>
        <w:t>（四）互联网租赁电动自行车车辆应具备智能定位系统，头盔佩戴识别硬件、RIFD感应标签、具有数据通讯技术的智能锁，且符合国家、行业及本市相关技术标准相关要求；</w:t>
      </w:r>
    </w:p>
    <w:p w14:paraId="04E566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lang w:val="en-US" w:eastAsia="zh-CN"/>
        </w:rPr>
      </w:pPr>
      <w:r>
        <w:rPr>
          <w:rFonts w:hint="eastAsia"/>
        </w:rPr>
        <w:t>（</w:t>
      </w:r>
      <w:r>
        <w:rPr>
          <w:rFonts w:hint="eastAsia"/>
          <w:lang w:val="en-US" w:eastAsia="zh-CN"/>
        </w:rPr>
        <w:t>五</w:t>
      </w:r>
      <w:r>
        <w:rPr>
          <w:rFonts w:hint="eastAsia"/>
        </w:rPr>
        <w:t>）互联网租赁电动自行车应当依法</w:t>
      </w:r>
      <w:r>
        <w:rPr>
          <w:rFonts w:hint="eastAsia"/>
          <w:color w:val="auto"/>
        </w:rPr>
        <w:t>登记</w:t>
      </w:r>
      <w:r>
        <w:rPr>
          <w:rFonts w:hint="eastAsia"/>
          <w:color w:val="auto"/>
          <w:lang w:val="en-US" w:eastAsia="zh-CN"/>
        </w:rPr>
        <w:t>上牌。</w:t>
      </w:r>
    </w:p>
    <w:p w14:paraId="31954F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w:t>
      </w:r>
      <w:r>
        <w:rPr>
          <w:rFonts w:hint="eastAsia"/>
          <w:lang w:val="en-US" w:eastAsia="zh-CN"/>
        </w:rPr>
        <w:t>六</w:t>
      </w:r>
      <w:r>
        <w:rPr>
          <w:rFonts w:hint="eastAsia"/>
        </w:rPr>
        <w:t>）法律、法规、规章规定的其他条件。</w:t>
      </w:r>
    </w:p>
    <w:p w14:paraId="65BE73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第九条</w:t>
      </w:r>
      <w:r>
        <w:rPr>
          <w:rFonts w:hint="eastAsia"/>
        </w:rPr>
        <w:t xml:space="preserve"> 运营企业应制定下列基本经营管理制度：</w:t>
      </w:r>
    </w:p>
    <w:p w14:paraId="27C5E7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（一）安全措施与紧急处置制度、网络及信息安全管理制度、车辆运行维护制度、车辆停放秩序管理制度、故障车辆回收管理制度、影像存档制度；</w:t>
      </w:r>
    </w:p>
    <w:p w14:paraId="2DD879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（二）管理人员管理考评制度、服务质量保障制度、用户信用评价制度、服务纠纷及投诉处理制度。</w:t>
      </w:r>
    </w:p>
    <w:p w14:paraId="60FBFE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第十条</w:t>
      </w:r>
      <w:r>
        <w:rPr>
          <w:rFonts w:hint="eastAsia"/>
        </w:rPr>
        <w:t xml:space="preserve"> 运营企业应配置运营管理、信息系统维护、线上线下车辆调度运维、日常检查、维修保养、安全管理、服务热线及服务质量投诉受理等管理人员，按车人配备比例不低</w:t>
      </w:r>
      <w:r>
        <w:rPr>
          <w:rFonts w:hint="eastAsia"/>
          <w:color w:val="auto"/>
        </w:rPr>
        <w:t>于</w:t>
      </w:r>
      <w:r>
        <w:rPr>
          <w:rFonts w:hint="eastAsia"/>
          <w:color w:val="auto"/>
          <w:lang w:val="en-US" w:eastAsia="zh-CN"/>
        </w:rPr>
        <w:t>100：1</w:t>
      </w:r>
      <w:r>
        <w:rPr>
          <w:rFonts w:hint="eastAsia"/>
        </w:rPr>
        <w:t>，并按照以下要求管理人员：</w:t>
      </w:r>
    </w:p>
    <w:p w14:paraId="209CDB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（一）运营企业应根据不同岗位设置要求定期对管理人员进行相关培训和考评；</w:t>
      </w:r>
    </w:p>
    <w:p w14:paraId="49914A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（二）管理人员应遵守工作纪律和职业道德规范，文明服务、统一着装、持证上岗、保持仪容端庄整洁。</w:t>
      </w:r>
    </w:p>
    <w:p w14:paraId="6E30EA9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color w:val="0000FF"/>
          <w:lang w:eastAsia="zh-CN"/>
        </w:rPr>
      </w:pPr>
      <w:r>
        <w:rPr>
          <w:rFonts w:hint="eastAsia"/>
          <w:b/>
          <w:bCs/>
        </w:rPr>
        <w:t>第十一条</w:t>
      </w:r>
      <w:r>
        <w:rPr>
          <w:rFonts w:hint="eastAsia"/>
          <w:color w:val="auto"/>
        </w:rPr>
        <w:t xml:space="preserve"> 运营企业应当严格履行数据报送法定义务，</w:t>
      </w:r>
      <w:r>
        <w:rPr>
          <w:rFonts w:hint="eastAsia"/>
          <w:color w:val="auto"/>
          <w:highlight w:val="none"/>
        </w:rPr>
        <w:t>主动向</w:t>
      </w:r>
      <w:r>
        <w:rPr>
          <w:rFonts w:hint="eastAsia"/>
          <w:color w:val="auto"/>
          <w:highlight w:val="none"/>
          <w:lang w:val="en-US" w:eastAsia="zh-CN"/>
        </w:rPr>
        <w:t>市</w:t>
      </w:r>
      <w:r>
        <w:rPr>
          <w:rFonts w:hint="eastAsia"/>
          <w:color w:val="auto"/>
          <w:highlight w:val="none"/>
        </w:rPr>
        <w:t>交通运输主管部门</w:t>
      </w:r>
      <w:r>
        <w:rPr>
          <w:rFonts w:hint="eastAsia"/>
          <w:color w:val="auto"/>
          <w:highlight w:val="none"/>
          <w:lang w:eastAsia="zh-CN"/>
        </w:rPr>
        <w:t>、</w:t>
      </w:r>
      <w:r>
        <w:rPr>
          <w:rFonts w:hint="eastAsia"/>
          <w:color w:val="auto"/>
          <w:highlight w:val="none"/>
        </w:rPr>
        <w:t>综合行政执法部门及公安交通管理部门报送企业基本信息、投放车辆电子编码、车辆分布点位、订单数据、运营数据等相关信息</w:t>
      </w:r>
      <w:r>
        <w:rPr>
          <w:rFonts w:hint="eastAsia"/>
          <w:color w:val="auto"/>
          <w:highlight w:val="none"/>
          <w:lang w:eastAsia="zh-CN"/>
        </w:rPr>
        <w:t>。</w:t>
      </w:r>
      <w:r>
        <w:rPr>
          <w:rFonts w:hint="eastAsia"/>
          <w:color w:val="auto"/>
        </w:rPr>
        <w:t>建立跨部门数据实时共享机制，确保车辆分布、运行轨迹、订单信息等数据真实、完整、可追溯，为交通运输行业监管、行政执法及道路交通安全管理工作提供数据支持</w:t>
      </w:r>
      <w:r>
        <w:rPr>
          <w:rFonts w:hint="eastAsia"/>
          <w:color w:val="auto"/>
          <w:lang w:eastAsia="zh-CN"/>
        </w:rPr>
        <w:t>。</w:t>
      </w:r>
    </w:p>
    <w:p w14:paraId="37E05B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运营企业信息平台的数据采集与使用应遵守国家网络和信息安全有关规定，所采集的用户个人信息和生成的业务数据，应当在中国大陆境内存储和使用，除法律、法规另有规定外，不得将上述数据信息公开或擅自泄露；</w:t>
      </w:r>
    </w:p>
    <w:p w14:paraId="6DFAC3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lang w:val="en-US" w:eastAsia="zh-CN"/>
        </w:rPr>
      </w:pPr>
      <w:r>
        <w:rPr>
          <w:rFonts w:hint="eastAsia"/>
          <w:color w:val="auto"/>
        </w:rPr>
        <w:t>（二）</w:t>
      </w:r>
      <w:r>
        <w:rPr>
          <w:rFonts w:hint="eastAsia"/>
          <w:color w:val="auto"/>
          <w:lang w:val="en-US" w:eastAsia="zh-CN"/>
        </w:rPr>
        <w:t>运营企业应当划定电子围栏区域，经核查通过后，方可在划定区域对应的互联网租赁电动自行车电子围栏范围内依规有序投放车辆。严禁运营企业擅自设置或变更电子围栏范围，确需调整的，须经相关监管部门联合审核同意后，按程序实施。</w:t>
      </w:r>
    </w:p>
    <w:p w14:paraId="55AD4A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lang w:eastAsia="zh-CN"/>
        </w:rPr>
      </w:pPr>
      <w:r>
        <w:rPr>
          <w:rFonts w:hint="eastAsia"/>
          <w:color w:val="auto"/>
        </w:rPr>
        <w:t>（三）</w:t>
      </w:r>
      <w:r>
        <w:rPr>
          <w:rFonts w:hint="eastAsia"/>
          <w:color w:val="auto"/>
          <w:lang w:eastAsia="zh-CN"/>
        </w:rPr>
        <w:t>运营企业需按交通运输主管部门统一要求，如实向社会公开车辆运力规模、投放区域规划等信息。其线下运营维护活动须全程接受市交通运输主管部门的监督管理，并主动配合社会监督，相关运营行为统一纳入行业监管范围，切实保障运营服务合规可控。</w:t>
      </w:r>
    </w:p>
    <w:p w14:paraId="3CF779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FF0000"/>
        </w:rPr>
      </w:pPr>
      <w:r>
        <w:rPr>
          <w:rFonts w:hint="eastAsia"/>
          <w:color w:val="FF0000"/>
        </w:rPr>
        <w:t>（四）运营企业应当建立用户行为规范和信用评价管理制度，对用户随意停放、恶意损坏车辆等不良行为，采取扣除企业内诚信积分和建立管理“黑名单”制度等措施，根据诚信积分情况将用户信息纳入企业内“黑名单”，禁止使用</w:t>
      </w:r>
    </w:p>
    <w:p w14:paraId="420C38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第十二条</w:t>
      </w:r>
      <w:r>
        <w:rPr>
          <w:rFonts w:hint="eastAsia"/>
        </w:rPr>
        <w:t xml:space="preserve"> 运营企业应当依法有序运作，不得采用不正当竞争手段妨碍市场正常竞争秩序，接受相关行政主管部门的监管，在提供租赁服务前30日内，向市交通运输管理部门提交申请，</w:t>
      </w:r>
      <w:r>
        <w:rPr>
          <w:rFonts w:hint="eastAsia"/>
          <w:highlight w:val="none"/>
        </w:rPr>
        <w:t>经营期限为</w:t>
      </w:r>
      <w:r>
        <w:rPr>
          <w:rFonts w:hint="eastAsia"/>
          <w:highlight w:val="none"/>
          <w:lang w:val="en-US" w:eastAsia="zh-CN"/>
        </w:rPr>
        <w:t>2</w:t>
      </w:r>
      <w:r>
        <w:rPr>
          <w:rFonts w:hint="eastAsia"/>
          <w:highlight w:val="none"/>
        </w:rPr>
        <w:t>年，</w:t>
      </w:r>
      <w:r>
        <w:rPr>
          <w:rFonts w:hint="eastAsia"/>
        </w:rPr>
        <w:t>经营期限届满</w:t>
      </w:r>
      <w:r>
        <w:rPr>
          <w:rFonts w:hint="eastAsia"/>
          <w:lang w:val="en-US" w:eastAsia="zh-CN"/>
        </w:rPr>
        <w:t>3</w:t>
      </w:r>
      <w:r>
        <w:rPr>
          <w:rFonts w:hint="eastAsia"/>
        </w:rPr>
        <w:t>0个工作日前，运营企业可以向</w:t>
      </w:r>
      <w:r>
        <w:rPr>
          <w:rFonts w:hint="eastAsia"/>
          <w:lang w:eastAsia="zh-CN"/>
        </w:rPr>
        <w:t>市交通运输主管部门</w:t>
      </w:r>
      <w:r>
        <w:rPr>
          <w:rFonts w:hint="eastAsia"/>
        </w:rPr>
        <w:t>申请延续运营期限，</w:t>
      </w:r>
      <w:r>
        <w:rPr>
          <w:rFonts w:hint="eastAsia"/>
          <w:lang w:eastAsia="zh-CN"/>
        </w:rPr>
        <w:t>市交通运输主管部门</w:t>
      </w:r>
      <w:r>
        <w:rPr>
          <w:rFonts w:hint="eastAsia"/>
        </w:rPr>
        <w:t>考核结果执行。</w:t>
      </w:r>
    </w:p>
    <w:p w14:paraId="4D397ED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申请运营须提供以下材料：营业执照复印件、电信管理机构颁发的《互联网信息服务增值电信业务经营许可证》复印件、企业与用户间的电子协议、相关管理制度、办公场所、运营车辆上牌登记信息表及管理人员信息资料。</w:t>
      </w:r>
    </w:p>
    <w:p w14:paraId="4EBCD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第十三条</w:t>
      </w:r>
      <w:r>
        <w:rPr>
          <w:rFonts w:hint="eastAsia"/>
          <w:b/>
          <w:bCs/>
          <w:lang w:val="en-US" w:eastAsia="zh-CN"/>
        </w:rPr>
        <w:t xml:space="preserve"> </w:t>
      </w:r>
      <w:r>
        <w:rPr>
          <w:rFonts w:hint="eastAsia"/>
        </w:rPr>
        <w:t>运营企业退出本市经营的，应提前30日向市交通运输管理部门提出书面申请，并向社会发布公告，妥善处理退出经营相关事宜。</w:t>
      </w:r>
    </w:p>
    <w:p w14:paraId="4A865D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rPr>
        <w:t>第三章 运营服务</w:t>
      </w:r>
    </w:p>
    <w:p w14:paraId="22CF06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第十四条</w:t>
      </w:r>
      <w:r>
        <w:rPr>
          <w:rFonts w:hint="eastAsia"/>
        </w:rPr>
        <w:t xml:space="preserve"> 运营企业依据市场规律自主经营，履行经营主体责任和相应社会责任，保障使用者合法权益，应遵守以下运营服务要求：</w:t>
      </w:r>
    </w:p>
    <w:p w14:paraId="4AECEF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w:t>
      </w:r>
      <w:r>
        <w:rPr>
          <w:rFonts w:hint="eastAsia"/>
          <w:color w:val="auto"/>
        </w:rPr>
        <w:t>运营企业应当对使用者进行实名制注册登记，</w:t>
      </w:r>
      <w:r>
        <w:rPr>
          <w:rFonts w:hint="eastAsia"/>
        </w:rPr>
        <w:t>须签订服务协议，明确双方权利义务，规范用户在骑行、停放等方面的要求；</w:t>
      </w:r>
    </w:p>
    <w:p w14:paraId="76091C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FF"/>
        </w:rPr>
      </w:pPr>
      <w:r>
        <w:rPr>
          <w:rFonts w:hint="eastAsia"/>
          <w:color w:val="auto"/>
        </w:rPr>
        <w:t>（二）</w:t>
      </w:r>
      <w:r>
        <w:rPr>
          <w:rFonts w:hint="eastAsia"/>
          <w:color w:val="000000" w:themeColor="text1"/>
          <w14:textFill>
            <w14:solidFill>
              <w14:schemeClr w14:val="tx1"/>
            </w14:solidFill>
          </w14:textFill>
        </w:rPr>
        <w:t>禁止向未满16周岁以下的未成年人提供互联网租赁电动自行车服务；</w:t>
      </w:r>
    </w:p>
    <w:p w14:paraId="267152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三）运营企业应公布符合国家有关规定的计费方式和费用，公开收费标准，规范合法经营，并在用户结束订单后明示订单明细，具体包括计费标准、骑行时长、订单总额、实付金额等信息；运营企业不得以格式条款、通知等方式并借助技术手段强制收费；</w:t>
      </w:r>
    </w:p>
    <w:p w14:paraId="72867E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（四）运营企业应当为使用者购</w:t>
      </w:r>
      <w:r>
        <w:rPr>
          <w:rFonts w:hint="eastAsia"/>
          <w:color w:val="auto"/>
        </w:rPr>
        <w:t>买人身意外伤害保险、第三者责任保险等险种，并公开理赔程序等。</w:t>
      </w:r>
      <w:r>
        <w:rPr>
          <w:rFonts w:hint="eastAsia"/>
          <w:color w:val="auto"/>
          <w:lang w:val="en-US" w:eastAsia="zh-CN"/>
        </w:rPr>
        <w:t>使用者</w:t>
      </w:r>
      <w:r>
        <w:rPr>
          <w:rFonts w:hint="eastAsia"/>
          <w:color w:val="auto"/>
        </w:rPr>
        <w:t>骑行过程发生伤害事故时，运营企业应当及时救助并协助使用者办</w:t>
      </w:r>
      <w:r>
        <w:rPr>
          <w:rFonts w:hint="eastAsia"/>
        </w:rPr>
        <w:t>理保险理赔；</w:t>
      </w:r>
    </w:p>
    <w:p w14:paraId="7B0ECD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（五）采用免押金方式提供租赁服务；企业应公布服务质量承诺，公开服务监督电话，及时处理投诉；</w:t>
      </w:r>
    </w:p>
    <w:p w14:paraId="032F8D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（六）企业要落实车辆停放管理的责任，严格按照监管平台要求规范停车，应在</w:t>
      </w:r>
      <w:r>
        <w:rPr>
          <w:rFonts w:hint="eastAsia"/>
          <w:lang w:val="en-US" w:eastAsia="zh-CN"/>
        </w:rPr>
        <w:t>3</w:t>
      </w:r>
      <w:r>
        <w:rPr>
          <w:rFonts w:hint="eastAsia"/>
        </w:rPr>
        <w:t>0分钟内处理监管平台推送的预警信息；通过平台推送、公益广告、主题教育、志愿者活动等多种方式引导用户履行文明用车、安全骑行等义务；</w:t>
      </w:r>
    </w:p>
    <w:p w14:paraId="7952C4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（七）企业应当遵守国家网络和信息安全有关规定，将服务器设在中国境内，并落实网络安全等级保护制度，完善网络安全管理制度和网络安全防范措施。</w:t>
      </w:r>
    </w:p>
    <w:p w14:paraId="6DB3E2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第十五条</w:t>
      </w:r>
      <w:r>
        <w:rPr>
          <w:rFonts w:hint="eastAsia"/>
        </w:rPr>
        <w:t xml:space="preserve"> 车辆投放应符合下列要求：</w:t>
      </w:r>
    </w:p>
    <w:p w14:paraId="63FA12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（一）运营企业在投放车</w:t>
      </w:r>
      <w:bookmarkStart w:id="0" w:name="_GoBack"/>
      <w:bookmarkEnd w:id="0"/>
      <w:r>
        <w:rPr>
          <w:rFonts w:hint="eastAsia"/>
        </w:rPr>
        <w:t>辆前，应提前向</w:t>
      </w:r>
      <w:r>
        <w:rPr>
          <w:rFonts w:hint="eastAsia"/>
          <w:lang w:val="en-US" w:eastAsia="zh-CN"/>
        </w:rPr>
        <w:t>市交通运输主管部门</w:t>
      </w:r>
      <w:r>
        <w:rPr>
          <w:rFonts w:hint="eastAsia"/>
        </w:rPr>
        <w:t>提出申请，报告投放规模和方案计划，经审批通过后方可投放；</w:t>
      </w:r>
    </w:p>
    <w:p w14:paraId="63B7B8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（二）车辆符合《自行车通用技术</w:t>
      </w:r>
      <w:r>
        <w:rPr>
          <w:rFonts w:hint="eastAsia"/>
          <w:color w:val="auto"/>
          <w:lang w:val="en-US" w:eastAsia="zh-CN"/>
        </w:rPr>
        <w:t>要求</w:t>
      </w:r>
      <w:r>
        <w:rPr>
          <w:rFonts w:hint="eastAsia"/>
        </w:rPr>
        <w:t>》和《自行车安全要求》要求，互联网租赁电动自行车车辆符合《电动自行车安全技术规范》相关要求，最高时速不得超过25km/h，不得加装影响安全骑行的附属设备；车辆在投放营运前应按相关规定登记上牌，未登记上牌的车辆不得投放；</w:t>
      </w:r>
    </w:p>
    <w:p w14:paraId="1C33B1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color w:val="FF0000"/>
          <w:lang w:eastAsia="zh-CN"/>
        </w:rPr>
      </w:pPr>
      <w:r>
        <w:rPr>
          <w:rFonts w:hint="eastAsia"/>
        </w:rPr>
        <w:t>（三）车辆应配备智能定位系统和具有数据通讯技术的智能锁，互联网租赁电动自行车应配备符合相关质量及技术标准的智能安全头盔</w:t>
      </w:r>
      <w:r>
        <w:rPr>
          <w:rFonts w:hint="eastAsia"/>
          <w:lang w:eastAsia="zh-CN"/>
        </w:rPr>
        <w:t>。</w:t>
      </w:r>
      <w:r>
        <w:rPr>
          <w:rFonts w:hint="eastAsia"/>
          <w:color w:val="auto"/>
          <w:lang w:eastAsia="zh-CN"/>
        </w:rPr>
        <w:t>头盔通过红外线感应进行识别，以佩戴头盔为骑行条件，车辆具有智能压力传感技术，限一人骑行，严禁载人载物，摘盔断电。</w:t>
      </w:r>
    </w:p>
    <w:p w14:paraId="6BF3BD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FF"/>
          <w:lang w:val="en-US" w:eastAsia="zh-CN"/>
        </w:rPr>
      </w:pPr>
      <w:r>
        <w:rPr>
          <w:rFonts w:hint="eastAsia"/>
          <w:b/>
          <w:bCs/>
        </w:rPr>
        <w:t>第十六条</w:t>
      </w:r>
      <w:r>
        <w:rPr>
          <w:rFonts w:hint="eastAsia"/>
        </w:rPr>
        <w:t xml:space="preserve"> 车辆停放应符合以下要求：运营企业应统一设立电子围栏，车辆应停放在划设有互联网租赁电动自行车指定停车点位的区</w:t>
      </w:r>
      <w:r>
        <w:rPr>
          <w:rFonts w:hint="eastAsia"/>
          <w:color w:val="auto"/>
        </w:rPr>
        <w:t>域，</w:t>
      </w:r>
      <w:r>
        <w:rPr>
          <w:rFonts w:hint="eastAsia"/>
          <w:color w:val="auto"/>
          <w:lang w:val="en-US" w:eastAsia="zh-CN"/>
        </w:rPr>
        <w:t>同一运营企业在同一停放点位的停放数量，一般不超</w:t>
      </w:r>
      <w:r>
        <w:rPr>
          <w:rFonts w:hint="eastAsia"/>
          <w:color w:val="auto"/>
          <w:highlight w:val="none"/>
          <w:lang w:val="en-US" w:eastAsia="zh-CN"/>
        </w:rPr>
        <w:t>过5辆</w:t>
      </w:r>
      <w:r>
        <w:rPr>
          <w:rFonts w:hint="eastAsia"/>
          <w:color w:val="auto"/>
          <w:lang w:val="en-US" w:eastAsia="zh-CN"/>
        </w:rPr>
        <w:t>，超出部分应及时调度清运；交通流量较大的核心区域，市城市管理部门可根据点位条件另行核定。不同停放点位之间应保持合理间隔，一般不少于10m，避免造成停放过于密集。禁止在机动车道、非机动车道、消防通道、盲道、学校门口30米范围内等区域设置停放点位。不得超量、超范围停放。</w:t>
      </w:r>
    </w:p>
    <w:p w14:paraId="46ED66E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第十七条</w:t>
      </w:r>
      <w:r>
        <w:rPr>
          <w:rFonts w:hint="eastAsia"/>
        </w:rPr>
        <w:t xml:space="preserve"> 运营企业日常维护应符合下列要求：</w:t>
      </w:r>
    </w:p>
    <w:p w14:paraId="2F84F9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（一）运营企业应配备与投放规模相匹配的维修保养点，确保车辆能及时进行维修保养；</w:t>
      </w:r>
    </w:p>
    <w:p w14:paraId="72D82B9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lang w:eastAsia="zh-CN"/>
        </w:rPr>
      </w:pPr>
      <w:r>
        <w:rPr>
          <w:rFonts w:hint="eastAsia"/>
        </w:rPr>
        <w:t>（二）运营企业应配备与投放规模相匹配的日常维护团队，负责对车辆进行日常巡查、管理和维护，对重点区域、路段，实施专人定点管理</w:t>
      </w:r>
      <w:r>
        <w:rPr>
          <w:rFonts w:hint="eastAsia"/>
          <w:lang w:eastAsia="zh-CN"/>
        </w:rPr>
        <w:t>；</w:t>
      </w:r>
    </w:p>
    <w:p w14:paraId="7506B31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lang w:eastAsia="zh-CN"/>
        </w:rPr>
      </w:pPr>
      <w:r>
        <w:rPr>
          <w:rFonts w:hint="eastAsia"/>
        </w:rPr>
        <w:t>（三）运营企业应在收到用户投诉后30分钟内处理完毕</w:t>
      </w:r>
      <w:r>
        <w:rPr>
          <w:rFonts w:hint="eastAsia"/>
          <w:lang w:eastAsia="zh-CN"/>
        </w:rPr>
        <w:t>；</w:t>
      </w:r>
    </w:p>
    <w:p w14:paraId="3434D9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lang w:val="en-US" w:eastAsia="zh-CN"/>
        </w:rPr>
      </w:pPr>
      <w:r>
        <w:rPr>
          <w:rFonts w:hint="eastAsia"/>
          <w:b/>
          <w:bCs/>
        </w:rPr>
        <w:t>第十八条</w:t>
      </w:r>
      <w:r>
        <w:rPr>
          <w:rFonts w:hint="eastAsia"/>
        </w:rPr>
        <w:t xml:space="preserve"> 互联网租赁电动自行车的使用者，应当遵守道路交通安全等法律、法规的规定，安全骑行、爱护车辆、文明停放。</w:t>
      </w:r>
    </w:p>
    <w:p w14:paraId="30B1C4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第十九条</w:t>
      </w:r>
      <w:r>
        <w:rPr>
          <w:rFonts w:hint="eastAsia"/>
        </w:rPr>
        <w:t xml:space="preserve"> 应急处理应符合下列要求：</w:t>
      </w:r>
    </w:p>
    <w:p w14:paraId="41E5E0B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（一）运营企业在发现或接到车辆及设施设备遭蓄意破坏以及发生交通事故等突发事件的相关信息后，应于30分钟内赶到现场；</w:t>
      </w:r>
    </w:p>
    <w:p w14:paraId="68428B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（二）运营企业在发现或接到所属车辆出现大量堆积的信息后，应于30分钟内对堆积的车辆清运完毕</w:t>
      </w:r>
      <w:r>
        <w:rPr>
          <w:rFonts w:hint="eastAsia"/>
          <w:color w:val="auto"/>
        </w:rPr>
        <w:t>；由属地政府部门代为应急处置的，处置费用由运营企业承担。</w:t>
      </w:r>
    </w:p>
    <w:p w14:paraId="019805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第二十条</w:t>
      </w:r>
      <w:r>
        <w:rPr>
          <w:rFonts w:hint="eastAsia"/>
        </w:rPr>
        <w:t xml:space="preserve"> 对于投诉处理，运营企业应建立用户投诉受理机制，包括设置本地服务机构、建立投诉受理平台和公布服务热线等，及时处理投诉信息，并将处理结果及时反馈到行政主管部门，接受行政主管部门监督。</w:t>
      </w:r>
    </w:p>
    <w:p w14:paraId="64857F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rPr>
        <w:t>第四章 监督管理</w:t>
      </w:r>
    </w:p>
    <w:p w14:paraId="125016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第二十一条</w:t>
      </w:r>
      <w:r>
        <w:rPr>
          <w:rFonts w:hint="eastAsia"/>
        </w:rPr>
        <w:t xml:space="preserve"> </w:t>
      </w:r>
      <w:r>
        <w:rPr>
          <w:rFonts w:hint="eastAsia"/>
          <w:lang w:val="en-US" w:eastAsia="zh-CN"/>
        </w:rPr>
        <w:t>市交通运输主管部门</w:t>
      </w:r>
      <w:r>
        <w:rPr>
          <w:rFonts w:hint="eastAsia"/>
        </w:rPr>
        <w:t>负责统筹协调互联网租赁电动自行车行业发展，组织制定相关政策，出台管理机制；定期或不定期召集相关部门，及时解决互联网租赁电动自行车发展中出现的问题。联合市公安交通管理部门对互联网租赁电动自行车数量进行总量调控。与运营企业签订协议，建立运营企业服务质量考核制度，定期考核并根据考核结果作出评估，及时向社会公布，淘汰不合格运营企业，促进运营企业落实主体责任，规范、引导互联网租赁电动自行车市场健康、有序发展。</w:t>
      </w:r>
    </w:p>
    <w:p w14:paraId="544912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
          <w:lang w:eastAsia="zh-CN"/>
        </w:rPr>
      </w:pPr>
      <w:r>
        <w:rPr>
          <w:rFonts w:hint="eastAsia"/>
          <w:b/>
          <w:bCs/>
        </w:rPr>
        <w:t>第二十二条</w:t>
      </w:r>
      <w:r>
        <w:rPr>
          <w:rFonts w:hint="eastAsia"/>
        </w:rPr>
        <w:t xml:space="preserve"> 市综合执法部门负责统筹我市互联网租赁电动自行车的整治工作；组织属地综合执法部门对互联网租赁自行车违规停放、占道经营，影响市容环境的行为进行查处</w:t>
      </w:r>
      <w:r>
        <w:rPr>
          <w:rFonts w:hint="eastAsia"/>
          <w:lang w:eastAsia="zh-CN"/>
        </w:rPr>
        <w:t>。</w:t>
      </w:r>
    </w:p>
    <w:p w14:paraId="4C3A2E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第二十</w:t>
      </w:r>
      <w:r>
        <w:rPr>
          <w:rFonts w:hint="eastAsia"/>
          <w:b/>
          <w:bCs/>
          <w:lang w:val="en-US" w:eastAsia="zh-CN"/>
        </w:rPr>
        <w:t>三</w:t>
      </w:r>
      <w:r>
        <w:rPr>
          <w:rFonts w:hint="eastAsia"/>
          <w:b/>
          <w:bCs/>
        </w:rPr>
        <w:t>条</w:t>
      </w:r>
      <w:r>
        <w:rPr>
          <w:rFonts w:hint="eastAsia"/>
        </w:rPr>
        <w:t xml:space="preserve"> 市公安部门负责查处盗窃、恶意损坏互联网租赁电动自行车等违法犯罪行为；负责联合市网信部门对运营企业进行网络信息安全指导和监管；负责协助指导互联网租赁电动自行车停放泊位的划设和停车标识的设置；负责查处互联网租赁电动自行车的交通违法行为，</w:t>
      </w:r>
      <w:r>
        <w:rPr>
          <w:rFonts w:hint="eastAsia"/>
          <w:color w:val="auto"/>
        </w:rPr>
        <w:t>处理交通事故，维护交通秩序；负责互联网租赁电动自行车道路交通安全、通行秩序、社会治安以及互联网租赁电动</w:t>
      </w:r>
      <w:r>
        <w:rPr>
          <w:rFonts w:hint="eastAsia"/>
        </w:rPr>
        <w:t>自行车的登记上牌等管理工作。</w:t>
      </w:r>
    </w:p>
    <w:p w14:paraId="101E00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第二十</w:t>
      </w:r>
      <w:r>
        <w:rPr>
          <w:rFonts w:hint="eastAsia"/>
          <w:b/>
          <w:bCs/>
          <w:lang w:val="en-US" w:eastAsia="zh-CN"/>
        </w:rPr>
        <w:t>四</w:t>
      </w:r>
      <w:r>
        <w:rPr>
          <w:rFonts w:hint="eastAsia"/>
          <w:b/>
          <w:bCs/>
        </w:rPr>
        <w:t>条</w:t>
      </w:r>
      <w:r>
        <w:rPr>
          <w:rFonts w:hint="eastAsia"/>
        </w:rPr>
        <w:t xml:space="preserve"> </w:t>
      </w:r>
      <w:r>
        <w:rPr>
          <w:rFonts w:hint="eastAsia"/>
          <w:color w:val="auto"/>
        </w:rPr>
        <w:t>市科工信部门协调三家运营商做好移动互联网通信保障。</w:t>
      </w:r>
    </w:p>
    <w:p w14:paraId="4DF667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rPr>
      </w:pPr>
      <w:r>
        <w:rPr>
          <w:rFonts w:hint="eastAsia"/>
          <w:b/>
          <w:bCs/>
          <w:color w:val="auto"/>
        </w:rPr>
        <w:t>第二十</w:t>
      </w:r>
      <w:r>
        <w:rPr>
          <w:rFonts w:hint="eastAsia"/>
          <w:b/>
          <w:bCs/>
          <w:color w:val="auto"/>
          <w:lang w:val="en-US" w:eastAsia="zh-CN"/>
        </w:rPr>
        <w:t>五</w:t>
      </w:r>
      <w:r>
        <w:rPr>
          <w:rFonts w:hint="eastAsia"/>
          <w:b/>
          <w:bCs/>
          <w:color w:val="auto"/>
        </w:rPr>
        <w:t>条</w:t>
      </w:r>
      <w:r>
        <w:rPr>
          <w:rFonts w:hint="eastAsia"/>
          <w:color w:val="auto"/>
        </w:rPr>
        <w:t xml:space="preserve"> 市市场监督管理部门负责互联网租赁电动自行车运营企业登记注册；负责对其登记事项和公示信息进行监督管理</w:t>
      </w:r>
      <w:r>
        <w:rPr>
          <w:rFonts w:hint="eastAsia"/>
          <w:color w:val="auto"/>
          <w:lang w:eastAsia="zh-CN"/>
        </w:rPr>
        <w:t>；</w:t>
      </w:r>
      <w:r>
        <w:rPr>
          <w:rFonts w:hint="eastAsia"/>
          <w:color w:val="auto"/>
        </w:rPr>
        <w:t>负责对互联网租赁电动自行车运营企业的收费行为进行监管。</w:t>
      </w:r>
    </w:p>
    <w:p w14:paraId="312D98B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第二十</w:t>
      </w:r>
      <w:r>
        <w:rPr>
          <w:rFonts w:hint="eastAsia"/>
          <w:b/>
          <w:bCs/>
          <w:lang w:val="en-US" w:eastAsia="zh-CN"/>
        </w:rPr>
        <w:t>六</w:t>
      </w:r>
      <w:r>
        <w:rPr>
          <w:rFonts w:hint="eastAsia"/>
          <w:b/>
          <w:bCs/>
        </w:rPr>
        <w:t>条</w:t>
      </w:r>
      <w:r>
        <w:rPr>
          <w:rFonts w:hint="eastAsia"/>
        </w:rPr>
        <w:t xml:space="preserve"> </w:t>
      </w:r>
      <w:r>
        <w:rPr>
          <w:rFonts w:hint="eastAsia"/>
          <w:color w:val="000000" w:themeColor="text1"/>
          <w14:textFill>
            <w14:solidFill>
              <w14:schemeClr w14:val="tx1"/>
            </w14:solidFill>
          </w14:textFill>
        </w:rPr>
        <w:t>市教育部门指导各中小学校</w:t>
      </w:r>
      <w:r>
        <w:rPr>
          <w:rFonts w:hint="eastAsia"/>
          <w:color w:val="000000" w:themeColor="text1"/>
          <w:lang w:val="en-US" w:eastAsia="zh-CN"/>
          <w14:textFill>
            <w14:solidFill>
              <w14:schemeClr w14:val="tx1"/>
            </w14:solidFill>
          </w14:textFill>
        </w:rPr>
        <w:t>开展</w:t>
      </w:r>
      <w:r>
        <w:rPr>
          <w:rFonts w:hint="eastAsia"/>
          <w:color w:val="000000" w:themeColor="text1"/>
          <w14:textFill>
            <w14:solidFill>
              <w14:schemeClr w14:val="tx1"/>
            </w14:solidFill>
          </w14:textFill>
        </w:rPr>
        <w:t>互联网租赁电动自行车使用规定</w:t>
      </w:r>
      <w:r>
        <w:rPr>
          <w:rFonts w:hint="eastAsia"/>
          <w:color w:val="000000" w:themeColor="text1"/>
          <w:lang w:val="en-US" w:eastAsia="zh-CN"/>
          <w14:textFill>
            <w14:solidFill>
              <w14:schemeClr w14:val="tx1"/>
            </w14:solidFill>
          </w14:textFill>
        </w:rPr>
        <w:t>的宣传</w:t>
      </w:r>
      <w:r>
        <w:rPr>
          <w:rFonts w:hint="eastAsia"/>
          <w:color w:val="000000" w:themeColor="text1"/>
          <w14:textFill>
            <w14:solidFill>
              <w14:schemeClr w14:val="tx1"/>
            </w14:solidFill>
          </w14:textFill>
        </w:rPr>
        <w:t>。教育未满16周岁的</w:t>
      </w:r>
      <w:r>
        <w:rPr>
          <w:rFonts w:hint="eastAsia"/>
          <w:color w:val="auto"/>
          <w:lang w:val="en-US" w:eastAsia="zh-CN"/>
        </w:rPr>
        <w:t>自然人</w:t>
      </w:r>
      <w:r>
        <w:rPr>
          <w:rFonts w:hint="eastAsia"/>
          <w:color w:val="000000" w:themeColor="text1"/>
          <w14:textFill>
            <w14:solidFill>
              <w14:schemeClr w14:val="tx1"/>
            </w14:solidFill>
          </w14:textFill>
        </w:rPr>
        <w:t>不得骑行互联网租赁电动自行车。</w:t>
      </w:r>
    </w:p>
    <w:p w14:paraId="05B66F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lang w:eastAsia="zh-CN"/>
        </w:rPr>
      </w:pPr>
      <w:r>
        <w:rPr>
          <w:rFonts w:hint="eastAsia"/>
          <w:b/>
          <w:bCs/>
        </w:rPr>
        <w:t>第二十</w:t>
      </w:r>
      <w:r>
        <w:rPr>
          <w:rFonts w:hint="eastAsia"/>
          <w:b/>
          <w:bCs/>
          <w:lang w:val="en-US" w:eastAsia="zh-CN"/>
        </w:rPr>
        <w:t>七</w:t>
      </w:r>
      <w:r>
        <w:rPr>
          <w:rFonts w:hint="eastAsia"/>
          <w:b/>
          <w:bCs/>
        </w:rPr>
        <w:t>条</w:t>
      </w:r>
      <w:r>
        <w:rPr>
          <w:rFonts w:hint="eastAsia"/>
        </w:rPr>
        <w:t xml:space="preserve"> 市住建部门负责指导物业服务人或业主委员会，依法依规征求全体业主意见共同决定物业范围内的互联网租赁电动自行车停放管理</w:t>
      </w:r>
      <w:r>
        <w:rPr>
          <w:rFonts w:hint="eastAsia"/>
          <w:lang w:eastAsia="zh-CN"/>
        </w:rPr>
        <w:t>。</w:t>
      </w:r>
    </w:p>
    <w:p w14:paraId="4C8AB4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第二十</w:t>
      </w:r>
      <w:r>
        <w:rPr>
          <w:rFonts w:hint="eastAsia"/>
          <w:b/>
          <w:bCs/>
          <w:lang w:val="en-US" w:eastAsia="zh-CN"/>
        </w:rPr>
        <w:t>八</w:t>
      </w:r>
      <w:r>
        <w:rPr>
          <w:rFonts w:hint="eastAsia"/>
          <w:b/>
          <w:bCs/>
        </w:rPr>
        <w:t>条</w:t>
      </w:r>
      <w:r>
        <w:rPr>
          <w:rFonts w:hint="eastAsia"/>
        </w:rPr>
        <w:t xml:space="preserve"> 市</w:t>
      </w:r>
      <w:r>
        <w:rPr>
          <w:rFonts w:hint="eastAsia"/>
          <w:lang w:val="en-US" w:eastAsia="zh-CN"/>
        </w:rPr>
        <w:t>委</w:t>
      </w:r>
      <w:r>
        <w:rPr>
          <w:rFonts w:hint="eastAsia"/>
        </w:rPr>
        <w:t>宣传部门负责做好舆论引导，倡导规范用车，并协调媒体对违法破坏、私自占用互联网租赁电动自行车等行为进行曝光。</w:t>
      </w:r>
    </w:p>
    <w:p w14:paraId="5DDF6C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eastAsia="zh-CN"/>
        </w:rPr>
      </w:pPr>
      <w:r>
        <w:rPr>
          <w:rFonts w:hint="eastAsia"/>
          <w:b/>
          <w:bCs/>
          <w:color w:val="auto"/>
        </w:rPr>
        <w:t>第</w:t>
      </w:r>
      <w:r>
        <w:rPr>
          <w:rFonts w:hint="eastAsia"/>
          <w:b/>
          <w:bCs/>
          <w:color w:val="auto"/>
          <w:lang w:val="en-US" w:eastAsia="zh-CN"/>
        </w:rPr>
        <w:t>二十九</w:t>
      </w:r>
      <w:r>
        <w:rPr>
          <w:rFonts w:hint="eastAsia"/>
          <w:b/>
          <w:bCs/>
          <w:color w:val="auto"/>
        </w:rPr>
        <w:t>条</w:t>
      </w:r>
      <w:r>
        <w:rPr>
          <w:rFonts w:hint="eastAsia"/>
          <w:b/>
          <w:bCs/>
          <w:color w:val="auto"/>
          <w:lang w:val="en-US" w:eastAsia="zh-CN"/>
        </w:rPr>
        <w:t xml:space="preserve"> </w:t>
      </w:r>
      <w:r>
        <w:rPr>
          <w:rFonts w:hint="eastAsia"/>
          <w:color w:val="000000" w:themeColor="text1"/>
          <w:lang w:eastAsia="zh-CN"/>
          <w14:textFill>
            <w14:solidFill>
              <w14:schemeClr w14:val="tx1"/>
            </w14:solidFill>
          </w14:textFill>
        </w:rPr>
        <w:t>市消防救援部门积极配合属地政府、主管部门对运营企业的共享电动车集中停放充电场所消防管理情况开展监督检查，提供技术帮助、指导。</w:t>
      </w:r>
    </w:p>
    <w:p w14:paraId="71BE729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r>
        <w:rPr>
          <w:rFonts w:hint="eastAsia"/>
          <w:b/>
          <w:bCs/>
          <w:color w:val="auto"/>
          <w:lang w:val="en-US" w:eastAsia="zh-CN"/>
        </w:rPr>
        <w:t>第三十条</w:t>
      </w:r>
      <w:r>
        <w:rPr>
          <w:rFonts w:hint="eastAsia"/>
          <w:color w:val="auto"/>
          <w:lang w:val="en-US" w:eastAsia="zh-CN"/>
        </w:rPr>
        <w:t xml:space="preserve"> 市城市管理部门负责电子围栏设置审核，并与公安交通管理部门联合批准和公告，对不适宜停放的区域和路段，制定负面清单实行禁停管理。</w:t>
      </w:r>
    </w:p>
    <w:p w14:paraId="3606DED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第三十一条</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各镇人民政府、各办事处作为属地管理主体，承担辖区共享电动自行车日常管理法定职责，按照市综合行政执法局、市公安局交</w:t>
      </w:r>
      <w:r>
        <w:rPr>
          <w:rFonts w:hint="eastAsia"/>
          <w:color w:val="000000" w:themeColor="text1"/>
          <w:lang w:val="en-US" w:eastAsia="zh-CN"/>
          <w14:textFill>
            <w14:solidFill>
              <w14:schemeClr w14:val="tx1"/>
            </w14:solidFill>
          </w14:textFill>
        </w:rPr>
        <w:t>通管理</w:t>
      </w:r>
      <w:r>
        <w:rPr>
          <w:rFonts w:hint="default"/>
          <w:color w:val="000000" w:themeColor="text1"/>
          <w:lang w:val="en-US" w:eastAsia="zh-CN"/>
          <w14:textFill>
            <w14:solidFill>
              <w14:schemeClr w14:val="tx1"/>
            </w14:solidFill>
          </w14:textFill>
        </w:rPr>
        <w:t>支队</w:t>
      </w:r>
      <w:r>
        <w:rPr>
          <w:rFonts w:hint="eastAsia"/>
          <w:color w:val="000000" w:themeColor="text1"/>
          <w:lang w:val="en-US" w:eastAsia="zh-CN"/>
          <w14:textFill>
            <w14:solidFill>
              <w14:schemeClr w14:val="tx1"/>
            </w14:solidFill>
          </w14:textFill>
        </w:rPr>
        <w:t>、市城市管理局</w:t>
      </w:r>
      <w:r>
        <w:rPr>
          <w:rFonts w:hint="default"/>
          <w:color w:val="000000" w:themeColor="text1"/>
          <w:lang w:val="en-US" w:eastAsia="zh-CN"/>
          <w14:textFill>
            <w14:solidFill>
              <w14:schemeClr w14:val="tx1"/>
            </w14:solidFill>
          </w14:textFill>
        </w:rPr>
        <w:t>制定的管理要求，依法开展共享电动自行车停放秩序整治工作。</w:t>
      </w:r>
    </w:p>
    <w:p w14:paraId="225CF60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第三十二条</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组建互联网租赁电动自行车专项专班，办公室设在交通运输主管部门。各部门按法定职责联合执法，健全协同处置、信息共享、联合监管机制，抓实行业规范、日常监管、服务优化及乱象整治。</w:t>
      </w:r>
    </w:p>
    <w:p w14:paraId="749423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第三十</w:t>
      </w:r>
      <w:r>
        <w:rPr>
          <w:rFonts w:hint="eastAsia"/>
          <w:b/>
          <w:bCs/>
          <w:lang w:val="en-US" w:eastAsia="zh-CN"/>
        </w:rPr>
        <w:t>三</w:t>
      </w:r>
      <w:r>
        <w:rPr>
          <w:rFonts w:hint="eastAsia"/>
          <w:b/>
          <w:bCs/>
        </w:rPr>
        <w:t>条</w:t>
      </w:r>
      <w:r>
        <w:rPr>
          <w:rFonts w:hint="eastAsia"/>
        </w:rPr>
        <w:t xml:space="preserve"> 运营企业违反本</w:t>
      </w:r>
      <w:r>
        <w:rPr>
          <w:rFonts w:hint="eastAsia"/>
          <w:lang w:eastAsia="zh-CN"/>
        </w:rPr>
        <w:t>意见</w:t>
      </w:r>
      <w:r>
        <w:rPr>
          <w:rFonts w:hint="eastAsia"/>
        </w:rPr>
        <w:t>规定的，依照《中华人民共和国网络安全法》《中华人民共和国消费者权益保护法》《中华人民共和国个人信息保护法》《海南省电动自行车管理条例》等相关法律法规处理。</w:t>
      </w:r>
    </w:p>
    <w:p w14:paraId="24067C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第三十</w:t>
      </w:r>
      <w:r>
        <w:rPr>
          <w:rFonts w:hint="eastAsia"/>
          <w:b/>
          <w:bCs/>
          <w:lang w:val="en-US" w:eastAsia="zh-CN"/>
        </w:rPr>
        <w:t>四</w:t>
      </w:r>
      <w:r>
        <w:rPr>
          <w:rFonts w:hint="eastAsia"/>
          <w:b/>
          <w:bCs/>
        </w:rPr>
        <w:t>条</w:t>
      </w:r>
      <w:r>
        <w:rPr>
          <w:rFonts w:hint="eastAsia"/>
        </w:rPr>
        <w:t xml:space="preserve"> 互联网租赁电动自行车的使用者违反本</w:t>
      </w:r>
      <w:r>
        <w:rPr>
          <w:rFonts w:hint="eastAsia"/>
          <w:lang w:eastAsia="zh-CN"/>
        </w:rPr>
        <w:t>意见</w:t>
      </w:r>
      <w:r>
        <w:rPr>
          <w:rFonts w:hint="eastAsia"/>
        </w:rPr>
        <w:t>规定的，依照《中华人民共和国道路交通安全法》《海南省电动自行车管理条例》等相关法律、法规处理。</w:t>
      </w:r>
    </w:p>
    <w:p w14:paraId="407618B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第三十</w:t>
      </w:r>
      <w:r>
        <w:rPr>
          <w:rFonts w:hint="eastAsia"/>
          <w:b/>
          <w:bCs/>
          <w:lang w:val="en-US" w:eastAsia="zh-CN"/>
        </w:rPr>
        <w:t>五</w:t>
      </w:r>
      <w:r>
        <w:rPr>
          <w:rFonts w:hint="eastAsia"/>
          <w:b/>
          <w:bCs/>
        </w:rPr>
        <w:t>条</w:t>
      </w:r>
      <w:r>
        <w:rPr>
          <w:rFonts w:hint="eastAsia"/>
        </w:rPr>
        <w:t xml:space="preserve"> 非互联网租赁电动自行车停放在专用停车区域的，依照《中华人民共和国道路交通安全法》等相关法律法规处理。</w:t>
      </w:r>
    </w:p>
    <w:p w14:paraId="09EB29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第三十</w:t>
      </w:r>
      <w:r>
        <w:rPr>
          <w:rFonts w:hint="eastAsia"/>
          <w:b/>
          <w:bCs/>
          <w:lang w:val="en-US" w:eastAsia="zh-CN"/>
        </w:rPr>
        <w:t>六</w:t>
      </w:r>
      <w:r>
        <w:rPr>
          <w:rFonts w:hint="eastAsia"/>
          <w:b/>
          <w:bCs/>
        </w:rPr>
        <w:t>条</w:t>
      </w:r>
      <w:r>
        <w:rPr>
          <w:rFonts w:hint="eastAsia"/>
        </w:rPr>
        <w:t xml:space="preserve"> 运营企业违反经营服务协议约定的，由市交通运输部门根据协议约定调减车辆投放数额。运营企业有转让、出租车辆投放数额、违法投放车辆、考核不合格等情节的，终止经营服务协议。</w:t>
      </w:r>
    </w:p>
    <w:p w14:paraId="0F9A90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rPr>
        <w:t>第五章 附则</w:t>
      </w:r>
    </w:p>
    <w:p w14:paraId="273D85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第三十</w:t>
      </w:r>
      <w:r>
        <w:rPr>
          <w:rFonts w:hint="eastAsia"/>
          <w:b/>
          <w:bCs/>
          <w:lang w:val="en-US" w:eastAsia="zh-CN"/>
        </w:rPr>
        <w:t>七</w:t>
      </w:r>
      <w:r>
        <w:rPr>
          <w:rFonts w:hint="eastAsia"/>
          <w:b/>
          <w:bCs/>
        </w:rPr>
        <w:t>条</w:t>
      </w:r>
      <w:r>
        <w:rPr>
          <w:rFonts w:hint="eastAsia"/>
        </w:rPr>
        <w:t xml:space="preserve"> 本</w:t>
      </w:r>
      <w:r>
        <w:rPr>
          <w:rFonts w:hint="eastAsia"/>
          <w:lang w:eastAsia="zh-CN"/>
        </w:rPr>
        <w:t>意见</w:t>
      </w:r>
      <w:r>
        <w:rPr>
          <w:rFonts w:hint="eastAsia"/>
        </w:rPr>
        <w:t>规定的互联网租赁电动自行车运营服务考核制度、经营服务协议由市交通运输部门另行制定。</w:t>
      </w:r>
    </w:p>
    <w:p w14:paraId="5A0DC6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b/>
          <w:bCs/>
        </w:rPr>
        <w:t>第三十</w:t>
      </w:r>
      <w:r>
        <w:rPr>
          <w:rFonts w:hint="eastAsia"/>
          <w:b/>
          <w:bCs/>
          <w:lang w:val="en-US" w:eastAsia="zh-CN"/>
        </w:rPr>
        <w:t>八</w:t>
      </w:r>
      <w:r>
        <w:rPr>
          <w:rFonts w:hint="eastAsia"/>
          <w:b/>
          <w:bCs/>
        </w:rPr>
        <w:t>条</w:t>
      </w:r>
      <w:r>
        <w:rPr>
          <w:rFonts w:hint="eastAsia"/>
        </w:rPr>
        <w:t xml:space="preserve"> 本</w:t>
      </w:r>
      <w:r>
        <w:rPr>
          <w:rFonts w:hint="eastAsia"/>
          <w:lang w:eastAsia="zh-CN"/>
        </w:rPr>
        <w:t>意见</w:t>
      </w:r>
      <w:r>
        <w:rPr>
          <w:rFonts w:hint="eastAsia"/>
        </w:rPr>
        <w:t>由洋浦经济开发区交通运输和港航局负责解释。</w:t>
      </w:r>
    </w:p>
    <w:p w14:paraId="2C84B3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rPr>
      </w:pPr>
      <w:r>
        <w:rPr>
          <w:rFonts w:hint="eastAsia"/>
          <w:b/>
          <w:bCs/>
        </w:rPr>
        <w:t>第三十</w:t>
      </w:r>
      <w:r>
        <w:rPr>
          <w:rFonts w:hint="eastAsia"/>
          <w:b/>
          <w:bCs/>
          <w:lang w:val="en-US" w:eastAsia="zh-CN"/>
        </w:rPr>
        <w:t>九</w:t>
      </w:r>
      <w:r>
        <w:rPr>
          <w:rFonts w:hint="eastAsia"/>
          <w:b/>
          <w:bCs/>
        </w:rPr>
        <w:t>条</w:t>
      </w:r>
      <w:r>
        <w:rPr>
          <w:rFonts w:hint="eastAsia"/>
        </w:rPr>
        <w:t xml:space="preserve"> </w:t>
      </w:r>
      <w:r>
        <w:rPr>
          <w:rFonts w:hint="eastAsia"/>
          <w:color w:val="auto"/>
        </w:rPr>
        <w:t>本</w:t>
      </w:r>
      <w:r>
        <w:rPr>
          <w:rFonts w:hint="eastAsia"/>
          <w:color w:val="auto"/>
          <w:lang w:eastAsia="zh-CN"/>
        </w:rPr>
        <w:t>意见</w:t>
      </w:r>
      <w:r>
        <w:rPr>
          <w:rFonts w:hint="eastAsia"/>
          <w:color w:val="auto"/>
        </w:rPr>
        <w:t>自印发之日起三十日以后施行，有效期</w:t>
      </w:r>
      <w:r>
        <w:rPr>
          <w:rFonts w:hint="eastAsia"/>
          <w:color w:val="auto"/>
          <w:lang w:val="en-US" w:eastAsia="zh-CN"/>
        </w:rPr>
        <w:t>2</w:t>
      </w:r>
      <w:r>
        <w:rPr>
          <w:rFonts w:hint="eastAsia"/>
          <w:color w:val="auto"/>
        </w:rPr>
        <w:t>年。</w:t>
      </w:r>
    </w:p>
    <w:sectPr>
      <w:footerReference r:id="rId5" w:type="default"/>
      <w:footerReference r:id="rId6" w:type="even"/>
      <w:pgSz w:w="11906" w:h="16838"/>
      <w:pgMar w:top="2098" w:right="1474" w:bottom="1984" w:left="1588" w:header="851" w:footer="1400" w:gutter="0"/>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12DD20-E23A-46E2-8324-356E329FCD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B78E735-6319-4EE7-8AD6-9706D92A40EE}"/>
  </w:font>
  <w:font w:name="仿宋_GB2312">
    <w:panose1 w:val="02010609030101010101"/>
    <w:charset w:val="86"/>
    <w:family w:val="auto"/>
    <w:pitch w:val="default"/>
    <w:sig w:usb0="00000001" w:usb1="080E0000" w:usb2="00000000" w:usb3="00000000" w:csb0="00040000" w:csb1="00000000"/>
    <w:embedRegular r:id="rId3" w:fontKey="{A9F5967D-328C-4CB5-9434-C44246006C11}"/>
  </w:font>
  <w:font w:name="方正小标宋_GBK">
    <w:panose1 w:val="02000000000000000000"/>
    <w:charset w:val="86"/>
    <w:family w:val="auto"/>
    <w:pitch w:val="default"/>
    <w:sig w:usb0="A00002BF" w:usb1="38CF7CFA" w:usb2="00082016" w:usb3="00000000" w:csb0="00040001" w:csb1="00000000"/>
    <w:embedRegular r:id="rId4" w:fontKey="{BD00D540-A871-403F-A538-6A6F8B9E4024}"/>
  </w:font>
  <w:font w:name="楷体_GB2312">
    <w:panose1 w:val="02010609030101010101"/>
    <w:charset w:val="86"/>
    <w:family w:val="auto"/>
    <w:pitch w:val="default"/>
    <w:sig w:usb0="00000001" w:usb1="080E0000" w:usb2="00000000" w:usb3="00000000" w:csb0="00040000" w:csb1="00000000"/>
    <w:embedRegular r:id="rId5" w:fontKey="{327575A6-89E3-4694-820A-D593EFD9B0C9}"/>
  </w:font>
  <w:font w:name="仿宋">
    <w:panose1 w:val="02010609060101010101"/>
    <w:charset w:val="86"/>
    <w:family w:val="auto"/>
    <w:pitch w:val="default"/>
    <w:sig w:usb0="800002BF" w:usb1="38CF7CFA" w:usb2="00000016" w:usb3="00000000" w:csb0="00040001" w:csb1="00000000"/>
    <w:embedRegular r:id="rId6" w:fontKey="{2A7A6DBA-03ED-4F5D-9D51-42B9DDCC22B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85FDC">
    <w:pPr>
      <w:pStyle w:val="3"/>
      <w:ind w:right="320" w:rightChars="10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AAC0FB">
                          <w:pPr>
                            <w:pStyle w:val="3"/>
                            <w:rPr>
                              <w:rFonts w:hint="eastAsia" w:eastAsia="仿宋_GB2312"/>
                              <w:sz w:val="32"/>
                              <w:szCs w:val="48"/>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9AAC0FB">
                    <w:pPr>
                      <w:pStyle w:val="3"/>
                      <w:rPr>
                        <w:rFonts w:hint="eastAsia" w:eastAsia="仿宋_GB2312"/>
                        <w:sz w:val="32"/>
                        <w:szCs w:val="48"/>
                        <w:lang w:val="en-US" w:eastAsia="zh-CN"/>
                      </w:rPr>
                    </w:pPr>
                  </w:p>
                </w:txbxContent>
              </v:textbox>
            </v:shape>
          </w:pict>
        </mc:Fallback>
      </mc:AlternateContent>
    </w: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1</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13859">
    <w:pPr>
      <w:pStyle w:val="3"/>
      <w:ind w:firstLine="280" w:firstLineChars="100"/>
      <w:jc w:val="left"/>
      <w:rPr>
        <w:rFonts w:hint="eastAsia" w:ascii="宋体" w:hAnsi="宋体" w:eastAsia="宋体" w:cs="宋体"/>
        <w:sz w:val="28"/>
        <w:lang w:eastAsia="zh-CN"/>
      </w:rPr>
    </w:pPr>
    <w:r>
      <w:rPr>
        <w:rFonts w:hint="eastAsia" w:ascii="宋体" w:hAnsi="宋体" w:eastAsia="宋体" w:cs="宋体"/>
        <w:sz w:val="28"/>
        <w:lang w:eastAsia="zh-CN"/>
      </w:rPr>
      <w:t xml:space="preserve">— </w:t>
    </w:r>
    <w:r>
      <w:rPr>
        <w:rFonts w:hint="eastAsia" w:ascii="宋体" w:hAnsi="宋体" w:eastAsia="宋体" w:cs="宋体"/>
        <w:sz w:val="28"/>
        <w:lang w:eastAsia="zh-CN"/>
      </w:rPr>
      <w:fldChar w:fldCharType="begin"/>
    </w:r>
    <w:r>
      <w:rPr>
        <w:rFonts w:hint="eastAsia" w:ascii="宋体" w:hAnsi="宋体" w:eastAsia="宋体" w:cs="宋体"/>
        <w:sz w:val="28"/>
        <w:lang w:eastAsia="zh-CN"/>
      </w:rPr>
      <w:instrText xml:space="preserve"> PAGE \* Arabic \* MERGEFORMAT </w:instrText>
    </w:r>
    <w:r>
      <w:rPr>
        <w:rFonts w:hint="eastAsia" w:ascii="宋体" w:hAnsi="宋体" w:eastAsia="宋体" w:cs="宋体"/>
        <w:sz w:val="28"/>
        <w:lang w:eastAsia="zh-CN"/>
      </w:rPr>
      <w:fldChar w:fldCharType="separate"/>
    </w:r>
    <w:r>
      <w:rPr>
        <w:rFonts w:hint="eastAsia" w:ascii="宋体" w:hAnsi="宋体" w:eastAsia="宋体" w:cs="宋体"/>
        <w:sz w:val="28"/>
        <w:lang w:eastAsia="zh-CN"/>
      </w:rPr>
      <w:t>2</w:t>
    </w:r>
    <w:r>
      <w:rPr>
        <w:rFonts w:hint="eastAsia" w:ascii="宋体" w:hAnsi="宋体" w:eastAsia="宋体" w:cs="宋体"/>
        <w:sz w:val="28"/>
        <w:lang w:eastAsia="zh-CN"/>
      </w:rPr>
      <w:fldChar w:fldCharType="end"/>
    </w:r>
    <w:r>
      <w:rPr>
        <w:rFonts w:hint="eastAsia" w:ascii="宋体" w:hAnsi="宋体" w:eastAsia="宋体" w:cs="宋体"/>
        <w:sz w:val="28"/>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9542F"/>
    <w:rsid w:val="00533315"/>
    <w:rsid w:val="009F5B55"/>
    <w:rsid w:val="01BB2C67"/>
    <w:rsid w:val="024B2609"/>
    <w:rsid w:val="030C349F"/>
    <w:rsid w:val="032C5FC0"/>
    <w:rsid w:val="043C2667"/>
    <w:rsid w:val="04456A8D"/>
    <w:rsid w:val="04CE0387"/>
    <w:rsid w:val="05856AD5"/>
    <w:rsid w:val="064552D9"/>
    <w:rsid w:val="069A1A9F"/>
    <w:rsid w:val="06BC6527"/>
    <w:rsid w:val="06D75085"/>
    <w:rsid w:val="07836EDF"/>
    <w:rsid w:val="0889542F"/>
    <w:rsid w:val="08E858AD"/>
    <w:rsid w:val="09AB4631"/>
    <w:rsid w:val="0A200E2D"/>
    <w:rsid w:val="0A841E0C"/>
    <w:rsid w:val="0AE37DDF"/>
    <w:rsid w:val="0B626EBA"/>
    <w:rsid w:val="0C7F7439"/>
    <w:rsid w:val="0D837D9E"/>
    <w:rsid w:val="0DE44D44"/>
    <w:rsid w:val="0DED3FE6"/>
    <w:rsid w:val="0EA256DC"/>
    <w:rsid w:val="0ED34521"/>
    <w:rsid w:val="0FA43D19"/>
    <w:rsid w:val="0FAB3042"/>
    <w:rsid w:val="0FEE7454"/>
    <w:rsid w:val="10090D8C"/>
    <w:rsid w:val="10E0785E"/>
    <w:rsid w:val="112D1A7B"/>
    <w:rsid w:val="12156F1B"/>
    <w:rsid w:val="12463C8B"/>
    <w:rsid w:val="127E28E2"/>
    <w:rsid w:val="132632F9"/>
    <w:rsid w:val="14B43F9D"/>
    <w:rsid w:val="14CB349A"/>
    <w:rsid w:val="14F270EC"/>
    <w:rsid w:val="15212493"/>
    <w:rsid w:val="155B3298"/>
    <w:rsid w:val="160378C4"/>
    <w:rsid w:val="16377742"/>
    <w:rsid w:val="164B3423"/>
    <w:rsid w:val="16B3236B"/>
    <w:rsid w:val="16E67A3C"/>
    <w:rsid w:val="17A7506A"/>
    <w:rsid w:val="18A93985"/>
    <w:rsid w:val="18E5190D"/>
    <w:rsid w:val="192F59D5"/>
    <w:rsid w:val="1AE47F99"/>
    <w:rsid w:val="1B074BD5"/>
    <w:rsid w:val="1C1C2FAC"/>
    <w:rsid w:val="1C56667E"/>
    <w:rsid w:val="1CB753A9"/>
    <w:rsid w:val="1D7E1AD1"/>
    <w:rsid w:val="1DE061F0"/>
    <w:rsid w:val="1EAF3F5D"/>
    <w:rsid w:val="1F1B3AB5"/>
    <w:rsid w:val="1F8A3F4D"/>
    <w:rsid w:val="1FF05213"/>
    <w:rsid w:val="206B5AB9"/>
    <w:rsid w:val="22954F51"/>
    <w:rsid w:val="235A170F"/>
    <w:rsid w:val="24334973"/>
    <w:rsid w:val="24981970"/>
    <w:rsid w:val="24A00DDE"/>
    <w:rsid w:val="25114171"/>
    <w:rsid w:val="25156162"/>
    <w:rsid w:val="25583753"/>
    <w:rsid w:val="2617288D"/>
    <w:rsid w:val="26284BE7"/>
    <w:rsid w:val="267D45BE"/>
    <w:rsid w:val="267F31B6"/>
    <w:rsid w:val="26EB3E67"/>
    <w:rsid w:val="27075144"/>
    <w:rsid w:val="27A25897"/>
    <w:rsid w:val="27C747D2"/>
    <w:rsid w:val="27DA16B2"/>
    <w:rsid w:val="283C7103"/>
    <w:rsid w:val="28DD52B0"/>
    <w:rsid w:val="296312D0"/>
    <w:rsid w:val="2B2F4C6A"/>
    <w:rsid w:val="2B45218A"/>
    <w:rsid w:val="2B976C70"/>
    <w:rsid w:val="2BAB53B1"/>
    <w:rsid w:val="2C435088"/>
    <w:rsid w:val="2D4A7B39"/>
    <w:rsid w:val="2E6A2D37"/>
    <w:rsid w:val="2E9F45C9"/>
    <w:rsid w:val="2EB856D3"/>
    <w:rsid w:val="2EC708BB"/>
    <w:rsid w:val="2EEA6165"/>
    <w:rsid w:val="2FA8493D"/>
    <w:rsid w:val="2FFF4AB4"/>
    <w:rsid w:val="300206D5"/>
    <w:rsid w:val="307C24A3"/>
    <w:rsid w:val="30D540AA"/>
    <w:rsid w:val="31406347"/>
    <w:rsid w:val="31556AAC"/>
    <w:rsid w:val="31972E77"/>
    <w:rsid w:val="31F33F2B"/>
    <w:rsid w:val="33E35A92"/>
    <w:rsid w:val="347831DE"/>
    <w:rsid w:val="352167BC"/>
    <w:rsid w:val="366E2AEA"/>
    <w:rsid w:val="36735A31"/>
    <w:rsid w:val="370E31B9"/>
    <w:rsid w:val="379431FA"/>
    <w:rsid w:val="37AE2AE9"/>
    <w:rsid w:val="39156FF4"/>
    <w:rsid w:val="39785F6B"/>
    <w:rsid w:val="3986639D"/>
    <w:rsid w:val="39A706A6"/>
    <w:rsid w:val="39D76BF8"/>
    <w:rsid w:val="3A5E66A4"/>
    <w:rsid w:val="3AA008BD"/>
    <w:rsid w:val="3AC52EF5"/>
    <w:rsid w:val="3AC82B92"/>
    <w:rsid w:val="3AF44AC4"/>
    <w:rsid w:val="3B2D4C3E"/>
    <w:rsid w:val="3BC359FF"/>
    <w:rsid w:val="3CAC5F07"/>
    <w:rsid w:val="3CB44AA5"/>
    <w:rsid w:val="3D5F5790"/>
    <w:rsid w:val="3E097462"/>
    <w:rsid w:val="3E0E14F3"/>
    <w:rsid w:val="3F406F57"/>
    <w:rsid w:val="3F532AB4"/>
    <w:rsid w:val="3F945685"/>
    <w:rsid w:val="41456AA2"/>
    <w:rsid w:val="414C2445"/>
    <w:rsid w:val="41F12D6F"/>
    <w:rsid w:val="425424E3"/>
    <w:rsid w:val="42552A32"/>
    <w:rsid w:val="439B0C97"/>
    <w:rsid w:val="43CA2F1F"/>
    <w:rsid w:val="44BF70D9"/>
    <w:rsid w:val="44FE14DD"/>
    <w:rsid w:val="45EF19CA"/>
    <w:rsid w:val="46081EE8"/>
    <w:rsid w:val="46CC76CB"/>
    <w:rsid w:val="47B03BA9"/>
    <w:rsid w:val="47FD3CA8"/>
    <w:rsid w:val="481A2AD0"/>
    <w:rsid w:val="482B2CC3"/>
    <w:rsid w:val="4922204C"/>
    <w:rsid w:val="49D46CB0"/>
    <w:rsid w:val="4A631DE2"/>
    <w:rsid w:val="4B606A4C"/>
    <w:rsid w:val="4BA21BBC"/>
    <w:rsid w:val="4D1460C5"/>
    <w:rsid w:val="4D2E4316"/>
    <w:rsid w:val="4DF06083"/>
    <w:rsid w:val="4DF07E6B"/>
    <w:rsid w:val="4E6A7BE3"/>
    <w:rsid w:val="4F314BEF"/>
    <w:rsid w:val="508A1E77"/>
    <w:rsid w:val="50D6330E"/>
    <w:rsid w:val="514F00F4"/>
    <w:rsid w:val="51832012"/>
    <w:rsid w:val="52114133"/>
    <w:rsid w:val="53E570AC"/>
    <w:rsid w:val="54B26C85"/>
    <w:rsid w:val="54EF0E42"/>
    <w:rsid w:val="55485BD9"/>
    <w:rsid w:val="568D0913"/>
    <w:rsid w:val="56EA6F7B"/>
    <w:rsid w:val="572C6F76"/>
    <w:rsid w:val="574E1B26"/>
    <w:rsid w:val="57692703"/>
    <w:rsid w:val="57AB63AE"/>
    <w:rsid w:val="58DD7CCA"/>
    <w:rsid w:val="59754CD5"/>
    <w:rsid w:val="597936DB"/>
    <w:rsid w:val="59ED5C18"/>
    <w:rsid w:val="59FD5EB2"/>
    <w:rsid w:val="5B366EB4"/>
    <w:rsid w:val="5C5D3B6B"/>
    <w:rsid w:val="5F0F007C"/>
    <w:rsid w:val="5F0F1702"/>
    <w:rsid w:val="5F233E90"/>
    <w:rsid w:val="5F2C78D9"/>
    <w:rsid w:val="5F8B79B9"/>
    <w:rsid w:val="604864D0"/>
    <w:rsid w:val="609C20E7"/>
    <w:rsid w:val="61803A85"/>
    <w:rsid w:val="61AB6DBD"/>
    <w:rsid w:val="62AE40EB"/>
    <w:rsid w:val="62C47556"/>
    <w:rsid w:val="632750BB"/>
    <w:rsid w:val="639C3F43"/>
    <w:rsid w:val="63CF4C20"/>
    <w:rsid w:val="6565568C"/>
    <w:rsid w:val="65754D9E"/>
    <w:rsid w:val="678241B6"/>
    <w:rsid w:val="69064E4F"/>
    <w:rsid w:val="693C1432"/>
    <w:rsid w:val="6A015CF8"/>
    <w:rsid w:val="6A3916D5"/>
    <w:rsid w:val="6C457D5B"/>
    <w:rsid w:val="6C496EB7"/>
    <w:rsid w:val="6CE26082"/>
    <w:rsid w:val="6CFC61C3"/>
    <w:rsid w:val="6D303931"/>
    <w:rsid w:val="6D5D3E4F"/>
    <w:rsid w:val="6DEC3D19"/>
    <w:rsid w:val="6DF5276C"/>
    <w:rsid w:val="6E982396"/>
    <w:rsid w:val="6EA004FE"/>
    <w:rsid w:val="6EF03395"/>
    <w:rsid w:val="6FBC6632"/>
    <w:rsid w:val="70943FC3"/>
    <w:rsid w:val="713A123F"/>
    <w:rsid w:val="71974AEA"/>
    <w:rsid w:val="7237488A"/>
    <w:rsid w:val="723D2D95"/>
    <w:rsid w:val="72802AA0"/>
    <w:rsid w:val="7393582A"/>
    <w:rsid w:val="74CE55B2"/>
    <w:rsid w:val="75090000"/>
    <w:rsid w:val="75912745"/>
    <w:rsid w:val="75D315DC"/>
    <w:rsid w:val="75D43A11"/>
    <w:rsid w:val="7706409E"/>
    <w:rsid w:val="770819D9"/>
    <w:rsid w:val="775C5BE0"/>
    <w:rsid w:val="782B4FF9"/>
    <w:rsid w:val="796B7792"/>
    <w:rsid w:val="79B85A3F"/>
    <w:rsid w:val="79CB0C87"/>
    <w:rsid w:val="79DB2CDD"/>
    <w:rsid w:val="7A79735F"/>
    <w:rsid w:val="7AFA5152"/>
    <w:rsid w:val="7B137AB9"/>
    <w:rsid w:val="7B8C46C1"/>
    <w:rsid w:val="7C9D7D81"/>
    <w:rsid w:val="7D366424"/>
    <w:rsid w:val="7DCD4B14"/>
    <w:rsid w:val="7DD11077"/>
    <w:rsid w:val="7EA35ECA"/>
    <w:rsid w:val="7ED97DE9"/>
    <w:rsid w:val="7F361298"/>
    <w:rsid w:val="7F4B270F"/>
    <w:rsid w:val="7F920392"/>
    <w:rsid w:val="7FB709D3"/>
    <w:rsid w:val="7FFA2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420" w:firstLineChars="200"/>
      <w:jc w:val="both"/>
    </w:pPr>
    <w:rPr>
      <w:rFonts w:ascii="仿宋_GB2312" w:hAnsi="仿宋_GB2312"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5250</Words>
  <Characters>5299</Characters>
  <Lines>0</Lines>
  <Paragraphs>0</Paragraphs>
  <TotalTime>6625</TotalTime>
  <ScaleCrop>false</ScaleCrop>
  <LinksUpToDate>false</LinksUpToDate>
  <CharactersWithSpaces>5342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2025-06-04T01:51:00Z</dcterms:created>
  <dc:creator>道路运输科</dc:creator>
  <cp:lastModifiedBy>Huanghong</cp:lastModifiedBy>
  <cp:lastPrinted>2026-05-18T01:20:00Z</cp:lastPrinted>
  <dcterms:modified xsi:type="dcterms:W3CDTF">2026-07-20T07:45:13Z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B83B1BC82CA646248A9B68747DDDC853_13</vt:lpwstr>
  </property>
  <property fmtid="{D5CDD505-2E9C-101B-9397-08002B2CF9AE}" pid="4" name="KSOTemplateDocerSaveRecord">
    <vt:lpwstr>eyJoZGlkIjoiNzE5ODU5NDRjOGUwNTM5M2RmYjQyYWNhYjkxMDM1OGUiLCJ1c2VySWQiOiI0NTQ1Njg3MTQifQ==</vt:lpwstr>
  </property>
</Properties>
</file>