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2C68" w14:textId="77777777" w:rsidR="001A315A" w:rsidRDefault="001A315A">
      <w:pPr>
        <w:jc w:val="center"/>
        <w:rPr>
          <w:rFonts w:ascii="STZhongsong" w:eastAsia="STZhongsong" w:hAnsi="STZhongsong"/>
          <w:b/>
          <w:sz w:val="36"/>
          <w:szCs w:val="36"/>
        </w:rPr>
      </w:pPr>
    </w:p>
    <w:p w14:paraId="08743D3E" w14:textId="77777777" w:rsidR="001A315A" w:rsidRDefault="00F765A5">
      <w:pPr>
        <w:jc w:val="center"/>
        <w:rPr>
          <w:rFonts w:ascii="STZhongsong" w:eastAsia="STZhongsong" w:hAnsi="STZhongsong"/>
          <w:b/>
          <w:sz w:val="36"/>
          <w:szCs w:val="36"/>
        </w:rPr>
      </w:pPr>
      <w:r>
        <w:rPr>
          <w:rFonts w:ascii="STZhongsong" w:eastAsia="STZhongsong" w:hAnsi="STZhongsong" w:hint="eastAsia"/>
          <w:b/>
          <w:sz w:val="36"/>
          <w:szCs w:val="36"/>
        </w:rPr>
        <w:t>关于</w:t>
      </w:r>
      <w:proofErr w:type="gramStart"/>
      <w:r>
        <w:rPr>
          <w:rFonts w:ascii="STZhongsong" w:eastAsia="STZhongsong" w:hAnsi="STZhongsong" w:hint="eastAsia"/>
          <w:b/>
          <w:sz w:val="36"/>
          <w:szCs w:val="36"/>
        </w:rPr>
        <w:t>《</w:t>
      </w:r>
      <w:proofErr w:type="gramEnd"/>
      <w:r>
        <w:rPr>
          <w:rFonts w:ascii="STZhongsong" w:eastAsia="STZhongsong" w:hAnsi="STZhongsong" w:hint="eastAsia"/>
          <w:b/>
          <w:sz w:val="36"/>
          <w:szCs w:val="36"/>
        </w:rPr>
        <w:t>洋浦港港口和船舶岸电管理办法实施细则</w:t>
      </w:r>
    </w:p>
    <w:p w14:paraId="6E5E347C" w14:textId="77777777" w:rsidR="001A315A" w:rsidRDefault="00F765A5">
      <w:pPr>
        <w:jc w:val="center"/>
        <w:rPr>
          <w:rFonts w:ascii="STZhongsong" w:eastAsia="STZhongsong" w:hAnsi="STZhongsong"/>
          <w:b/>
          <w:sz w:val="36"/>
          <w:szCs w:val="36"/>
        </w:rPr>
      </w:pPr>
      <w:r>
        <w:rPr>
          <w:rFonts w:ascii="STZhongsong" w:eastAsia="STZhongsong" w:hAnsi="STZhongsong" w:hint="eastAsia"/>
          <w:b/>
          <w:sz w:val="36"/>
          <w:szCs w:val="36"/>
        </w:rPr>
        <w:t>（征求意见稿）</w:t>
      </w:r>
      <w:proofErr w:type="gramStart"/>
      <w:r>
        <w:rPr>
          <w:rFonts w:ascii="STZhongsong" w:eastAsia="STZhongsong" w:hAnsi="STZhongsong" w:hint="eastAsia"/>
          <w:b/>
          <w:sz w:val="36"/>
          <w:szCs w:val="36"/>
        </w:rPr>
        <w:t>》</w:t>
      </w:r>
      <w:proofErr w:type="gramEnd"/>
      <w:r>
        <w:rPr>
          <w:rFonts w:ascii="STZhongsong" w:eastAsia="STZhongsong" w:hAnsi="STZhongsong" w:hint="eastAsia"/>
          <w:b/>
          <w:sz w:val="36"/>
          <w:szCs w:val="36"/>
        </w:rPr>
        <w:t>的起草说明</w:t>
      </w:r>
    </w:p>
    <w:p w14:paraId="2F106565" w14:textId="77777777" w:rsidR="001A315A" w:rsidRDefault="001A315A">
      <w:pPr>
        <w:jc w:val="left"/>
        <w:rPr>
          <w:rFonts w:ascii="仿宋_GB2312" w:eastAsia="仿宋_GB2312"/>
          <w:sz w:val="30"/>
          <w:szCs w:val="30"/>
        </w:rPr>
      </w:pPr>
    </w:p>
    <w:p w14:paraId="230EA058" w14:textId="77777777"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一、背景情况</w:t>
      </w:r>
    </w:p>
    <w:p w14:paraId="032A22D8" w14:textId="77777777" w:rsidR="001A315A" w:rsidRDefault="00F765A5">
      <w:pPr>
        <w:spacing w:line="560" w:lineRule="exact"/>
        <w:ind w:firstLineChars="200" w:firstLine="600"/>
        <w:rPr>
          <w:rFonts w:ascii="仿宋" w:eastAsia="仿宋" w:hAnsi="仿宋" w:cs="仿宋"/>
          <w:sz w:val="30"/>
        </w:rPr>
      </w:pPr>
      <w:r>
        <w:rPr>
          <w:rFonts w:ascii="仿宋" w:eastAsia="仿宋" w:hAnsi="仿宋" w:cs="仿宋" w:hint="eastAsia"/>
          <w:sz w:val="30"/>
        </w:rPr>
        <w:t>港口岸电建设是海南建设国家生态文明试验区的标志性项目，为贯彻落实党中央、国务院关于生态文明建设的总体部署，落实《国家生态文明试验区（海南）实施方案》《交通运输部 财政部 国家发展改革委 国家能源局 国家电网公司 南方电网公司关于进一步共同推进船舶靠港使用岸电工作的通知》（交水发〔2019〕14号）和《海南省交通运输厅关于印发&lt;推进海南港口岸电建设实施方案&gt;的通知》（</w:t>
      </w:r>
      <w:proofErr w:type="gramStart"/>
      <w:r>
        <w:rPr>
          <w:rFonts w:ascii="仿宋" w:eastAsia="仿宋" w:hAnsi="仿宋" w:cs="仿宋" w:hint="eastAsia"/>
          <w:sz w:val="30"/>
        </w:rPr>
        <w:t>琼交水运</w:t>
      </w:r>
      <w:proofErr w:type="gramEnd"/>
      <w:r>
        <w:rPr>
          <w:rFonts w:ascii="仿宋" w:eastAsia="仿宋" w:hAnsi="仿宋" w:cs="仿宋" w:hint="eastAsia"/>
          <w:sz w:val="30"/>
        </w:rPr>
        <w:t>〔2019〕663号）等相关文件要求，积极推进洋浦港西部陆海新通道国际枢纽海港建设，促进港口绿色发展，2020年至2021年洋浦工委管委会先后印发了《推进洋浦港口岸电建设实施方案》和《洋浦经济开发区港口岸电建设（改造）项目补贴资金管理方案》，明确了推进全区29个泊位（含4个工作船泊位）岸电建设，实现洋浦港口（油气化工码头除外）岸电设施全覆盖目标。</w:t>
      </w:r>
    </w:p>
    <w:p w14:paraId="028767E7" w14:textId="77777777" w:rsidR="001A315A" w:rsidRDefault="00F765A5">
      <w:pPr>
        <w:spacing w:line="560" w:lineRule="exact"/>
        <w:ind w:firstLineChars="200" w:firstLine="600"/>
        <w:rPr>
          <w:rFonts w:ascii="仿宋" w:eastAsia="仿宋" w:hAnsi="仿宋" w:cs="仿宋"/>
          <w:sz w:val="30"/>
        </w:rPr>
      </w:pPr>
      <w:r>
        <w:rPr>
          <w:rFonts w:ascii="仿宋" w:eastAsia="仿宋" w:hAnsi="仿宋" w:cs="仿宋" w:hint="eastAsia"/>
          <w:sz w:val="30"/>
        </w:rPr>
        <w:t>2021年6月，全港4家普货码头（洋浦国际集装箱码头、国投洋浦港码头、</w:t>
      </w:r>
      <w:proofErr w:type="gramStart"/>
      <w:r>
        <w:rPr>
          <w:rFonts w:ascii="仿宋" w:eastAsia="仿宋" w:hAnsi="仿宋" w:cs="仿宋" w:hint="eastAsia"/>
          <w:sz w:val="30"/>
        </w:rPr>
        <w:t>海南逸盛石化</w:t>
      </w:r>
      <w:proofErr w:type="gramEnd"/>
      <w:r>
        <w:rPr>
          <w:rFonts w:ascii="仿宋" w:eastAsia="仿宋" w:hAnsi="仿宋" w:cs="仿宋" w:hint="eastAsia"/>
          <w:sz w:val="30"/>
        </w:rPr>
        <w:t>码头、金海浆纸码头），29个泊位（含4个工作船泊位）完成港口岸电设施建设并通过竣工验收，建成岸电设施30套（高压8套、低压22套），实现洋浦港口（油气化工码头除外）岸电设施全覆盖。</w:t>
      </w:r>
    </w:p>
    <w:p w14:paraId="1FA9BB93" w14:textId="22F6D435" w:rsidR="001A315A" w:rsidRPr="00F765A5" w:rsidRDefault="00F765A5">
      <w:pPr>
        <w:spacing w:line="560" w:lineRule="exact"/>
        <w:ind w:firstLineChars="200" w:firstLine="600"/>
        <w:rPr>
          <w:rFonts w:ascii="仿宋" w:eastAsia="仿宋" w:hAnsi="仿宋" w:cs="仿宋"/>
          <w:sz w:val="30"/>
        </w:rPr>
      </w:pPr>
      <w:bookmarkStart w:id="0" w:name="_Hlk104499219"/>
      <w:r>
        <w:rPr>
          <w:rFonts w:ascii="仿宋" w:eastAsia="仿宋" w:hAnsi="仿宋" w:cs="仿宋" w:hint="eastAsia"/>
          <w:sz w:val="30"/>
        </w:rPr>
        <w:t>2021年6月洋浦港港口岸电投入运营以来，总计到港船舶</w:t>
      </w:r>
      <w:r w:rsidR="007F7D0F">
        <w:rPr>
          <w:rFonts w:ascii="仿宋" w:eastAsia="仿宋" w:hAnsi="仿宋" w:cs="仿宋" w:hint="eastAsia"/>
          <w:sz w:val="30"/>
        </w:rPr>
        <w:lastRenderedPageBreak/>
        <w:t>两千多</w:t>
      </w:r>
      <w:r>
        <w:rPr>
          <w:rFonts w:ascii="仿宋" w:eastAsia="仿宋" w:hAnsi="仿宋" w:cs="仿宋" w:hint="eastAsia"/>
          <w:sz w:val="30"/>
        </w:rPr>
        <w:t>艘次，具备经检测合格的标准岸电受电的船舶靠泊</w:t>
      </w:r>
      <w:r w:rsidR="00EE3603">
        <w:rPr>
          <w:rFonts w:ascii="仿宋" w:eastAsia="仿宋" w:hAnsi="仿宋" w:cs="仿宋"/>
          <w:sz w:val="30"/>
        </w:rPr>
        <w:t>40</w:t>
      </w:r>
      <w:r>
        <w:rPr>
          <w:rFonts w:ascii="仿宋" w:eastAsia="仿宋" w:hAnsi="仿宋" w:cs="仿宋" w:hint="eastAsia"/>
          <w:sz w:val="30"/>
        </w:rPr>
        <w:t>艘次，港口岸电完成2次</w:t>
      </w:r>
      <w:r w:rsidR="00EE3603">
        <w:rPr>
          <w:rFonts w:ascii="仿宋" w:eastAsia="仿宋" w:hAnsi="仿宋" w:cs="仿宋" w:hint="eastAsia"/>
          <w:sz w:val="30"/>
        </w:rPr>
        <w:t>使用</w:t>
      </w:r>
      <w:r>
        <w:rPr>
          <w:rFonts w:ascii="仿宋" w:eastAsia="仿宋" w:hAnsi="仿宋" w:cs="仿宋" w:hint="eastAsia"/>
          <w:sz w:val="30"/>
        </w:rPr>
        <w:t>岸电，总供电量5.76万kWh。岸电企业通过对接电箱进行加装转换插头改造后实现对具备非标准船舶进行</w:t>
      </w:r>
      <w:proofErr w:type="gramStart"/>
      <w:r>
        <w:rPr>
          <w:rFonts w:ascii="仿宋" w:eastAsia="仿宋" w:hAnsi="仿宋" w:cs="仿宋" w:hint="eastAsia"/>
          <w:sz w:val="30"/>
        </w:rPr>
        <w:t>岸电联船供电</w:t>
      </w:r>
      <w:proofErr w:type="gramEnd"/>
      <w:r>
        <w:rPr>
          <w:rFonts w:ascii="仿宋" w:eastAsia="仿宋" w:hAnsi="仿宋" w:cs="仿宋" w:hint="eastAsia"/>
          <w:sz w:val="30"/>
        </w:rPr>
        <w:t>，</w:t>
      </w:r>
      <w:proofErr w:type="gramStart"/>
      <w:r>
        <w:rPr>
          <w:rFonts w:ascii="仿宋" w:eastAsia="仿宋" w:hAnsi="仿宋" w:cs="仿宋" w:hint="eastAsia"/>
          <w:sz w:val="30"/>
        </w:rPr>
        <w:t>总完成</w:t>
      </w:r>
      <w:proofErr w:type="gramEnd"/>
      <w:r>
        <w:rPr>
          <w:rFonts w:ascii="仿宋" w:eastAsia="仿宋" w:hAnsi="仿宋" w:cs="仿宋" w:hint="eastAsia"/>
          <w:sz w:val="30"/>
        </w:rPr>
        <w:t>106艘次，总供电量2.17万kWh。</w:t>
      </w:r>
      <w:r w:rsidRPr="00F765A5">
        <w:rPr>
          <w:rFonts w:ascii="仿宋" w:eastAsia="仿宋" w:hAnsi="仿宋" w:cs="仿宋" w:hint="eastAsia"/>
          <w:sz w:val="30"/>
        </w:rPr>
        <w:t>全港到港船舶具备岸电受电设施比例为</w:t>
      </w:r>
      <w:r w:rsidR="00EE3603" w:rsidRPr="00F765A5">
        <w:rPr>
          <w:rFonts w:ascii="仿宋" w:eastAsia="仿宋" w:hAnsi="仿宋" w:cs="仿宋" w:hint="eastAsia"/>
          <w:sz w:val="30"/>
        </w:rPr>
        <w:t>0</w:t>
      </w:r>
      <w:r w:rsidR="00EE3603" w:rsidRPr="00F765A5">
        <w:rPr>
          <w:rFonts w:ascii="仿宋" w:eastAsia="仿宋" w:hAnsi="仿宋" w:cs="仿宋"/>
          <w:sz w:val="30"/>
        </w:rPr>
        <w:t>.8%</w:t>
      </w:r>
      <w:r w:rsidRPr="00F765A5">
        <w:rPr>
          <w:rFonts w:ascii="仿宋" w:eastAsia="仿宋" w:hAnsi="仿宋" w:cs="仿宋" w:hint="eastAsia"/>
          <w:sz w:val="30"/>
        </w:rPr>
        <w:t>，全港到港船舶使用岸电比例为</w:t>
      </w:r>
      <w:r w:rsidR="00EE3603" w:rsidRPr="00F765A5">
        <w:rPr>
          <w:rFonts w:ascii="仿宋" w:eastAsia="仿宋" w:hAnsi="仿宋" w:cs="仿宋"/>
          <w:sz w:val="30"/>
        </w:rPr>
        <w:t>4.5%</w:t>
      </w:r>
      <w:r w:rsidRPr="00F765A5">
        <w:rPr>
          <w:rFonts w:ascii="仿宋" w:eastAsia="仿宋" w:hAnsi="仿宋" w:cs="仿宋" w:hint="eastAsia"/>
          <w:sz w:val="30"/>
        </w:rPr>
        <w:t>。远低于“争取到2024年实现具备条件的靠港船舶岸电使用率达到90%目标”目标要求。</w:t>
      </w:r>
      <w:bookmarkEnd w:id="0"/>
    </w:p>
    <w:p w14:paraId="4D8DB8C9" w14:textId="77777777" w:rsidR="001A315A" w:rsidRDefault="00F765A5">
      <w:pPr>
        <w:spacing w:line="560" w:lineRule="exact"/>
        <w:ind w:firstLineChars="200" w:firstLine="600"/>
        <w:rPr>
          <w:rFonts w:ascii="仿宋" w:eastAsia="仿宋" w:hAnsi="仿宋" w:cs="仿宋"/>
          <w:sz w:val="30"/>
        </w:rPr>
      </w:pPr>
      <w:r>
        <w:rPr>
          <w:rFonts w:ascii="仿宋" w:eastAsia="仿宋" w:hAnsi="仿宋" w:cs="仿宋" w:hint="eastAsia"/>
          <w:sz w:val="30"/>
        </w:rPr>
        <w:t>经摸底分析，造成岸电使用率低的原因主要有：</w:t>
      </w:r>
      <w:bookmarkStart w:id="1" w:name="_Hlk104414430"/>
      <w:r>
        <w:rPr>
          <w:rFonts w:ascii="仿宋" w:eastAsia="仿宋" w:hAnsi="仿宋" w:cs="仿宋" w:hint="eastAsia"/>
          <w:sz w:val="30"/>
        </w:rPr>
        <w:t>一是具备经检测合格的标准岸电受电设施的船舶极少，需大力推进船舶的岸电受电改造；</w:t>
      </w:r>
      <w:bookmarkEnd w:id="1"/>
      <w:r>
        <w:rPr>
          <w:rFonts w:ascii="仿宋" w:eastAsia="仿宋" w:hAnsi="仿宋" w:cs="仿宋" w:hint="eastAsia"/>
          <w:sz w:val="30"/>
        </w:rPr>
        <w:t>（二）具备经检测合格的标准岸电受电的设施的船舶公司对比厦门深圳港的岸电价格，诉求洋浦港岸电价格低于岸电供电企业成本价，双方无法达成统一价格，导致具备岸电受电的船舶靠港无法正常使用岸电，双方存在的差距需要政府予以补贴，培育岸电供需市场；（三）岸电设施操作流程复杂，船公司使用意愿不高；（四）目前无岸电使用监管政策，达不到要求具备岸电受电的船舶靠港超过3小时必须接岸电的效果。</w:t>
      </w:r>
    </w:p>
    <w:p w14:paraId="50F6C6AB" w14:textId="07EE6181" w:rsidR="001A315A" w:rsidRDefault="00F765A5">
      <w:pPr>
        <w:spacing w:line="560" w:lineRule="exact"/>
        <w:ind w:firstLineChars="200" w:firstLine="600"/>
        <w:rPr>
          <w:rFonts w:ascii="仿宋" w:eastAsia="仿宋" w:hAnsi="仿宋" w:cs="仿宋"/>
          <w:sz w:val="30"/>
        </w:rPr>
      </w:pPr>
      <w:r>
        <w:rPr>
          <w:rFonts w:ascii="仿宋" w:eastAsia="仿宋" w:hAnsi="仿宋" w:cs="仿宋" w:hint="eastAsia"/>
          <w:sz w:val="30"/>
        </w:rPr>
        <w:t>为此，根据《港口和船舶岸电管理办法》（交通运输部2021年第31号令）、《交通运输部 财政部 国家发展改革委 国家能源局 国家电网公司 南方电网公司关于进一步共同推进船舶靠港使用岸电工作的通知》（交水发﹝2019﹞14号）、《交通运输部关于协同推进沿海内贸干散货船舶靠港使用岸电常态化的函》（水运港口函﹝2021﹞297号）、《海南省人民政府办公厅关于印发&lt;促进洋浦区域国际集装箱枢纽港建设三年行动计划（2022-2024年）的通知&gt;》(琼府办函﹝2021﹞520号)等相关文件要求，为</w:t>
      </w:r>
      <w:r>
        <w:rPr>
          <w:rFonts w:ascii="仿宋" w:eastAsia="仿宋" w:hAnsi="仿宋" w:cs="仿宋" w:hint="eastAsia"/>
          <w:sz w:val="30"/>
        </w:rPr>
        <w:lastRenderedPageBreak/>
        <w:t>加快推进洋浦港港口船舶岸电设施标准化建设，持续提高港口船舶岸电使用率，积极推进港口绿色发展，争取到2024年实现具备条件的靠港船舶岸电使用率达到90%目标，结合港口企业和岸电服务企业申请，参考广州、深圳、厦门、上海等地岸电扶持政策，在制定洋浦</w:t>
      </w:r>
      <w:proofErr w:type="gramStart"/>
      <w:r>
        <w:rPr>
          <w:rFonts w:ascii="仿宋" w:eastAsia="仿宋" w:hAnsi="仿宋" w:cs="仿宋" w:hint="eastAsia"/>
          <w:sz w:val="30"/>
        </w:rPr>
        <w:t>港鼓励</w:t>
      </w:r>
      <w:proofErr w:type="gramEnd"/>
      <w:r>
        <w:rPr>
          <w:rFonts w:ascii="仿宋" w:eastAsia="仿宋" w:hAnsi="仿宋" w:cs="仿宋" w:hint="eastAsia"/>
          <w:sz w:val="30"/>
        </w:rPr>
        <w:t>靠泊船舶使用岸电扶持暂行办法</w:t>
      </w:r>
      <w:r w:rsidR="00141435">
        <w:rPr>
          <w:rFonts w:ascii="仿宋" w:eastAsia="仿宋" w:hAnsi="仿宋" w:cs="仿宋" w:hint="eastAsia"/>
          <w:sz w:val="30"/>
        </w:rPr>
        <w:t>激励岸电使用</w:t>
      </w:r>
      <w:r>
        <w:rPr>
          <w:rFonts w:ascii="仿宋" w:eastAsia="仿宋" w:hAnsi="仿宋" w:cs="仿宋" w:hint="eastAsia"/>
          <w:sz w:val="30"/>
        </w:rPr>
        <w:t>的同时，制定洋浦港港口和船舶岸电管理办法实施细则</w:t>
      </w:r>
      <w:r w:rsidR="00141435">
        <w:rPr>
          <w:rFonts w:ascii="仿宋" w:eastAsia="仿宋" w:hAnsi="仿宋" w:cs="仿宋" w:hint="eastAsia"/>
          <w:sz w:val="30"/>
        </w:rPr>
        <w:t>进行岸电使用监管</w:t>
      </w:r>
      <w:r>
        <w:rPr>
          <w:rFonts w:ascii="仿宋" w:eastAsia="仿宋" w:hAnsi="仿宋" w:cs="仿宋" w:hint="eastAsia"/>
          <w:sz w:val="30"/>
        </w:rPr>
        <w:t>是必要的。</w:t>
      </w:r>
    </w:p>
    <w:p w14:paraId="26306B2F" w14:textId="53E16F9F" w:rsidR="001A315A" w:rsidRPr="00FC1694" w:rsidRDefault="00F765A5">
      <w:pPr>
        <w:pStyle w:val="a3"/>
        <w:widowControl/>
        <w:ind w:firstLine="645"/>
        <w:rPr>
          <w:rFonts w:ascii="黑体" w:eastAsia="黑体" w:hAnsi="黑体" w:cs="STZhongsong"/>
          <w:sz w:val="30"/>
          <w:szCs w:val="30"/>
        </w:rPr>
      </w:pPr>
      <w:r w:rsidRPr="00FC1694">
        <w:rPr>
          <w:rFonts w:ascii="黑体" w:eastAsia="黑体" w:hAnsi="黑体" w:cs="STZhongsong" w:hint="eastAsia"/>
          <w:sz w:val="30"/>
          <w:szCs w:val="30"/>
        </w:rPr>
        <w:t>二、《实施细则》的主要内容</w:t>
      </w:r>
    </w:p>
    <w:p w14:paraId="0A8411EA" w14:textId="5E64057D" w:rsidR="00F60032" w:rsidRPr="00F60032" w:rsidRDefault="00F60032" w:rsidP="00F60032">
      <w:pPr>
        <w:spacing w:line="560" w:lineRule="exact"/>
        <w:ind w:firstLineChars="200" w:firstLine="600"/>
        <w:rPr>
          <w:rFonts w:ascii="仿宋" w:eastAsia="仿宋" w:hAnsi="仿宋" w:cs="仿宋"/>
          <w:sz w:val="30"/>
        </w:rPr>
      </w:pPr>
      <w:r w:rsidRPr="00F60032">
        <w:rPr>
          <w:rFonts w:ascii="仿宋" w:eastAsia="仿宋" w:hAnsi="仿宋" w:cs="仿宋" w:hint="eastAsia"/>
          <w:sz w:val="30"/>
        </w:rPr>
        <w:t>2019年12月，</w:t>
      </w:r>
      <w:r w:rsidR="00883772">
        <w:rPr>
          <w:rFonts w:ascii="仿宋" w:eastAsia="仿宋" w:hAnsi="仿宋" w:cs="仿宋" w:hint="eastAsia"/>
          <w:sz w:val="30"/>
        </w:rPr>
        <w:t>交通运输</w:t>
      </w:r>
      <w:r w:rsidRPr="00F60032">
        <w:rPr>
          <w:rFonts w:ascii="仿宋" w:eastAsia="仿宋" w:hAnsi="仿宋" w:cs="仿宋" w:hint="eastAsia"/>
          <w:sz w:val="30"/>
        </w:rPr>
        <w:t>部发布了《港口和船舶岸电管理办法》（2019年第45号令），首次以规章形式对岸电的建设和使用、服务和安全、监督检查等</w:t>
      </w:r>
      <w:proofErr w:type="gramStart"/>
      <w:r w:rsidRPr="00F60032">
        <w:rPr>
          <w:rFonts w:ascii="仿宋" w:eastAsia="仿宋" w:hAnsi="仿宋" w:cs="仿宋" w:hint="eastAsia"/>
          <w:sz w:val="30"/>
        </w:rPr>
        <w:t>作出</w:t>
      </w:r>
      <w:proofErr w:type="gramEnd"/>
      <w:r w:rsidRPr="00F60032">
        <w:rPr>
          <w:rFonts w:ascii="仿宋" w:eastAsia="仿宋" w:hAnsi="仿宋" w:cs="仿宋" w:hint="eastAsia"/>
          <w:sz w:val="30"/>
        </w:rPr>
        <w:t>了系统规定，对推进船舶靠港使用岸电发挥了重要作用。</w:t>
      </w:r>
      <w:r w:rsidR="00EC36A3">
        <w:rPr>
          <w:rFonts w:ascii="仿宋" w:eastAsia="仿宋" w:hAnsi="仿宋" w:cs="仿宋" w:hint="eastAsia"/>
          <w:sz w:val="30"/>
        </w:rPr>
        <w:t>本《实施细则》是在</w:t>
      </w:r>
      <w:r w:rsidR="00883772" w:rsidRPr="00883772">
        <w:rPr>
          <w:rFonts w:ascii="仿宋" w:eastAsia="仿宋" w:hAnsi="仿宋" w:cs="仿宋" w:hint="eastAsia"/>
          <w:sz w:val="30"/>
        </w:rPr>
        <w:t>2021年9月交通运输部颁布《交通运输部关于修改&lt;港口和船舶岸电管理办法&gt;的决定》（交通运输部令2021年第31号，以下简称《办法》）</w:t>
      </w:r>
      <w:r w:rsidR="00EC36A3">
        <w:rPr>
          <w:rFonts w:ascii="仿宋" w:eastAsia="仿宋" w:hAnsi="仿宋" w:cs="仿宋" w:hint="eastAsia"/>
          <w:sz w:val="30"/>
        </w:rPr>
        <w:t>的基础上，结合洋浦实际进行了细化。</w:t>
      </w:r>
      <w:r w:rsidR="00344B99">
        <w:rPr>
          <w:rFonts w:ascii="仿宋" w:eastAsia="仿宋" w:hAnsi="仿宋" w:cs="仿宋" w:hint="eastAsia"/>
          <w:sz w:val="30"/>
        </w:rPr>
        <w:t>《实施细则》共七部分2</w:t>
      </w:r>
      <w:r w:rsidR="00344B99">
        <w:rPr>
          <w:rFonts w:ascii="仿宋" w:eastAsia="仿宋" w:hAnsi="仿宋" w:cs="仿宋"/>
          <w:sz w:val="30"/>
        </w:rPr>
        <w:t>8</w:t>
      </w:r>
      <w:r w:rsidR="00344B99">
        <w:rPr>
          <w:rFonts w:ascii="仿宋" w:eastAsia="仿宋" w:hAnsi="仿宋" w:cs="仿宋" w:hint="eastAsia"/>
          <w:sz w:val="30"/>
        </w:rPr>
        <w:t>条，分别是</w:t>
      </w:r>
      <w:bookmarkStart w:id="2" w:name="_Hlk104496192"/>
      <w:r w:rsidR="00344B99" w:rsidRPr="00344B99">
        <w:rPr>
          <w:rFonts w:ascii="仿宋" w:eastAsia="仿宋" w:hAnsi="仿宋" w:cs="仿宋" w:hint="eastAsia"/>
          <w:sz w:val="30"/>
        </w:rPr>
        <w:t>持续推进港口岸电设施建设</w:t>
      </w:r>
      <w:bookmarkEnd w:id="2"/>
      <w:r w:rsidR="00344B99">
        <w:rPr>
          <w:rFonts w:ascii="仿宋" w:eastAsia="仿宋" w:hAnsi="仿宋" w:cs="仿宋" w:hint="eastAsia"/>
          <w:sz w:val="30"/>
        </w:rPr>
        <w:t>、</w:t>
      </w:r>
      <w:bookmarkStart w:id="3" w:name="_Hlk104496202"/>
      <w:r w:rsidR="00344B99" w:rsidRPr="00344B99">
        <w:rPr>
          <w:rFonts w:ascii="仿宋" w:eastAsia="仿宋" w:hAnsi="仿宋" w:cs="仿宋" w:hint="eastAsia"/>
          <w:sz w:val="30"/>
        </w:rPr>
        <w:t>加快推进船舶受电设施建造</w:t>
      </w:r>
      <w:bookmarkEnd w:id="3"/>
      <w:r w:rsidR="00344B99">
        <w:rPr>
          <w:rFonts w:ascii="仿宋" w:eastAsia="仿宋" w:hAnsi="仿宋" w:cs="仿宋" w:hint="eastAsia"/>
          <w:sz w:val="30"/>
        </w:rPr>
        <w:t>、</w:t>
      </w:r>
      <w:r w:rsidR="00344B99" w:rsidRPr="00344B99">
        <w:rPr>
          <w:rFonts w:ascii="仿宋" w:eastAsia="仿宋" w:hAnsi="仿宋" w:cs="仿宋" w:hint="eastAsia"/>
          <w:sz w:val="30"/>
        </w:rPr>
        <w:t>持续提高岸电使用率</w:t>
      </w:r>
      <w:r w:rsidR="00344B99">
        <w:rPr>
          <w:rFonts w:ascii="仿宋" w:eastAsia="仿宋" w:hAnsi="仿宋" w:cs="仿宋" w:hint="eastAsia"/>
          <w:sz w:val="30"/>
        </w:rPr>
        <w:t>、</w:t>
      </w:r>
      <w:bookmarkStart w:id="4" w:name="_Hlk104496224"/>
      <w:r w:rsidR="00344B99" w:rsidRPr="00344B99">
        <w:rPr>
          <w:rFonts w:ascii="仿宋" w:eastAsia="仿宋" w:hAnsi="仿宋" w:cs="仿宋" w:hint="eastAsia"/>
          <w:sz w:val="30"/>
        </w:rPr>
        <w:t>提升岸电服务能力</w:t>
      </w:r>
      <w:bookmarkEnd w:id="4"/>
      <w:r w:rsidR="00344B99">
        <w:rPr>
          <w:rFonts w:ascii="仿宋" w:eastAsia="仿宋" w:hAnsi="仿宋" w:cs="仿宋" w:hint="eastAsia"/>
          <w:sz w:val="30"/>
        </w:rPr>
        <w:t>、</w:t>
      </w:r>
      <w:r w:rsidR="00344B99" w:rsidRPr="00344B99">
        <w:rPr>
          <w:rFonts w:ascii="仿宋" w:eastAsia="仿宋" w:hAnsi="仿宋" w:cs="仿宋" w:hint="eastAsia"/>
          <w:sz w:val="30"/>
        </w:rPr>
        <w:t>保障供电安全</w:t>
      </w:r>
      <w:r w:rsidR="00344B99">
        <w:rPr>
          <w:rFonts w:ascii="仿宋" w:eastAsia="仿宋" w:hAnsi="仿宋" w:cs="仿宋" w:hint="eastAsia"/>
          <w:sz w:val="30"/>
        </w:rPr>
        <w:t>、</w:t>
      </w:r>
      <w:bookmarkStart w:id="5" w:name="_Hlk104496263"/>
      <w:r w:rsidR="00344B99" w:rsidRPr="00344B99">
        <w:rPr>
          <w:rFonts w:ascii="仿宋" w:eastAsia="仿宋" w:hAnsi="仿宋" w:cs="仿宋" w:hint="eastAsia"/>
          <w:sz w:val="30"/>
        </w:rPr>
        <w:t>加强监督管理</w:t>
      </w:r>
      <w:bookmarkEnd w:id="5"/>
      <w:r w:rsidR="00344B99">
        <w:rPr>
          <w:rFonts w:ascii="仿宋" w:eastAsia="仿宋" w:hAnsi="仿宋" w:cs="仿宋" w:hint="eastAsia"/>
          <w:sz w:val="30"/>
        </w:rPr>
        <w:t>、</w:t>
      </w:r>
      <w:r w:rsidR="00344B99" w:rsidRPr="00344B99">
        <w:rPr>
          <w:rFonts w:ascii="仿宋" w:eastAsia="仿宋" w:hAnsi="仿宋" w:cs="仿宋" w:hint="eastAsia"/>
          <w:sz w:val="30"/>
        </w:rPr>
        <w:t>附则</w:t>
      </w:r>
      <w:r w:rsidR="00344B99">
        <w:rPr>
          <w:rFonts w:ascii="仿宋" w:eastAsia="仿宋" w:hAnsi="仿宋" w:cs="仿宋" w:hint="eastAsia"/>
          <w:sz w:val="30"/>
        </w:rPr>
        <w:t>。</w:t>
      </w:r>
    </w:p>
    <w:p w14:paraId="2A8CB47B" w14:textId="66A2687A"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（一）</w:t>
      </w:r>
      <w:r w:rsidR="00344B99" w:rsidRPr="00344B99">
        <w:rPr>
          <w:rFonts w:ascii="黑体" w:eastAsia="黑体" w:hAnsi="黑体" w:cs="STZhongsong" w:hint="eastAsia"/>
          <w:sz w:val="30"/>
          <w:szCs w:val="30"/>
        </w:rPr>
        <w:t>持续推进港口岸电设施建设</w:t>
      </w:r>
    </w:p>
    <w:p w14:paraId="72F49451" w14:textId="16BAF649" w:rsidR="001A315A" w:rsidRDefault="00364CA1">
      <w:pPr>
        <w:spacing w:line="560" w:lineRule="exact"/>
        <w:ind w:firstLineChars="200" w:firstLine="600"/>
        <w:rPr>
          <w:rFonts w:ascii="仿宋" w:eastAsia="仿宋" w:hAnsi="仿宋" w:cs="仿宋"/>
          <w:sz w:val="30"/>
        </w:rPr>
      </w:pPr>
      <w:r>
        <w:rPr>
          <w:rFonts w:ascii="仿宋" w:eastAsia="仿宋" w:hAnsi="仿宋" w:cs="仿宋" w:hint="eastAsia"/>
          <w:sz w:val="30"/>
        </w:rPr>
        <w:t>本部</w:t>
      </w:r>
      <w:proofErr w:type="gramStart"/>
      <w:r>
        <w:rPr>
          <w:rFonts w:ascii="仿宋" w:eastAsia="仿宋" w:hAnsi="仿宋" w:cs="仿宋" w:hint="eastAsia"/>
          <w:sz w:val="30"/>
        </w:rPr>
        <w:t>分</w:t>
      </w:r>
      <w:r w:rsidR="002875D3">
        <w:rPr>
          <w:rFonts w:ascii="仿宋" w:eastAsia="仿宋" w:hAnsi="仿宋" w:cs="仿宋" w:hint="eastAsia"/>
          <w:sz w:val="30"/>
        </w:rPr>
        <w:t>要求</w:t>
      </w:r>
      <w:proofErr w:type="gramEnd"/>
      <w:r w:rsidRPr="00364CA1">
        <w:rPr>
          <w:rFonts w:ascii="仿宋" w:eastAsia="仿宋" w:hAnsi="仿宋" w:cs="仿宋" w:hint="eastAsia"/>
          <w:sz w:val="30"/>
        </w:rPr>
        <w:t>新建、改建、扩建的码头工程（油气化工码头除外）应当按照法律法规和强制性标准要求，同步开展岸电设施建设。对已建码头（油气化工码头除外）港口经营人要在已经完成的岸电设施基础上，适时开展分析后评估，并根据评估情况加装完善配套岸电设施，确保岸电设施建成后发挥环保效益。以持续</w:t>
      </w:r>
      <w:r w:rsidRPr="00364CA1">
        <w:rPr>
          <w:rFonts w:ascii="仿宋" w:eastAsia="仿宋" w:hAnsi="仿宋" w:cs="仿宋" w:hint="eastAsia"/>
          <w:sz w:val="30"/>
        </w:rPr>
        <w:lastRenderedPageBreak/>
        <w:t>保持洋浦港码头泊位（油气化工码头除外）岸电设施全覆盖。</w:t>
      </w:r>
    </w:p>
    <w:p w14:paraId="2BEAEC20" w14:textId="3C919EBC"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（二）</w:t>
      </w:r>
      <w:r w:rsidR="00344B99" w:rsidRPr="00344B99">
        <w:rPr>
          <w:rFonts w:ascii="黑体" w:eastAsia="黑体" w:hAnsi="黑体" w:cs="STZhongsong" w:hint="eastAsia"/>
          <w:sz w:val="30"/>
          <w:szCs w:val="30"/>
        </w:rPr>
        <w:t>加快推进船舶受电设施建造</w:t>
      </w:r>
    </w:p>
    <w:p w14:paraId="6E715579" w14:textId="3D57F713" w:rsidR="001A315A" w:rsidRDefault="001C2CD9">
      <w:pPr>
        <w:spacing w:line="560" w:lineRule="exact"/>
        <w:ind w:firstLineChars="200" w:firstLine="600"/>
        <w:rPr>
          <w:rFonts w:ascii="仿宋" w:eastAsia="仿宋" w:hAnsi="仿宋" w:cs="仿宋"/>
          <w:sz w:val="30"/>
        </w:rPr>
      </w:pPr>
      <w:r>
        <w:rPr>
          <w:rFonts w:ascii="仿宋" w:eastAsia="仿宋" w:hAnsi="仿宋" w:cs="仿宋" w:hint="eastAsia"/>
          <w:sz w:val="30"/>
        </w:rPr>
        <w:t>本部</w:t>
      </w:r>
      <w:proofErr w:type="gramStart"/>
      <w:r>
        <w:rPr>
          <w:rFonts w:ascii="仿宋" w:eastAsia="仿宋" w:hAnsi="仿宋" w:cs="仿宋" w:hint="eastAsia"/>
          <w:sz w:val="30"/>
        </w:rPr>
        <w:t>分按照</w:t>
      </w:r>
      <w:proofErr w:type="gramEnd"/>
      <w:r>
        <w:rPr>
          <w:rFonts w:ascii="仿宋" w:eastAsia="仿宋" w:hAnsi="仿宋" w:cs="仿宋" w:hint="eastAsia"/>
          <w:sz w:val="30"/>
        </w:rPr>
        <w:t>交通运输部《船舶大气污染物排放区实施》要求</w:t>
      </w:r>
      <w:r w:rsidR="00F765A5">
        <w:rPr>
          <w:rFonts w:ascii="仿宋" w:eastAsia="仿宋" w:hAnsi="仿宋" w:cs="仿宋" w:hint="eastAsia"/>
          <w:sz w:val="30"/>
        </w:rPr>
        <w:t>，</w:t>
      </w:r>
      <w:r>
        <w:rPr>
          <w:rFonts w:ascii="仿宋" w:eastAsia="仿宋" w:hAnsi="仿宋" w:cs="仿宋" w:hint="eastAsia"/>
          <w:sz w:val="30"/>
        </w:rPr>
        <w:t>分别明确了</w:t>
      </w:r>
      <w:r w:rsidRPr="00E8737F">
        <w:rPr>
          <w:rFonts w:ascii="仿宋" w:eastAsia="仿宋" w:hAnsi="仿宋" w:hint="eastAsia"/>
          <w:sz w:val="32"/>
          <w:szCs w:val="32"/>
        </w:rPr>
        <w:t>推进新建船舶配建受电设施</w:t>
      </w:r>
      <w:r>
        <w:rPr>
          <w:rFonts w:ascii="仿宋" w:eastAsia="仿宋" w:hAnsi="仿宋" w:hint="eastAsia"/>
          <w:sz w:val="32"/>
          <w:szCs w:val="32"/>
        </w:rPr>
        <w:t>、</w:t>
      </w:r>
      <w:r w:rsidRPr="004612DF">
        <w:rPr>
          <w:rFonts w:ascii="仿宋" w:eastAsia="仿宋" w:hAnsi="仿宋" w:hint="eastAsia"/>
          <w:sz w:val="32"/>
          <w:szCs w:val="32"/>
        </w:rPr>
        <w:t>加快现有船舶受电设施改造</w:t>
      </w:r>
      <w:r>
        <w:rPr>
          <w:rFonts w:ascii="仿宋" w:eastAsia="仿宋" w:hAnsi="仿宋" w:hint="eastAsia"/>
          <w:sz w:val="32"/>
          <w:szCs w:val="32"/>
        </w:rPr>
        <w:t>的具体要求。</w:t>
      </w:r>
    </w:p>
    <w:p w14:paraId="0CE8F899" w14:textId="430D4181"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（三）</w:t>
      </w:r>
      <w:r w:rsidR="00344B99" w:rsidRPr="00344B99">
        <w:rPr>
          <w:rFonts w:ascii="黑体" w:eastAsia="黑体" w:hAnsi="黑体" w:cs="STZhongsong" w:hint="eastAsia"/>
          <w:sz w:val="30"/>
          <w:szCs w:val="30"/>
        </w:rPr>
        <w:t>持续提高岸电使用率</w:t>
      </w:r>
    </w:p>
    <w:p w14:paraId="3B764915" w14:textId="6E2D3FA4" w:rsidR="0074075C" w:rsidRPr="0074075C" w:rsidRDefault="00894140">
      <w:pPr>
        <w:spacing w:line="560" w:lineRule="exact"/>
        <w:ind w:firstLineChars="200" w:firstLine="600"/>
        <w:rPr>
          <w:rFonts w:ascii="仿宋" w:eastAsia="仿宋" w:hAnsi="仿宋" w:cs="仿宋"/>
          <w:sz w:val="30"/>
        </w:rPr>
      </w:pPr>
      <w:proofErr w:type="gramStart"/>
      <w:r>
        <w:rPr>
          <w:rFonts w:ascii="仿宋" w:eastAsia="仿宋" w:hAnsi="仿宋" w:cs="仿宋" w:hint="eastAsia"/>
          <w:sz w:val="30"/>
        </w:rPr>
        <w:t>本部分对</w:t>
      </w:r>
      <w:r w:rsidR="008D3894">
        <w:rPr>
          <w:rFonts w:ascii="仿宋" w:eastAsia="仿宋" w:hAnsi="仿宋" w:cs="仿宋" w:hint="eastAsia"/>
          <w:sz w:val="30"/>
        </w:rPr>
        <w:t>船舶</w:t>
      </w:r>
      <w:proofErr w:type="gramEnd"/>
      <w:r w:rsidR="008D3894">
        <w:rPr>
          <w:rFonts w:ascii="仿宋" w:eastAsia="仿宋" w:hAnsi="仿宋" w:cs="仿宋" w:hint="eastAsia"/>
          <w:sz w:val="30"/>
        </w:rPr>
        <w:t>应当使用岸电的情形、港口经营人提供岸电的要求、特殊情况的岸电使用要求进行了明确。同时鼓励</w:t>
      </w:r>
      <w:r w:rsidR="008D3894" w:rsidRPr="008D3894">
        <w:rPr>
          <w:rFonts w:ascii="仿宋" w:eastAsia="仿宋" w:hAnsi="仿宋" w:cs="仿宋" w:hint="eastAsia"/>
          <w:sz w:val="30"/>
        </w:rPr>
        <w:t>制定岸电使用计划</w:t>
      </w:r>
      <w:r w:rsidR="008D3894">
        <w:rPr>
          <w:rFonts w:ascii="仿宋" w:eastAsia="仿宋" w:hAnsi="仿宋" w:cs="仿宋" w:hint="eastAsia"/>
          <w:sz w:val="30"/>
        </w:rPr>
        <w:t>、</w:t>
      </w:r>
      <w:r w:rsidR="008D3894" w:rsidRPr="008D3894">
        <w:rPr>
          <w:rFonts w:ascii="仿宋" w:eastAsia="仿宋" w:hAnsi="仿宋" w:cs="仿宋" w:hint="eastAsia"/>
          <w:sz w:val="30"/>
        </w:rPr>
        <w:t>鼓励港口经营人为使用岸电船舶</w:t>
      </w:r>
      <w:proofErr w:type="gramStart"/>
      <w:r w:rsidR="008D3894" w:rsidRPr="008D3894">
        <w:rPr>
          <w:rFonts w:ascii="仿宋" w:eastAsia="仿宋" w:hAnsi="仿宋" w:cs="仿宋" w:hint="eastAsia"/>
          <w:sz w:val="30"/>
        </w:rPr>
        <w:t>提供靠</w:t>
      </w:r>
      <w:proofErr w:type="gramEnd"/>
      <w:r w:rsidR="008D3894" w:rsidRPr="008D3894">
        <w:rPr>
          <w:rFonts w:ascii="仿宋" w:eastAsia="仿宋" w:hAnsi="仿宋" w:cs="仿宋" w:hint="eastAsia"/>
          <w:sz w:val="30"/>
        </w:rPr>
        <w:t>离泊便利和费用结算优惠</w:t>
      </w:r>
      <w:r w:rsidR="008D3894">
        <w:rPr>
          <w:rFonts w:ascii="仿宋" w:eastAsia="仿宋" w:hAnsi="仿宋" w:cs="仿宋" w:hint="eastAsia"/>
          <w:sz w:val="30"/>
        </w:rPr>
        <w:t>、</w:t>
      </w:r>
      <w:r w:rsidR="008D3894" w:rsidRPr="00045AAC">
        <w:rPr>
          <w:rFonts w:ascii="仿宋" w:eastAsia="仿宋" w:hAnsi="仿宋" w:hint="eastAsia"/>
          <w:sz w:val="32"/>
          <w:szCs w:val="32"/>
        </w:rPr>
        <w:t>鼓励</w:t>
      </w:r>
      <w:r w:rsidR="008D3894">
        <w:rPr>
          <w:rFonts w:ascii="仿宋" w:eastAsia="仿宋" w:hAnsi="仿宋" w:hint="eastAsia"/>
          <w:sz w:val="32"/>
          <w:szCs w:val="32"/>
        </w:rPr>
        <w:t>港口</w:t>
      </w:r>
      <w:r w:rsidR="008D3894" w:rsidRPr="00045AAC">
        <w:rPr>
          <w:rFonts w:ascii="仿宋" w:eastAsia="仿宋" w:hAnsi="仿宋" w:hint="eastAsia"/>
          <w:sz w:val="32"/>
          <w:szCs w:val="32"/>
        </w:rPr>
        <w:t>航运企业加入《</w:t>
      </w:r>
      <w:r w:rsidR="008D3894">
        <w:rPr>
          <w:rFonts w:ascii="仿宋" w:eastAsia="仿宋" w:hAnsi="仿宋" w:hint="eastAsia"/>
          <w:sz w:val="32"/>
          <w:szCs w:val="32"/>
        </w:rPr>
        <w:t>洋浦</w:t>
      </w:r>
      <w:r w:rsidR="008D3894" w:rsidRPr="00045AAC">
        <w:rPr>
          <w:rFonts w:ascii="仿宋" w:eastAsia="仿宋" w:hAnsi="仿宋" w:hint="eastAsia"/>
          <w:sz w:val="32"/>
          <w:szCs w:val="32"/>
        </w:rPr>
        <w:t>港绿色公约》</w:t>
      </w:r>
      <w:r w:rsidR="008D3894">
        <w:rPr>
          <w:rFonts w:ascii="仿宋" w:eastAsia="仿宋" w:hAnsi="仿宋" w:hint="eastAsia"/>
          <w:sz w:val="32"/>
          <w:szCs w:val="32"/>
        </w:rPr>
        <w:t>等各项</w:t>
      </w:r>
      <w:r w:rsidR="008D3894" w:rsidRPr="008D3894">
        <w:rPr>
          <w:rFonts w:ascii="仿宋" w:eastAsia="仿宋" w:hAnsi="仿宋" w:hint="eastAsia"/>
          <w:sz w:val="32"/>
          <w:szCs w:val="32"/>
        </w:rPr>
        <w:t>提高岸电使用率</w:t>
      </w:r>
      <w:r w:rsidR="008D3894">
        <w:rPr>
          <w:rFonts w:ascii="仿宋" w:eastAsia="仿宋" w:hAnsi="仿宋" w:hint="eastAsia"/>
          <w:sz w:val="32"/>
          <w:szCs w:val="32"/>
        </w:rPr>
        <w:t>措施</w:t>
      </w:r>
      <w:r w:rsidR="008D3894" w:rsidRPr="00045AAC">
        <w:rPr>
          <w:rFonts w:ascii="仿宋" w:eastAsia="仿宋" w:hAnsi="仿宋" w:hint="eastAsia"/>
          <w:sz w:val="32"/>
          <w:szCs w:val="32"/>
        </w:rPr>
        <w:t>。</w:t>
      </w:r>
    </w:p>
    <w:p w14:paraId="2B35B2C4" w14:textId="4E3AD67D"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（四）</w:t>
      </w:r>
      <w:r w:rsidR="00344B99" w:rsidRPr="00344B99">
        <w:rPr>
          <w:rFonts w:ascii="黑体" w:eastAsia="黑体" w:hAnsi="黑体" w:cs="STZhongsong" w:hint="eastAsia"/>
          <w:sz w:val="30"/>
          <w:szCs w:val="30"/>
        </w:rPr>
        <w:t>提升岸电服务能力</w:t>
      </w:r>
    </w:p>
    <w:p w14:paraId="65345227" w14:textId="7C19F362" w:rsidR="0098144F" w:rsidRDefault="00080C75" w:rsidP="00080C75">
      <w:pPr>
        <w:spacing w:line="560" w:lineRule="exact"/>
        <w:ind w:firstLineChars="200" w:firstLine="600"/>
        <w:rPr>
          <w:rFonts w:ascii="仿宋" w:eastAsia="仿宋" w:hAnsi="仿宋" w:cs="仿宋"/>
          <w:sz w:val="30"/>
        </w:rPr>
      </w:pPr>
      <w:r>
        <w:rPr>
          <w:rFonts w:ascii="仿宋" w:eastAsia="仿宋" w:hAnsi="仿宋" w:cs="仿宋" w:hint="eastAsia"/>
          <w:sz w:val="30"/>
        </w:rPr>
        <w:t>本部</w:t>
      </w:r>
      <w:proofErr w:type="gramStart"/>
      <w:r>
        <w:rPr>
          <w:rFonts w:ascii="仿宋" w:eastAsia="仿宋" w:hAnsi="仿宋" w:cs="仿宋" w:hint="eastAsia"/>
          <w:sz w:val="30"/>
        </w:rPr>
        <w:t>分</w:t>
      </w:r>
      <w:r w:rsidR="00773487" w:rsidRPr="00773487">
        <w:rPr>
          <w:rFonts w:ascii="仿宋" w:eastAsia="仿宋" w:hAnsi="仿宋" w:cs="仿宋" w:hint="eastAsia"/>
          <w:sz w:val="30"/>
        </w:rPr>
        <w:t>明确</w:t>
      </w:r>
      <w:proofErr w:type="gramEnd"/>
      <w:r w:rsidR="00773487" w:rsidRPr="00773487">
        <w:rPr>
          <w:rFonts w:ascii="仿宋" w:eastAsia="仿宋" w:hAnsi="仿宋" w:cs="仿宋" w:hint="eastAsia"/>
          <w:sz w:val="30"/>
        </w:rPr>
        <w:t>了</w:t>
      </w:r>
      <w:r w:rsidR="00622783" w:rsidRPr="00622783">
        <w:rPr>
          <w:rFonts w:ascii="仿宋" w:eastAsia="仿宋" w:hAnsi="仿宋" w:cs="仿宋" w:hint="eastAsia"/>
          <w:sz w:val="30"/>
        </w:rPr>
        <w:t>港口经营人、岸电供电企业</w:t>
      </w:r>
      <w:r w:rsidR="00622783">
        <w:rPr>
          <w:rFonts w:ascii="仿宋" w:eastAsia="仿宋" w:hAnsi="仿宋" w:cs="仿宋" w:hint="eastAsia"/>
          <w:sz w:val="30"/>
        </w:rPr>
        <w:t>、到港船舶</w:t>
      </w:r>
      <w:r w:rsidR="00773487" w:rsidRPr="00773487">
        <w:rPr>
          <w:rFonts w:ascii="仿宋" w:eastAsia="仿宋" w:hAnsi="仿宋" w:cs="仿宋" w:hint="eastAsia"/>
          <w:sz w:val="30"/>
        </w:rPr>
        <w:t>岸电设施</w:t>
      </w:r>
      <w:r w:rsidR="00622783">
        <w:rPr>
          <w:rFonts w:ascii="仿宋" w:eastAsia="仿宋" w:hAnsi="仿宋" w:cs="仿宋" w:hint="eastAsia"/>
          <w:sz w:val="30"/>
        </w:rPr>
        <w:t>信息公开和报送</w:t>
      </w:r>
      <w:r w:rsidR="00773487" w:rsidRPr="00773487">
        <w:rPr>
          <w:rFonts w:ascii="仿宋" w:eastAsia="仿宋" w:hAnsi="仿宋" w:cs="仿宋" w:hint="eastAsia"/>
          <w:sz w:val="30"/>
        </w:rPr>
        <w:t>制度</w:t>
      </w:r>
      <w:r w:rsidR="00622783">
        <w:rPr>
          <w:rFonts w:ascii="仿宋" w:eastAsia="仿宋" w:hAnsi="仿宋" w:cs="仿宋" w:hint="eastAsia"/>
          <w:sz w:val="30"/>
        </w:rPr>
        <w:t>；</w:t>
      </w:r>
      <w:r w:rsidR="00622783" w:rsidRPr="00622783">
        <w:rPr>
          <w:rFonts w:ascii="仿宋" w:eastAsia="仿宋" w:hAnsi="仿宋" w:cs="仿宋" w:hint="eastAsia"/>
          <w:sz w:val="30"/>
        </w:rPr>
        <w:t>岸电供电企业</w:t>
      </w:r>
      <w:r w:rsidR="00622783">
        <w:rPr>
          <w:rFonts w:ascii="仿宋" w:eastAsia="仿宋" w:hAnsi="仿宋" w:cs="仿宋" w:hint="eastAsia"/>
          <w:sz w:val="30"/>
        </w:rPr>
        <w:t>、</w:t>
      </w:r>
      <w:r w:rsidR="00622783" w:rsidRPr="00622783">
        <w:rPr>
          <w:rFonts w:ascii="仿宋" w:eastAsia="仿宋" w:hAnsi="仿宋" w:cs="仿宋" w:hint="eastAsia"/>
          <w:sz w:val="30"/>
        </w:rPr>
        <w:t>船舶建立岸电设施设备使用情况台</w:t>
      </w:r>
      <w:proofErr w:type="gramStart"/>
      <w:r w:rsidR="00622783" w:rsidRPr="00622783">
        <w:rPr>
          <w:rFonts w:ascii="仿宋" w:eastAsia="仿宋" w:hAnsi="仿宋" w:cs="仿宋" w:hint="eastAsia"/>
          <w:sz w:val="30"/>
        </w:rPr>
        <w:t>账记录</w:t>
      </w:r>
      <w:proofErr w:type="gramEnd"/>
      <w:r w:rsidR="00622783">
        <w:rPr>
          <w:rFonts w:ascii="仿宋" w:eastAsia="仿宋" w:hAnsi="仿宋" w:cs="仿宋" w:hint="eastAsia"/>
          <w:sz w:val="30"/>
        </w:rPr>
        <w:t>制度；</w:t>
      </w:r>
      <w:r w:rsidR="0098144F" w:rsidRPr="0098144F">
        <w:rPr>
          <w:rFonts w:ascii="仿宋" w:eastAsia="仿宋" w:hAnsi="仿宋" w:cs="仿宋" w:hint="eastAsia"/>
          <w:sz w:val="30"/>
        </w:rPr>
        <w:t>港口管理部门定期向社会公开洋浦港岸电设施信息</w:t>
      </w:r>
      <w:r w:rsidR="0098144F">
        <w:rPr>
          <w:rFonts w:ascii="仿宋" w:eastAsia="仿宋" w:hAnsi="仿宋" w:cs="仿宋" w:hint="eastAsia"/>
          <w:sz w:val="30"/>
        </w:rPr>
        <w:t>制度；</w:t>
      </w:r>
      <w:r w:rsidR="0098144F" w:rsidRPr="0098144F">
        <w:rPr>
          <w:rFonts w:ascii="仿宋" w:eastAsia="仿宋" w:hAnsi="仿宋" w:cs="仿宋" w:hint="eastAsia"/>
          <w:sz w:val="30"/>
        </w:rPr>
        <w:t>对签署《洋浦港绿色公约》</w:t>
      </w:r>
      <w:r w:rsidR="0098144F">
        <w:rPr>
          <w:rFonts w:ascii="仿宋" w:eastAsia="仿宋" w:hAnsi="仿宋" w:cs="仿宋" w:hint="eastAsia"/>
          <w:sz w:val="30"/>
        </w:rPr>
        <w:t>并履行船舶靠港优先制度等</w:t>
      </w:r>
      <w:r w:rsidR="0074075C" w:rsidRPr="0074075C">
        <w:rPr>
          <w:rFonts w:ascii="仿宋" w:eastAsia="仿宋" w:hAnsi="仿宋" w:cs="仿宋" w:hint="eastAsia"/>
          <w:sz w:val="30"/>
        </w:rPr>
        <w:t>提升岸电服务能力</w:t>
      </w:r>
      <w:r w:rsidR="0074075C">
        <w:rPr>
          <w:rFonts w:ascii="仿宋" w:eastAsia="仿宋" w:hAnsi="仿宋" w:cs="仿宋" w:hint="eastAsia"/>
          <w:sz w:val="30"/>
        </w:rPr>
        <w:t>措施</w:t>
      </w:r>
      <w:r w:rsidR="0098144F">
        <w:rPr>
          <w:rFonts w:ascii="仿宋" w:eastAsia="仿宋" w:hAnsi="仿宋" w:cs="仿宋" w:hint="eastAsia"/>
          <w:sz w:val="30"/>
        </w:rPr>
        <w:t>。</w:t>
      </w:r>
    </w:p>
    <w:p w14:paraId="185AA920" w14:textId="0DCFFC79"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（五）</w:t>
      </w:r>
      <w:r w:rsidR="00344B99" w:rsidRPr="00344B99">
        <w:rPr>
          <w:rFonts w:ascii="黑体" w:eastAsia="黑体" w:hAnsi="黑体" w:cs="STZhongsong" w:hint="eastAsia"/>
          <w:sz w:val="30"/>
          <w:szCs w:val="30"/>
        </w:rPr>
        <w:t>保障供电安全</w:t>
      </w:r>
    </w:p>
    <w:p w14:paraId="6916F8EE" w14:textId="56B8E257" w:rsidR="001A315A" w:rsidRDefault="00790A49">
      <w:pPr>
        <w:spacing w:line="560" w:lineRule="exact"/>
        <w:ind w:firstLineChars="200" w:firstLine="600"/>
        <w:rPr>
          <w:rFonts w:ascii="仿宋" w:eastAsia="仿宋" w:hAnsi="仿宋" w:cs="仿宋"/>
          <w:sz w:val="30"/>
        </w:rPr>
      </w:pPr>
      <w:proofErr w:type="gramStart"/>
      <w:r>
        <w:rPr>
          <w:rFonts w:ascii="仿宋" w:eastAsia="仿宋" w:hAnsi="仿宋" w:cs="仿宋" w:hint="eastAsia"/>
          <w:sz w:val="30"/>
        </w:rPr>
        <w:t>本部分对</w:t>
      </w:r>
      <w:r w:rsidRPr="00790A49">
        <w:rPr>
          <w:rFonts w:ascii="仿宋" w:eastAsia="仿宋" w:hAnsi="仿宋" w:cs="仿宋" w:hint="eastAsia"/>
          <w:sz w:val="30"/>
        </w:rPr>
        <w:t>岸电</w:t>
      </w:r>
      <w:proofErr w:type="gramEnd"/>
      <w:r w:rsidRPr="00790A49">
        <w:rPr>
          <w:rFonts w:ascii="仿宋" w:eastAsia="仿宋" w:hAnsi="仿宋" w:cs="仿宋" w:hint="eastAsia"/>
          <w:sz w:val="30"/>
        </w:rPr>
        <w:t>供电企业和水路运输经营者应当建立健全码头岸电设施、船舶受电设施的管理、使用、维护保养制度和操作规程</w:t>
      </w:r>
      <w:r>
        <w:rPr>
          <w:rFonts w:ascii="仿宋" w:eastAsia="仿宋" w:hAnsi="仿宋" w:cs="仿宋" w:hint="eastAsia"/>
          <w:sz w:val="30"/>
        </w:rPr>
        <w:t>，应急预案、设置岸电安全管理机构或</w:t>
      </w:r>
      <w:r w:rsidR="00080C75">
        <w:rPr>
          <w:rFonts w:ascii="仿宋" w:eastAsia="仿宋" w:hAnsi="仿宋" w:cs="仿宋" w:hint="eastAsia"/>
          <w:sz w:val="30"/>
        </w:rPr>
        <w:t>配备专职管理人员、明确安全责任等供电安全措施</w:t>
      </w:r>
      <w:proofErr w:type="gramStart"/>
      <w:r w:rsidR="00080C75">
        <w:rPr>
          <w:rFonts w:ascii="仿宋" w:eastAsia="仿宋" w:hAnsi="仿宋" w:cs="仿宋" w:hint="eastAsia"/>
          <w:sz w:val="30"/>
        </w:rPr>
        <w:t>作出</w:t>
      </w:r>
      <w:proofErr w:type="gramEnd"/>
      <w:r w:rsidR="00080C75">
        <w:rPr>
          <w:rFonts w:ascii="仿宋" w:eastAsia="仿宋" w:hAnsi="仿宋" w:cs="仿宋" w:hint="eastAsia"/>
          <w:sz w:val="30"/>
        </w:rPr>
        <w:t>了要求。</w:t>
      </w:r>
    </w:p>
    <w:p w14:paraId="3158A72A" w14:textId="4DE1D403" w:rsidR="001A315A" w:rsidRDefault="00F765A5">
      <w:pPr>
        <w:pStyle w:val="a3"/>
        <w:widowControl/>
        <w:ind w:firstLine="645"/>
        <w:rPr>
          <w:rFonts w:ascii="黑体" w:eastAsia="黑体" w:hAnsi="黑体" w:cs="STZhongsong"/>
          <w:sz w:val="30"/>
          <w:szCs w:val="30"/>
        </w:rPr>
      </w:pPr>
      <w:r>
        <w:rPr>
          <w:rFonts w:ascii="黑体" w:eastAsia="黑体" w:hAnsi="黑体" w:cs="STZhongsong" w:hint="eastAsia"/>
          <w:sz w:val="30"/>
          <w:szCs w:val="30"/>
        </w:rPr>
        <w:t>（六）</w:t>
      </w:r>
      <w:r w:rsidR="00344B99" w:rsidRPr="00344B99">
        <w:rPr>
          <w:rFonts w:ascii="黑体" w:eastAsia="黑体" w:hAnsi="黑体" w:cs="STZhongsong" w:hint="eastAsia"/>
          <w:sz w:val="30"/>
          <w:szCs w:val="30"/>
        </w:rPr>
        <w:t>加强监督管理</w:t>
      </w:r>
    </w:p>
    <w:p w14:paraId="17DFA13E" w14:textId="137D090E" w:rsidR="007E1027" w:rsidRDefault="003F58D9" w:rsidP="007E1027">
      <w:pPr>
        <w:spacing w:line="560" w:lineRule="exact"/>
        <w:ind w:firstLineChars="200" w:firstLine="600"/>
        <w:rPr>
          <w:rFonts w:ascii="仿宋" w:eastAsia="仿宋" w:hAnsi="仿宋" w:cs="仿宋"/>
          <w:sz w:val="30"/>
        </w:rPr>
      </w:pPr>
      <w:r>
        <w:rPr>
          <w:rFonts w:ascii="仿宋" w:eastAsia="仿宋" w:hAnsi="仿宋" w:cs="仿宋" w:hint="eastAsia"/>
          <w:sz w:val="30"/>
        </w:rPr>
        <w:t>本部</w:t>
      </w:r>
      <w:proofErr w:type="gramStart"/>
      <w:r>
        <w:rPr>
          <w:rFonts w:ascii="仿宋" w:eastAsia="仿宋" w:hAnsi="仿宋" w:cs="仿宋" w:hint="eastAsia"/>
          <w:sz w:val="30"/>
        </w:rPr>
        <w:t>分</w:t>
      </w:r>
      <w:r w:rsidR="007E1027">
        <w:rPr>
          <w:rFonts w:ascii="仿宋" w:eastAsia="仿宋" w:hAnsi="仿宋" w:cs="仿宋" w:hint="eastAsia"/>
          <w:sz w:val="30"/>
        </w:rPr>
        <w:t>明确</w:t>
      </w:r>
      <w:proofErr w:type="gramEnd"/>
      <w:r w:rsidR="007E1027">
        <w:rPr>
          <w:rFonts w:ascii="仿宋" w:eastAsia="仿宋" w:hAnsi="仿宋" w:cs="仿宋" w:hint="eastAsia"/>
          <w:sz w:val="30"/>
        </w:rPr>
        <w:t>了</w:t>
      </w:r>
      <w:r w:rsidR="00773487">
        <w:rPr>
          <w:rFonts w:ascii="仿宋" w:eastAsia="仿宋" w:hAnsi="仿宋" w:cs="仿宋" w:hint="eastAsia"/>
          <w:sz w:val="30"/>
        </w:rPr>
        <w:t>海事、港口管理部门监管职责划分以及</w:t>
      </w:r>
      <w:r w:rsidR="007E1027" w:rsidRPr="007E1027">
        <w:rPr>
          <w:rFonts w:ascii="仿宋" w:eastAsia="仿宋" w:hAnsi="仿宋" w:cs="仿宋" w:hint="eastAsia"/>
          <w:sz w:val="30"/>
        </w:rPr>
        <w:t>岸电使</w:t>
      </w:r>
      <w:r w:rsidR="007E1027" w:rsidRPr="007E1027">
        <w:rPr>
          <w:rFonts w:ascii="仿宋" w:eastAsia="仿宋" w:hAnsi="仿宋" w:cs="仿宋" w:hint="eastAsia"/>
          <w:sz w:val="30"/>
        </w:rPr>
        <w:lastRenderedPageBreak/>
        <w:t>用船岸报告制度。为强化港口、船舶使用岸电的协同与配合，增加了船舶和港口经营人对对方不按规定提供岸电服务、使用岸电的情形，应当分别向有关管理部门报告的制度。</w:t>
      </w:r>
      <w:r w:rsidR="00DC05CE">
        <w:rPr>
          <w:rFonts w:ascii="仿宋" w:eastAsia="仿宋" w:hAnsi="仿宋" w:cs="仿宋" w:hint="eastAsia"/>
          <w:sz w:val="30"/>
        </w:rPr>
        <w:t>同时还明确了</w:t>
      </w:r>
      <w:r w:rsidR="00DC05CE" w:rsidRPr="00DC05CE">
        <w:rPr>
          <w:rFonts w:ascii="仿宋" w:eastAsia="仿宋" w:hAnsi="仿宋" w:cs="仿宋" w:hint="eastAsia"/>
          <w:sz w:val="30"/>
        </w:rPr>
        <w:t>海事、港口管理部门定期开展联合监管执法</w:t>
      </w:r>
      <w:r w:rsidR="00DC05CE">
        <w:rPr>
          <w:rFonts w:ascii="仿宋" w:eastAsia="仿宋" w:hAnsi="仿宋" w:cs="仿宋" w:hint="eastAsia"/>
          <w:sz w:val="30"/>
        </w:rPr>
        <w:t>，对</w:t>
      </w:r>
      <w:r w:rsidR="00DC05CE" w:rsidRPr="00DC05CE">
        <w:rPr>
          <w:rFonts w:ascii="仿宋" w:eastAsia="仿宋" w:hAnsi="仿宋" w:cs="仿宋" w:hint="eastAsia"/>
          <w:sz w:val="30"/>
        </w:rPr>
        <w:t>港口和船舶岸电存在问题，督促企业、船舶限期整改落实</w:t>
      </w:r>
      <w:r w:rsidR="00DC05CE">
        <w:rPr>
          <w:rFonts w:ascii="仿宋" w:eastAsia="仿宋" w:hAnsi="仿宋" w:cs="仿宋" w:hint="eastAsia"/>
          <w:sz w:val="30"/>
        </w:rPr>
        <w:t>制度</w:t>
      </w:r>
      <w:r w:rsidR="00DC05CE" w:rsidRPr="00DC05CE">
        <w:rPr>
          <w:rFonts w:ascii="仿宋" w:eastAsia="仿宋" w:hAnsi="仿宋" w:cs="仿宋" w:hint="eastAsia"/>
          <w:sz w:val="30"/>
        </w:rPr>
        <w:t>。</w:t>
      </w:r>
    </w:p>
    <w:p w14:paraId="76056551" w14:textId="127B1BA1" w:rsidR="00344B99" w:rsidRDefault="00F765A5" w:rsidP="007E1027">
      <w:pPr>
        <w:spacing w:line="560" w:lineRule="exact"/>
        <w:ind w:firstLineChars="200" w:firstLine="600"/>
        <w:rPr>
          <w:rFonts w:ascii="仿宋" w:eastAsia="仿宋" w:hAnsi="仿宋" w:cs="仿宋"/>
          <w:sz w:val="30"/>
        </w:rPr>
      </w:pPr>
      <w:r>
        <w:rPr>
          <w:rFonts w:ascii="黑体" w:eastAsia="黑体" w:hAnsi="黑体" w:cs="STZhongsong" w:hint="eastAsia"/>
          <w:sz w:val="30"/>
          <w:szCs w:val="30"/>
        </w:rPr>
        <w:t>（七）</w:t>
      </w:r>
      <w:r w:rsidR="00344B99">
        <w:rPr>
          <w:rFonts w:ascii="黑体" w:eastAsia="黑体" w:hAnsi="黑体" w:cs="STZhongsong" w:hint="eastAsia"/>
          <w:sz w:val="30"/>
          <w:szCs w:val="30"/>
        </w:rPr>
        <w:t>附则</w:t>
      </w:r>
    </w:p>
    <w:p w14:paraId="54B4DE81" w14:textId="3BCD2DA4" w:rsidR="001A315A" w:rsidRDefault="00344B99" w:rsidP="00344B99">
      <w:pPr>
        <w:spacing w:line="560" w:lineRule="exact"/>
        <w:ind w:firstLineChars="200" w:firstLine="600"/>
        <w:rPr>
          <w:rFonts w:ascii="仿宋" w:eastAsia="仿宋" w:hAnsi="仿宋" w:cs="仿宋"/>
          <w:sz w:val="30"/>
        </w:rPr>
      </w:pPr>
      <w:r>
        <w:rPr>
          <w:rFonts w:ascii="仿宋" w:eastAsia="仿宋" w:hAnsi="仿宋" w:cs="仿宋" w:hint="eastAsia"/>
          <w:sz w:val="30"/>
        </w:rPr>
        <w:t>附则对岸电供电要求、岸电供电企业、有效替代措施、船舶受电设施、岸电设施定义和《实施细则》适用范围进行了明确。</w:t>
      </w:r>
    </w:p>
    <w:sectPr w:rsidR="001A3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35B"/>
    <w:rsid w:val="DD7E1DF6"/>
    <w:rsid w:val="EDB7F7E8"/>
    <w:rsid w:val="EFAF4128"/>
    <w:rsid w:val="FFDDCB98"/>
    <w:rsid w:val="FFFD73B6"/>
    <w:rsid w:val="00013DBF"/>
    <w:rsid w:val="00031E9F"/>
    <w:rsid w:val="00041BA4"/>
    <w:rsid w:val="00080C75"/>
    <w:rsid w:val="000C5133"/>
    <w:rsid w:val="000F35AB"/>
    <w:rsid w:val="00115CAC"/>
    <w:rsid w:val="00123D1D"/>
    <w:rsid w:val="00124711"/>
    <w:rsid w:val="00141435"/>
    <w:rsid w:val="00143419"/>
    <w:rsid w:val="0015293E"/>
    <w:rsid w:val="001536F6"/>
    <w:rsid w:val="0016747C"/>
    <w:rsid w:val="0017719C"/>
    <w:rsid w:val="0018215B"/>
    <w:rsid w:val="00191A21"/>
    <w:rsid w:val="001A315A"/>
    <w:rsid w:val="001A42E9"/>
    <w:rsid w:val="001A666E"/>
    <w:rsid w:val="001B5EC0"/>
    <w:rsid w:val="001C2CD9"/>
    <w:rsid w:val="002017C0"/>
    <w:rsid w:val="00204A28"/>
    <w:rsid w:val="00247286"/>
    <w:rsid w:val="0028626A"/>
    <w:rsid w:val="002875D3"/>
    <w:rsid w:val="002A0B4E"/>
    <w:rsid w:val="002E5DFA"/>
    <w:rsid w:val="00311957"/>
    <w:rsid w:val="00334CAA"/>
    <w:rsid w:val="00344B99"/>
    <w:rsid w:val="00364CA1"/>
    <w:rsid w:val="003F58D9"/>
    <w:rsid w:val="00402EEC"/>
    <w:rsid w:val="004036A6"/>
    <w:rsid w:val="00453816"/>
    <w:rsid w:val="00472B79"/>
    <w:rsid w:val="00497DD9"/>
    <w:rsid w:val="004A1583"/>
    <w:rsid w:val="00522DC4"/>
    <w:rsid w:val="00563F25"/>
    <w:rsid w:val="00597D5B"/>
    <w:rsid w:val="005D18DB"/>
    <w:rsid w:val="005D3C23"/>
    <w:rsid w:val="0060451E"/>
    <w:rsid w:val="00622783"/>
    <w:rsid w:val="006878EC"/>
    <w:rsid w:val="006B191E"/>
    <w:rsid w:val="006B36D0"/>
    <w:rsid w:val="0074075C"/>
    <w:rsid w:val="00740AE3"/>
    <w:rsid w:val="00773487"/>
    <w:rsid w:val="00781992"/>
    <w:rsid w:val="00790A49"/>
    <w:rsid w:val="007974F6"/>
    <w:rsid w:val="007B2953"/>
    <w:rsid w:val="007E1027"/>
    <w:rsid w:val="007F7D0F"/>
    <w:rsid w:val="0084696E"/>
    <w:rsid w:val="00883772"/>
    <w:rsid w:val="00894140"/>
    <w:rsid w:val="008B3762"/>
    <w:rsid w:val="008D3894"/>
    <w:rsid w:val="00906086"/>
    <w:rsid w:val="00916B7C"/>
    <w:rsid w:val="0092058C"/>
    <w:rsid w:val="0098144F"/>
    <w:rsid w:val="00A627F9"/>
    <w:rsid w:val="00A80E2F"/>
    <w:rsid w:val="00A94BD0"/>
    <w:rsid w:val="00AF473C"/>
    <w:rsid w:val="00B57681"/>
    <w:rsid w:val="00BA75C9"/>
    <w:rsid w:val="00C82A85"/>
    <w:rsid w:val="00D03E1D"/>
    <w:rsid w:val="00D3077B"/>
    <w:rsid w:val="00D81FE3"/>
    <w:rsid w:val="00DC05CE"/>
    <w:rsid w:val="00E3780A"/>
    <w:rsid w:val="00E77C83"/>
    <w:rsid w:val="00EC24FF"/>
    <w:rsid w:val="00EC36A3"/>
    <w:rsid w:val="00ED7A25"/>
    <w:rsid w:val="00EE3603"/>
    <w:rsid w:val="00F3063B"/>
    <w:rsid w:val="00F32F01"/>
    <w:rsid w:val="00F47B26"/>
    <w:rsid w:val="00F60032"/>
    <w:rsid w:val="00F765A5"/>
    <w:rsid w:val="00F92768"/>
    <w:rsid w:val="00FA035B"/>
    <w:rsid w:val="00FC1694"/>
    <w:rsid w:val="00FE2411"/>
    <w:rsid w:val="2ECD987B"/>
    <w:rsid w:val="5BEF8D36"/>
    <w:rsid w:val="6E5F029B"/>
    <w:rsid w:val="7768F063"/>
    <w:rsid w:val="77DE7722"/>
    <w:rsid w:val="7BB5DB77"/>
    <w:rsid w:val="7BFFB0CD"/>
    <w:rsid w:val="7DCF6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B493"/>
  <w15:docId w15:val="{51BC7311-EBD8-4F29-B34B-FA89253D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2"/>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uiPriority w:val="99"/>
    <w:qFormat/>
    <w:rPr>
      <w:rFonts w:ascii="宋体"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小进 吴</cp:lastModifiedBy>
  <cp:revision>56</cp:revision>
  <dcterms:created xsi:type="dcterms:W3CDTF">2022-01-11T02:09:00Z</dcterms:created>
  <dcterms:modified xsi:type="dcterms:W3CDTF">2022-05-26T15:36:00Z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