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150" w:afterAutospacing="0" w:line="540" w:lineRule="atLeast"/>
        <w:jc w:val="both"/>
        <w:rPr>
          <w:rFonts w:hint="default" w:ascii="仿宋_GB2312" w:hAnsi="仿宋_GB2312" w:eastAsia="仿宋_GB2312" w:cs="仿宋_GB2312"/>
          <w:b w:val="0"/>
          <w:bCs w:val="0"/>
          <w:color w:val="505050"/>
          <w:sz w:val="32"/>
          <w:szCs w:val="32"/>
          <w:shd w:val="clear" w:color="auto" w:fill="FFFFFF"/>
          <w:lang w:val="en-US" w:eastAsia="zh-CN"/>
        </w:rPr>
      </w:pPr>
      <w:r>
        <w:rPr>
          <w:rFonts w:hint="eastAsia" w:ascii="仿宋_GB2312" w:hAnsi="仿宋_GB2312" w:eastAsia="仿宋_GB2312" w:cs="仿宋_GB2312"/>
          <w:b w:val="0"/>
          <w:bCs w:val="0"/>
          <w:color w:val="505050"/>
          <w:sz w:val="32"/>
          <w:szCs w:val="32"/>
          <w:shd w:val="clear" w:color="auto" w:fill="FFFFFF"/>
          <w:lang w:eastAsia="zh-CN"/>
        </w:rPr>
        <w:t>附件</w:t>
      </w:r>
      <w:r>
        <w:rPr>
          <w:rFonts w:hint="eastAsia" w:ascii="仿宋_GB2312" w:hAnsi="仿宋_GB2312" w:eastAsia="仿宋_GB2312" w:cs="仿宋_GB2312"/>
          <w:b w:val="0"/>
          <w:bCs w:val="0"/>
          <w:color w:val="505050"/>
          <w:sz w:val="32"/>
          <w:szCs w:val="32"/>
          <w:shd w:val="clear" w:color="auto" w:fill="FFFFFF"/>
          <w:lang w:val="en-US" w:eastAsia="zh-CN"/>
        </w:rPr>
        <w:t>1</w:t>
      </w:r>
      <w:bookmarkStart w:id="0" w:name="_GoBack"/>
      <w:bookmarkEnd w:id="0"/>
    </w:p>
    <w:p>
      <w:pPr>
        <w:pStyle w:val="4"/>
        <w:shd w:val="clear" w:color="auto" w:fill="FFFFFF"/>
        <w:spacing w:before="0" w:beforeAutospacing="0" w:after="150" w:afterAutospacing="0" w:line="540" w:lineRule="atLeast"/>
        <w:jc w:val="center"/>
        <w:rPr>
          <w:b/>
          <w:bCs/>
          <w:color w:val="505050"/>
          <w:sz w:val="44"/>
          <w:szCs w:val="44"/>
          <w:shd w:val="clear" w:color="auto" w:fill="FFFFFF"/>
        </w:rPr>
      </w:pPr>
      <w:r>
        <w:rPr>
          <w:rFonts w:hint="eastAsia"/>
          <w:b/>
          <w:bCs/>
          <w:color w:val="505050"/>
          <w:sz w:val="44"/>
          <w:szCs w:val="44"/>
          <w:shd w:val="clear" w:color="auto" w:fill="FFFFFF"/>
        </w:rPr>
        <w:t>洋浦港港口和船舶岸电管理办法实施细则</w:t>
      </w:r>
    </w:p>
    <w:p>
      <w:pPr>
        <w:pStyle w:val="4"/>
        <w:shd w:val="clear" w:color="auto" w:fill="FFFFFF"/>
        <w:spacing w:before="0" w:beforeAutospacing="0" w:after="150" w:afterAutospacing="0" w:line="540" w:lineRule="atLeast"/>
        <w:jc w:val="center"/>
        <w:rPr>
          <w:b/>
          <w:bCs/>
          <w:color w:val="505050"/>
          <w:sz w:val="44"/>
          <w:szCs w:val="44"/>
          <w:shd w:val="clear" w:color="auto" w:fill="FFFFFF"/>
        </w:rPr>
      </w:pPr>
      <w:r>
        <w:rPr>
          <w:rFonts w:hint="eastAsia"/>
          <w:b/>
          <w:bCs/>
          <w:color w:val="505050"/>
          <w:sz w:val="44"/>
          <w:szCs w:val="44"/>
          <w:shd w:val="clear" w:color="auto" w:fill="FFFFFF"/>
        </w:rPr>
        <w:t>（征求意见稿）</w:t>
      </w:r>
    </w:p>
    <w:p>
      <w:pPr>
        <w:pStyle w:val="4"/>
        <w:shd w:val="clear" w:color="auto" w:fill="FFFFFF"/>
        <w:spacing w:before="0" w:beforeAutospacing="0" w:after="150" w:afterAutospacing="0" w:line="540" w:lineRule="atLeast"/>
        <w:ind w:firstLine="480"/>
        <w:jc w:val="both"/>
        <w:rPr>
          <w:rFonts w:ascii="仿宋" w:hAnsi="仿宋" w:eastAsia="仿宋"/>
          <w:sz w:val="32"/>
          <w:szCs w:val="32"/>
        </w:rPr>
      </w:pP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为加快推进洋浦港港口船舶岸电设施标准化建设，持续提高港口船舶岸电使用率，积极推进港口绿色发展，根据《港口和船舶岸电管理办法》（交通运输部2</w:t>
      </w:r>
      <w:r>
        <w:rPr>
          <w:rFonts w:ascii="仿宋" w:hAnsi="仿宋" w:eastAsia="仿宋"/>
          <w:sz w:val="32"/>
          <w:szCs w:val="32"/>
        </w:rPr>
        <w:t>021</w:t>
      </w:r>
      <w:r>
        <w:rPr>
          <w:rFonts w:hint="eastAsia" w:ascii="仿宋" w:hAnsi="仿宋" w:eastAsia="仿宋"/>
          <w:sz w:val="32"/>
          <w:szCs w:val="32"/>
        </w:rPr>
        <w:t>年第3</w:t>
      </w:r>
      <w:r>
        <w:rPr>
          <w:rFonts w:ascii="仿宋" w:hAnsi="仿宋" w:eastAsia="仿宋"/>
          <w:sz w:val="32"/>
          <w:szCs w:val="32"/>
        </w:rPr>
        <w:t>1</w:t>
      </w:r>
      <w:r>
        <w:rPr>
          <w:rFonts w:hint="eastAsia" w:ascii="仿宋" w:hAnsi="仿宋" w:eastAsia="仿宋"/>
          <w:sz w:val="32"/>
          <w:szCs w:val="32"/>
        </w:rPr>
        <w:t>号令，以下简称《办法》）、《交通运输部关于印发船舶大气污染物排放控制区实施方案的通知》（交海发﹝2</w:t>
      </w:r>
      <w:r>
        <w:rPr>
          <w:rFonts w:ascii="仿宋" w:hAnsi="仿宋" w:eastAsia="仿宋"/>
          <w:sz w:val="32"/>
          <w:szCs w:val="32"/>
        </w:rPr>
        <w:t>018</w:t>
      </w:r>
      <w:r>
        <w:rPr>
          <w:rFonts w:hint="eastAsia" w:ascii="仿宋" w:hAnsi="仿宋" w:eastAsia="仿宋"/>
          <w:sz w:val="32"/>
          <w:szCs w:val="32"/>
        </w:rPr>
        <w:t>﹞1</w:t>
      </w:r>
      <w:r>
        <w:rPr>
          <w:rFonts w:ascii="仿宋" w:hAnsi="仿宋" w:eastAsia="仿宋"/>
          <w:sz w:val="32"/>
          <w:szCs w:val="32"/>
        </w:rPr>
        <w:t>68</w:t>
      </w:r>
      <w:r>
        <w:rPr>
          <w:rFonts w:hint="eastAsia" w:ascii="仿宋" w:hAnsi="仿宋" w:eastAsia="仿宋"/>
          <w:sz w:val="32"/>
          <w:szCs w:val="32"/>
        </w:rPr>
        <w:t>号）、《交通运输部 财政部 国家发展改革委 国家能源局 国家电网公司 南方电网公司关于进一步共同推进船舶靠港使用岸电工作的通知》（交水发﹝2</w:t>
      </w:r>
      <w:r>
        <w:rPr>
          <w:rFonts w:ascii="仿宋" w:hAnsi="仿宋" w:eastAsia="仿宋"/>
          <w:sz w:val="32"/>
          <w:szCs w:val="32"/>
        </w:rPr>
        <w:t>019</w:t>
      </w:r>
      <w:r>
        <w:rPr>
          <w:rFonts w:hint="eastAsia" w:ascii="仿宋" w:hAnsi="仿宋" w:eastAsia="仿宋"/>
          <w:sz w:val="32"/>
          <w:szCs w:val="32"/>
        </w:rPr>
        <w:t>﹞1</w:t>
      </w:r>
      <w:r>
        <w:rPr>
          <w:rFonts w:ascii="仿宋" w:hAnsi="仿宋" w:eastAsia="仿宋"/>
          <w:sz w:val="32"/>
          <w:szCs w:val="32"/>
        </w:rPr>
        <w:t>4</w:t>
      </w:r>
      <w:r>
        <w:rPr>
          <w:rFonts w:hint="eastAsia" w:ascii="仿宋" w:hAnsi="仿宋" w:eastAsia="仿宋"/>
          <w:sz w:val="32"/>
          <w:szCs w:val="32"/>
        </w:rPr>
        <w:t>号）、《交通运输部关于协同推进沿海内贸干散货船舶靠港使用岸电常态化的函》（水运港口函﹝2</w:t>
      </w:r>
      <w:r>
        <w:rPr>
          <w:rFonts w:ascii="仿宋" w:hAnsi="仿宋" w:eastAsia="仿宋"/>
          <w:sz w:val="32"/>
          <w:szCs w:val="32"/>
        </w:rPr>
        <w:t>021</w:t>
      </w:r>
      <w:r>
        <w:rPr>
          <w:rFonts w:hint="eastAsia" w:ascii="仿宋" w:hAnsi="仿宋" w:eastAsia="仿宋"/>
          <w:sz w:val="32"/>
          <w:szCs w:val="32"/>
        </w:rPr>
        <w:t>﹞2</w:t>
      </w:r>
      <w:r>
        <w:rPr>
          <w:rFonts w:ascii="仿宋" w:hAnsi="仿宋" w:eastAsia="仿宋"/>
          <w:sz w:val="32"/>
          <w:szCs w:val="32"/>
        </w:rPr>
        <w:t>97</w:t>
      </w:r>
      <w:r>
        <w:rPr>
          <w:rFonts w:hint="eastAsia" w:ascii="仿宋" w:hAnsi="仿宋" w:eastAsia="仿宋"/>
          <w:sz w:val="32"/>
          <w:szCs w:val="32"/>
        </w:rPr>
        <w:t>号）、《海南省人民政府办公厅关于印发&lt;促进洋浦区域国际集装箱枢纽港建设三年行动计划（2</w:t>
      </w:r>
      <w:r>
        <w:rPr>
          <w:rFonts w:ascii="仿宋" w:hAnsi="仿宋" w:eastAsia="仿宋"/>
          <w:sz w:val="32"/>
          <w:szCs w:val="32"/>
        </w:rPr>
        <w:t>022-2024</w:t>
      </w:r>
      <w:r>
        <w:rPr>
          <w:rFonts w:hint="eastAsia" w:ascii="仿宋" w:hAnsi="仿宋" w:eastAsia="仿宋"/>
          <w:sz w:val="32"/>
          <w:szCs w:val="32"/>
        </w:rPr>
        <w:t>年）的通知</w:t>
      </w:r>
      <w:r>
        <w:rPr>
          <w:rFonts w:ascii="仿宋" w:hAnsi="仿宋" w:eastAsia="仿宋"/>
          <w:sz w:val="32"/>
          <w:szCs w:val="32"/>
        </w:rPr>
        <w:t>&gt;</w:t>
      </w:r>
      <w:r>
        <w:rPr>
          <w:rFonts w:hint="eastAsia" w:ascii="仿宋" w:hAnsi="仿宋" w:eastAsia="仿宋"/>
          <w:sz w:val="32"/>
          <w:szCs w:val="32"/>
        </w:rPr>
        <w:t>》(琼府办函﹝2</w:t>
      </w:r>
      <w:r>
        <w:rPr>
          <w:rFonts w:ascii="仿宋" w:hAnsi="仿宋" w:eastAsia="仿宋"/>
          <w:sz w:val="32"/>
          <w:szCs w:val="32"/>
        </w:rPr>
        <w:t>021</w:t>
      </w:r>
      <w:r>
        <w:rPr>
          <w:rFonts w:hint="eastAsia" w:ascii="仿宋" w:hAnsi="仿宋" w:eastAsia="仿宋"/>
          <w:sz w:val="32"/>
          <w:szCs w:val="32"/>
        </w:rPr>
        <w:t>﹞5</w:t>
      </w:r>
      <w:r>
        <w:rPr>
          <w:rFonts w:ascii="仿宋" w:hAnsi="仿宋" w:eastAsia="仿宋"/>
          <w:sz w:val="32"/>
          <w:szCs w:val="32"/>
        </w:rPr>
        <w:t>20</w:t>
      </w:r>
      <w:r>
        <w:rPr>
          <w:rFonts w:hint="eastAsia" w:ascii="仿宋" w:hAnsi="仿宋" w:eastAsia="仿宋"/>
          <w:sz w:val="32"/>
          <w:szCs w:val="32"/>
        </w:rPr>
        <w:t>号</w:t>
      </w:r>
      <w:r>
        <w:rPr>
          <w:rFonts w:ascii="仿宋" w:hAnsi="仿宋" w:eastAsia="仿宋"/>
          <w:sz w:val="32"/>
          <w:szCs w:val="32"/>
        </w:rPr>
        <w:t>)</w:t>
      </w:r>
      <w:r>
        <w:rPr>
          <w:rFonts w:hint="eastAsia" w:ascii="仿宋" w:hAnsi="仿宋" w:eastAsia="仿宋"/>
          <w:sz w:val="32"/>
          <w:szCs w:val="32"/>
        </w:rPr>
        <w:t>等相关文件要求，结合洋浦港实际，制定本实施细则。</w:t>
      </w:r>
    </w:p>
    <w:p>
      <w:pPr>
        <w:pStyle w:val="4"/>
        <w:shd w:val="clear" w:color="auto" w:fill="FFFFFF"/>
        <w:snapToGrid w:val="0"/>
        <w:spacing w:before="0" w:beforeAutospacing="0" w:after="0" w:afterAutospacing="0" w:line="540" w:lineRule="atLeast"/>
        <w:ind w:firstLine="601"/>
        <w:jc w:val="both"/>
        <w:rPr>
          <w:rStyle w:val="7"/>
          <w:rFonts w:ascii="仿宋" w:hAnsi="仿宋" w:eastAsia="仿宋"/>
          <w:sz w:val="32"/>
          <w:szCs w:val="32"/>
        </w:rPr>
      </w:pPr>
      <w:r>
        <w:rPr>
          <w:rStyle w:val="7"/>
          <w:rFonts w:hint="eastAsia" w:ascii="仿宋" w:hAnsi="仿宋" w:eastAsia="仿宋"/>
          <w:sz w:val="32"/>
          <w:szCs w:val="32"/>
        </w:rPr>
        <w:t>一、持续推进港口岸电设施建设</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新建、改建、扩建的码头工程（油气化工码头除外）应当按照法律法规和强制性标准要求，同步开展岸电设施建设。</w:t>
      </w:r>
      <w:r>
        <w:rPr>
          <w:rFonts w:hint="eastAsia" w:ascii="仿宋" w:hAnsi="仿宋" w:eastAsia="仿宋"/>
          <w:sz w:val="32"/>
          <w:szCs w:val="32"/>
        </w:rPr>
        <w:t>对已建码头（油气化工码头除外）港口经营人要在已经完成的岸电设施基础上，适时开展</w:t>
      </w:r>
      <w:r>
        <w:rPr>
          <w:rFonts w:ascii="仿宋" w:hAnsi="仿宋" w:eastAsia="仿宋"/>
          <w:sz w:val="32"/>
          <w:szCs w:val="32"/>
        </w:rPr>
        <w:t>分析</w:t>
      </w:r>
      <w:r>
        <w:rPr>
          <w:rFonts w:hint="eastAsia" w:ascii="仿宋" w:hAnsi="仿宋" w:eastAsia="仿宋"/>
          <w:sz w:val="32"/>
          <w:szCs w:val="32"/>
        </w:rPr>
        <w:t>后评估，并根据评估情况加装完善配套岸电设施，</w:t>
      </w:r>
      <w:r>
        <w:rPr>
          <w:rFonts w:ascii="仿宋" w:hAnsi="仿宋" w:eastAsia="仿宋"/>
          <w:sz w:val="32"/>
          <w:szCs w:val="32"/>
        </w:rPr>
        <w:t>确保</w:t>
      </w:r>
      <w:r>
        <w:rPr>
          <w:rFonts w:hint="eastAsia" w:ascii="仿宋" w:hAnsi="仿宋" w:eastAsia="仿宋"/>
          <w:sz w:val="32"/>
          <w:szCs w:val="32"/>
        </w:rPr>
        <w:t>岸电设施</w:t>
      </w:r>
      <w:r>
        <w:rPr>
          <w:rFonts w:ascii="仿宋" w:hAnsi="仿宋" w:eastAsia="仿宋"/>
          <w:sz w:val="32"/>
          <w:szCs w:val="32"/>
        </w:rPr>
        <w:t>建成后发挥环保效益</w:t>
      </w:r>
      <w:r>
        <w:rPr>
          <w:rFonts w:hint="eastAsia" w:ascii="仿宋" w:hAnsi="仿宋" w:eastAsia="仿宋"/>
          <w:sz w:val="32"/>
          <w:szCs w:val="32"/>
        </w:rPr>
        <w:t>。以持续保持洋浦港</w:t>
      </w:r>
      <w:r>
        <w:rPr>
          <w:rFonts w:ascii="仿宋" w:hAnsi="仿宋" w:eastAsia="仿宋"/>
          <w:sz w:val="32"/>
          <w:szCs w:val="32"/>
        </w:rPr>
        <w:t>码头泊位（油气化工码头除外）岸电</w:t>
      </w:r>
      <w:r>
        <w:rPr>
          <w:rFonts w:hint="eastAsia" w:ascii="仿宋" w:hAnsi="仿宋" w:eastAsia="仿宋"/>
          <w:sz w:val="32"/>
          <w:szCs w:val="32"/>
        </w:rPr>
        <w:t>设施</w:t>
      </w:r>
      <w:r>
        <w:rPr>
          <w:rFonts w:ascii="仿宋" w:hAnsi="仿宋" w:eastAsia="仿宋"/>
          <w:sz w:val="32"/>
          <w:szCs w:val="32"/>
        </w:rPr>
        <w:t>全覆盖。</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（二）码头岸电设施的供电能力应当与靠泊船舶的用电需求相适应。岸电设施投入使用前，应当按照相关强制性标准组织对岸电设施检测，其中高压岸电设施投入使用前，应当由具备相应能力的专业机构检测。</w:t>
      </w:r>
    </w:p>
    <w:p>
      <w:pPr>
        <w:pStyle w:val="4"/>
        <w:shd w:val="clear" w:color="auto" w:fill="FFFFFF"/>
        <w:snapToGrid w:val="0"/>
        <w:spacing w:before="0" w:beforeAutospacing="0" w:after="0" w:afterAutospacing="0" w:line="540" w:lineRule="atLeast"/>
        <w:ind w:firstLine="601"/>
        <w:jc w:val="both"/>
        <w:rPr>
          <w:rStyle w:val="7"/>
          <w:rFonts w:ascii="仿宋" w:hAnsi="仿宋" w:eastAsia="仿宋"/>
          <w:sz w:val="32"/>
          <w:szCs w:val="32"/>
        </w:rPr>
      </w:pPr>
      <w:r>
        <w:rPr>
          <w:rStyle w:val="7"/>
          <w:rFonts w:hint="eastAsia" w:ascii="仿宋" w:hAnsi="仿宋" w:eastAsia="仿宋"/>
          <w:sz w:val="32"/>
          <w:szCs w:val="32"/>
        </w:rPr>
        <w:t>二、加快推进船舶受电设施建造</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（三）相关航运企业和经营人应当按照交通运输部《船舶大气污染物排放区实施方案》要求，推进新建船舶配建受电设施。</w:t>
      </w: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日及以后建造的中国籍公务船、内河船舶（液货船除外）和江海直达船舶应具备船舶岸电系统船载装置，</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日及以后建造的中国籍国内沿海航行集装箱船、邮轮、客滚船、</w:t>
      </w:r>
      <w:r>
        <w:rPr>
          <w:rFonts w:ascii="仿宋" w:hAnsi="仿宋" w:eastAsia="仿宋"/>
          <w:sz w:val="32"/>
          <w:szCs w:val="32"/>
        </w:rPr>
        <w:t>3</w:t>
      </w:r>
      <w:r>
        <w:rPr>
          <w:rFonts w:hint="eastAsia" w:ascii="仿宋" w:hAnsi="仿宋" w:eastAsia="仿宋"/>
          <w:sz w:val="32"/>
          <w:szCs w:val="32"/>
        </w:rPr>
        <w:t>千总吨及以上的客船和</w:t>
      </w:r>
      <w:r>
        <w:rPr>
          <w:rFonts w:ascii="仿宋" w:hAnsi="仿宋" w:eastAsia="仿宋"/>
          <w:sz w:val="32"/>
          <w:szCs w:val="32"/>
        </w:rPr>
        <w:t>5</w:t>
      </w:r>
      <w:r>
        <w:rPr>
          <w:rFonts w:hint="eastAsia" w:ascii="仿宋" w:hAnsi="仿宋" w:eastAsia="仿宋"/>
          <w:sz w:val="32"/>
          <w:szCs w:val="32"/>
        </w:rPr>
        <w:t>万吨级及以上的干散货船应具备船舶岸电系统船载装置。</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（四）相关航运企业和经营人应当按照交通运输部《船舶大气污染物排放区实施方案》要求，加快现有船舶受电设施改造。</w:t>
      </w:r>
      <w:r>
        <w:rPr>
          <w:rFonts w:ascii="仿宋" w:hAnsi="仿宋" w:eastAsia="仿宋"/>
          <w:sz w:val="32"/>
          <w:szCs w:val="32"/>
        </w:rPr>
        <w:t>2022</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日起，使用的单台船用柴油发动机输出功率超过</w:t>
      </w:r>
      <w:r>
        <w:rPr>
          <w:rFonts w:ascii="仿宋" w:hAnsi="仿宋" w:eastAsia="仿宋"/>
          <w:sz w:val="32"/>
          <w:szCs w:val="32"/>
        </w:rPr>
        <w:t>130</w:t>
      </w:r>
      <w:r>
        <w:rPr>
          <w:rFonts w:hint="eastAsia" w:ascii="仿宋" w:hAnsi="仿宋" w:eastAsia="仿宋"/>
          <w:sz w:val="32"/>
          <w:szCs w:val="32"/>
        </w:rPr>
        <w:t>千瓦、且不满足《国际防止船舶造成污染公约》第二阶段氮氧化物排放限值要求的中国籍公务船、内河船舶（液货船除外），以及中国籍国内沿海航行集装箱船、客滚船、</w:t>
      </w:r>
      <w:r>
        <w:rPr>
          <w:rFonts w:ascii="仿宋" w:hAnsi="仿宋" w:eastAsia="仿宋"/>
          <w:sz w:val="32"/>
          <w:szCs w:val="32"/>
        </w:rPr>
        <w:t>3</w:t>
      </w:r>
      <w:r>
        <w:rPr>
          <w:rFonts w:hint="eastAsia" w:ascii="仿宋" w:hAnsi="仿宋" w:eastAsia="仿宋"/>
          <w:sz w:val="32"/>
          <w:szCs w:val="32"/>
        </w:rPr>
        <w:t>千总吨及以上的客船和</w:t>
      </w:r>
      <w:r>
        <w:rPr>
          <w:rFonts w:ascii="仿宋" w:hAnsi="仿宋" w:eastAsia="仿宋"/>
          <w:sz w:val="32"/>
          <w:szCs w:val="32"/>
        </w:rPr>
        <w:t>5</w:t>
      </w:r>
      <w:r>
        <w:rPr>
          <w:rFonts w:hint="eastAsia" w:ascii="仿宋" w:hAnsi="仿宋" w:eastAsia="仿宋"/>
          <w:sz w:val="32"/>
          <w:szCs w:val="32"/>
        </w:rPr>
        <w:t>万吨级及以上的干散货船，应加装船舶岸电系统船载装置。鼓励对以上规定之外的船舶加装船舶岸电系统船载装置。争取按照交通运输部统一部署，逐步推进洋浦港籍船舶和到港船舶开展船舶岸电系统改造。</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（五）新建和已建船舶受电设施安装应当符合船舶法定检验技术规则，投入使用前需经船舶检验机构检验合格。</w:t>
      </w:r>
    </w:p>
    <w:p>
      <w:pPr>
        <w:pStyle w:val="4"/>
        <w:shd w:val="clear" w:color="auto" w:fill="FFFFFF"/>
        <w:snapToGrid w:val="0"/>
        <w:spacing w:before="0" w:beforeAutospacing="0" w:after="0" w:afterAutospacing="0" w:line="540" w:lineRule="atLeast"/>
        <w:ind w:firstLine="601"/>
        <w:jc w:val="both"/>
        <w:rPr>
          <w:rStyle w:val="7"/>
          <w:rFonts w:ascii="仿宋" w:hAnsi="仿宋" w:eastAsia="仿宋"/>
          <w:sz w:val="32"/>
          <w:szCs w:val="32"/>
        </w:rPr>
      </w:pPr>
      <w:r>
        <w:rPr>
          <w:rStyle w:val="7"/>
          <w:rFonts w:ascii="仿宋" w:hAnsi="仿宋" w:eastAsia="仿宋"/>
          <w:sz w:val="32"/>
          <w:szCs w:val="32"/>
        </w:rPr>
        <w:t>三、</w:t>
      </w:r>
      <w:r>
        <w:rPr>
          <w:rStyle w:val="7"/>
          <w:rFonts w:hint="eastAsia" w:ascii="仿宋" w:hAnsi="仿宋" w:eastAsia="仿宋"/>
          <w:sz w:val="32"/>
          <w:szCs w:val="32"/>
        </w:rPr>
        <w:t>持续提高岸电使用率</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（六）具备受电设施的船舶（液货船除外），在沿海港口具备岸电供应能力的泊位靠泊超过</w:t>
      </w:r>
      <w:r>
        <w:rPr>
          <w:rFonts w:ascii="仿宋" w:hAnsi="仿宋" w:eastAsia="仿宋"/>
          <w:sz w:val="32"/>
          <w:szCs w:val="32"/>
        </w:rPr>
        <w:t>3小时，且未使用有效替代措施的</w:t>
      </w:r>
      <w:r>
        <w:rPr>
          <w:rFonts w:hint="eastAsia" w:ascii="仿宋" w:hAnsi="仿宋" w:eastAsia="仿宋"/>
          <w:sz w:val="32"/>
          <w:szCs w:val="32"/>
        </w:rPr>
        <w:t>（包括使用清洁能源、新能源、船载蓄电装置或关闭辅机等，下同）</w:t>
      </w:r>
      <w:r>
        <w:rPr>
          <w:rFonts w:ascii="仿宋" w:hAnsi="仿宋" w:eastAsia="仿宋"/>
          <w:sz w:val="32"/>
          <w:szCs w:val="32"/>
        </w:rPr>
        <w:t>，应当使用岸电（船舶靠泊不足规定时间的，鼓励使用岸电）；2022年1月1日起，符合“使用的单台船用柴油发动机输出功率超过130千瓦、且不满足《国际防止船舶造成污染公约》第二阶段氮氧化物排放限值要求的中国籍公务船、内河船舶（液货船除外），以及中国籍国内沿海航行集装箱船、客滚船、3千总吨及以上的客船和5万吨级及以上的干散货船”条件，在</w:t>
      </w:r>
      <w:r>
        <w:rPr>
          <w:rFonts w:hint="eastAsia" w:ascii="仿宋" w:hAnsi="仿宋" w:eastAsia="仿宋"/>
          <w:sz w:val="32"/>
          <w:szCs w:val="32"/>
        </w:rPr>
        <w:t>洋浦港</w:t>
      </w:r>
      <w:r>
        <w:rPr>
          <w:rFonts w:ascii="仿宋" w:hAnsi="仿宋" w:eastAsia="仿宋"/>
          <w:sz w:val="32"/>
          <w:szCs w:val="32"/>
        </w:rPr>
        <w:t>具备岸电供应能力的泊位靠泊超过3小时，且未使用有效替代措施的，应当使用岸电设施。船舶受电设施临时发生故障时，</w:t>
      </w:r>
      <w:r>
        <w:rPr>
          <w:rFonts w:hint="eastAsia" w:ascii="仿宋" w:hAnsi="仿宋" w:eastAsia="仿宋"/>
          <w:sz w:val="32"/>
          <w:szCs w:val="32"/>
        </w:rPr>
        <w:t>可临时豁免设备故障期间的岸电使用要求，并向海事管理部门报告情况</w:t>
      </w:r>
      <w:r>
        <w:rPr>
          <w:rFonts w:ascii="仿宋" w:hAnsi="仿宋" w:eastAsia="仿宋"/>
          <w:sz w:val="32"/>
          <w:szCs w:val="32"/>
        </w:rPr>
        <w:t>。故障船舶应尽快安排修理恢复受电功能，</w:t>
      </w:r>
      <w:r>
        <w:rPr>
          <w:rFonts w:ascii="仿宋" w:hAnsi="仿宋" w:eastAsia="仿宋"/>
          <w:color w:val="FF0000"/>
          <w:sz w:val="32"/>
          <w:szCs w:val="32"/>
        </w:rPr>
        <w:t>原则上同一船舶6个月内不得重复</w:t>
      </w:r>
      <w:r>
        <w:rPr>
          <w:rFonts w:hint="eastAsia" w:ascii="仿宋" w:hAnsi="仿宋" w:eastAsia="仿宋"/>
          <w:color w:val="FF0000"/>
          <w:sz w:val="32"/>
          <w:szCs w:val="32"/>
        </w:rPr>
        <w:t>报告</w:t>
      </w:r>
      <w:r>
        <w:rPr>
          <w:rFonts w:ascii="仿宋" w:hAnsi="仿宋" w:eastAsia="仿宋"/>
          <w:color w:val="FF0000"/>
          <w:sz w:val="32"/>
          <w:szCs w:val="32"/>
        </w:rPr>
        <w:t>豁免</w:t>
      </w:r>
      <w:r>
        <w:rPr>
          <w:rFonts w:ascii="仿宋" w:hAnsi="仿宋" w:eastAsia="仿宋"/>
          <w:sz w:val="32"/>
          <w:szCs w:val="32"/>
        </w:rPr>
        <w:t>。</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七）具备岸电供应能力的港口经营人不得无故拒绝为靠港船舶提供岸电接电服务；岸电未覆盖所有泊位的港口经营人，应为具备受电设施的靠港船舶优先安排岸电泊位进行港口作业；港口岸电设施临时发生故障时，港口经营人应在</w:t>
      </w:r>
      <w:r>
        <w:rPr>
          <w:rFonts w:ascii="仿宋" w:hAnsi="仿宋" w:eastAsia="仿宋"/>
          <w:sz w:val="32"/>
          <w:szCs w:val="32"/>
        </w:rPr>
        <w:t>3个月内完成岸电设施修复，并向港口</w:t>
      </w:r>
      <w:r>
        <w:rPr>
          <w:rFonts w:hint="eastAsia" w:ascii="仿宋" w:hAnsi="仿宋" w:eastAsia="仿宋"/>
          <w:sz w:val="32"/>
          <w:szCs w:val="32"/>
        </w:rPr>
        <w:t>管理</w:t>
      </w:r>
      <w:r>
        <w:rPr>
          <w:rFonts w:ascii="仿宋" w:hAnsi="仿宋" w:eastAsia="仿宋"/>
          <w:sz w:val="32"/>
          <w:szCs w:val="32"/>
        </w:rPr>
        <w:t>部门报</w:t>
      </w:r>
      <w:r>
        <w:rPr>
          <w:rFonts w:hint="eastAsia" w:ascii="仿宋" w:hAnsi="仿宋" w:eastAsia="仿宋"/>
          <w:sz w:val="32"/>
          <w:szCs w:val="32"/>
        </w:rPr>
        <w:t>告</w:t>
      </w:r>
      <w:r>
        <w:rPr>
          <w:rFonts w:ascii="仿宋" w:hAnsi="仿宋" w:eastAsia="仿宋"/>
          <w:sz w:val="32"/>
          <w:szCs w:val="32"/>
        </w:rPr>
        <w:t>情况。</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八）发生恶劣气候、意外事故等紧急情况无法正常进行港口作业时，船舶和港口可根据政府发布的应急响应指令暂停靠港船舶使用岸电；政府未发布应急响应指令，但当前情况使用岸电可能存在安全隐患的，船舶和港口应及时分别向海事、港口管理部门报告。</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九）鼓励制定岸电使用计划。推进各港口经营人制定岸电使用计划；梳理靠港船舶受电设备配置情况；与航运企业签订岸电使用协议；在做好疫情防控的前提下，探索安全的操作途径，尽早稳妥开展船舶首次接入岸电调试工作和推广工作。鼓励港口经营人为使用岸电船舶提供靠离泊便利和费用结算优惠。各航运企业应制定船舶改造计划和岸电使用计划，积极对接相关港口启动岸电使用，积极参与并配合做好岸电设施的首次对接工作。鼓励港口航运企业加入《洋浦港绿色公约》。推进具备条件的船舶在靠港期间岸电应用尽用，推进岸电使用率逐年提高，争取到</w:t>
      </w:r>
      <w:r>
        <w:rPr>
          <w:rFonts w:ascii="仿宋" w:hAnsi="仿宋" w:eastAsia="仿宋"/>
          <w:sz w:val="32"/>
          <w:szCs w:val="32"/>
        </w:rPr>
        <w:t>2024年实现具备条件的靠港船舶岸电使用率达到90%。</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（十）船舶靠港使用岸电的用电量不计入港口能耗统计范围。</w:t>
      </w:r>
    </w:p>
    <w:p>
      <w:pPr>
        <w:pStyle w:val="4"/>
        <w:shd w:val="clear" w:color="auto" w:fill="FFFFFF"/>
        <w:snapToGrid w:val="0"/>
        <w:spacing w:before="0" w:beforeAutospacing="0" w:after="0" w:afterAutospacing="0" w:line="540" w:lineRule="atLeast"/>
        <w:ind w:firstLine="601"/>
        <w:jc w:val="both"/>
        <w:rPr>
          <w:rStyle w:val="7"/>
          <w:rFonts w:ascii="仿宋" w:hAnsi="仿宋" w:eastAsia="仿宋"/>
          <w:sz w:val="32"/>
          <w:szCs w:val="32"/>
        </w:rPr>
      </w:pPr>
      <w:r>
        <w:rPr>
          <w:rStyle w:val="7"/>
          <w:rFonts w:ascii="仿宋" w:hAnsi="仿宋" w:eastAsia="仿宋"/>
          <w:sz w:val="32"/>
          <w:szCs w:val="32"/>
        </w:rPr>
        <w:t>四、</w:t>
      </w:r>
      <w:r>
        <w:rPr>
          <w:rStyle w:val="7"/>
          <w:rFonts w:hint="eastAsia" w:ascii="仿宋" w:hAnsi="仿宋" w:eastAsia="仿宋"/>
          <w:sz w:val="32"/>
          <w:szCs w:val="32"/>
        </w:rPr>
        <w:t>提升岸电服务能力</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（十一）港口经营人、岸电供电企业应当将码头岸电设施主要技术参数、检测情况等信息通过企业网站等渠道向社会公开、及时更新，并报送港口管理部门。</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（十二）在洋浦港停靠的船舶，应当在靠泊前向港口经营人或岸电供电企业提供船舶受电设施的配备情况以及主要技术参数等信息。</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十三）岸电供电企业应建立台账记录岸电设施设备使用情况，船舶应在航行日志或能耗数据收集专用记录簿中记录岸电使用情况，记录内容主要包括泊位名称、船舶名称、靠离泊时间、岸电使用起止时间、用电量等。码头岸电设施、船舶受电设施发生故障的，还应当记录故障时间、故障情况及修复时间等。记录至少保存2年。</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（十四）洋浦港口管理部门定期向社会公开洋浦港岸电设施信息，</w:t>
      </w:r>
      <w:r>
        <w:rPr>
          <w:rFonts w:hint="eastAsia" w:ascii="仿宋" w:hAnsi="仿宋" w:eastAsia="仿宋"/>
          <w:color w:val="FF0000"/>
          <w:sz w:val="32"/>
          <w:szCs w:val="32"/>
        </w:rPr>
        <w:t>并将依托洋浦港智慧港航物流系统建设推进洋浦港岸电数据平台建设</w:t>
      </w:r>
      <w:r>
        <w:rPr>
          <w:rFonts w:hint="eastAsia" w:ascii="仿宋" w:hAnsi="仿宋" w:eastAsia="仿宋"/>
          <w:sz w:val="32"/>
          <w:szCs w:val="32"/>
        </w:rPr>
        <w:t>。各港口经营人或岸电供电企业应当按要求积极对接港口和船舶岸电数据的提取和接入，按要求及时报送交通运输部“公路水路交通运输企业一套表”统计数据，同时鼓励积极探索完善岸电在线支付等服务功能，进一步提高公共码头岸电结算的便利性。</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（十五）船舶应当按照中华人民共和国海事局《船舶能耗数据收集管理办法》（海危防﹝2</w:t>
      </w:r>
      <w:r>
        <w:rPr>
          <w:rFonts w:ascii="仿宋" w:hAnsi="仿宋" w:eastAsia="仿宋"/>
          <w:sz w:val="32"/>
          <w:szCs w:val="32"/>
        </w:rPr>
        <w:t>018</w:t>
      </w:r>
      <w:r>
        <w:rPr>
          <w:rFonts w:hint="eastAsia" w:ascii="仿宋" w:hAnsi="仿宋" w:eastAsia="仿宋"/>
          <w:sz w:val="32"/>
          <w:szCs w:val="32"/>
        </w:rPr>
        <w:t>﹞4</w:t>
      </w:r>
      <w:r>
        <w:rPr>
          <w:rFonts w:ascii="仿宋" w:hAnsi="仿宋" w:eastAsia="仿宋"/>
          <w:sz w:val="32"/>
          <w:szCs w:val="32"/>
        </w:rPr>
        <w:t>76</w:t>
      </w:r>
      <w:r>
        <w:rPr>
          <w:rFonts w:hint="eastAsia" w:ascii="仿宋" w:hAnsi="仿宋" w:eastAsia="仿宋"/>
          <w:sz w:val="32"/>
          <w:szCs w:val="32"/>
        </w:rPr>
        <w:t>号）要求，记录岸电使用数据，并向相应海事管理部门报送能耗数据。</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（十六）对签署《洋浦港绿色公约》，且能实际做到岸电应用尽用的靠港船舶，</w:t>
      </w:r>
      <w:r>
        <w:rPr>
          <w:rFonts w:hint="eastAsia" w:ascii="仿宋" w:hAnsi="仿宋" w:eastAsia="仿宋"/>
          <w:color w:val="FF0000"/>
          <w:sz w:val="32"/>
          <w:szCs w:val="32"/>
        </w:rPr>
        <w:t>在相比不使用岸电船舶不晚于2</w:t>
      </w:r>
      <w:r>
        <w:rPr>
          <w:rFonts w:ascii="仿宋" w:hAnsi="仿宋" w:eastAsia="仿宋"/>
          <w:color w:val="FF0000"/>
          <w:sz w:val="32"/>
          <w:szCs w:val="32"/>
        </w:rPr>
        <w:t>4</w:t>
      </w:r>
      <w:r>
        <w:rPr>
          <w:rFonts w:hint="eastAsia" w:ascii="仿宋" w:hAnsi="仿宋" w:eastAsia="仿宋"/>
          <w:color w:val="FF0000"/>
          <w:sz w:val="32"/>
          <w:szCs w:val="32"/>
        </w:rPr>
        <w:t>小时内抵达锚地的</w:t>
      </w:r>
      <w:r>
        <w:rPr>
          <w:rFonts w:hint="eastAsia" w:ascii="仿宋" w:hAnsi="仿宋" w:eastAsia="仿宋"/>
          <w:sz w:val="32"/>
          <w:szCs w:val="32"/>
        </w:rPr>
        <w:t>，海事管理部门优先安排进出港，</w:t>
      </w:r>
      <w:r>
        <w:rPr>
          <w:rFonts w:hint="eastAsia" w:ascii="仿宋" w:hAnsi="仿宋" w:eastAsia="仿宋"/>
          <w:color w:val="FF0000"/>
          <w:sz w:val="32"/>
          <w:szCs w:val="32"/>
        </w:rPr>
        <w:t>港口经营人优先安排靠泊</w:t>
      </w:r>
      <w:r>
        <w:rPr>
          <w:rFonts w:hint="eastAsia" w:ascii="仿宋" w:hAnsi="仿宋" w:eastAsia="仿宋"/>
          <w:sz w:val="32"/>
          <w:szCs w:val="32"/>
        </w:rPr>
        <w:t>。</w:t>
      </w:r>
    </w:p>
    <w:p>
      <w:pPr>
        <w:pStyle w:val="4"/>
        <w:shd w:val="clear" w:color="auto" w:fill="FFFFFF"/>
        <w:snapToGrid w:val="0"/>
        <w:spacing w:before="0" w:beforeAutospacing="0" w:after="0" w:afterAutospacing="0" w:line="540" w:lineRule="atLeast"/>
        <w:ind w:firstLine="601"/>
        <w:jc w:val="both"/>
        <w:rPr>
          <w:rStyle w:val="7"/>
          <w:rFonts w:ascii="仿宋" w:hAnsi="仿宋" w:eastAsia="仿宋"/>
          <w:sz w:val="32"/>
          <w:szCs w:val="32"/>
        </w:rPr>
      </w:pPr>
      <w:r>
        <w:rPr>
          <w:rStyle w:val="7"/>
          <w:rFonts w:ascii="仿宋" w:hAnsi="仿宋" w:eastAsia="仿宋"/>
          <w:sz w:val="32"/>
          <w:szCs w:val="32"/>
        </w:rPr>
        <w:t>五、保障供电安全</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（十七）岸电供电企业和水路运输经营者应当建立健全码头岸电设施、船舶受电设施的管理、使用、维护保养制度和操作规程。</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（十八）港口经营人、岸电供电企业和船舶应当制定事故应急预案，明确岸电使用过程中各类事故的应急处置流程，并定期进行演练，适时修订。</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（十九）岸电供电企业和水路运输经营者应当设置岸电安全管理机构或配备专职管理人员，定期组织作业人员进行操作技能、设备使用、作业程序、安全防护和应急处置等培训。</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（二十）港口经营人、岸电供电企业和水路运输经营者应明确划分岸电使用安全责任。鼓励港口经营人、岸电供电企业和水路运输经营者购买岸电安全责任相关保险。</w:t>
      </w:r>
    </w:p>
    <w:p>
      <w:pPr>
        <w:pStyle w:val="4"/>
        <w:shd w:val="clear" w:color="auto" w:fill="FFFFFF"/>
        <w:snapToGrid w:val="0"/>
        <w:spacing w:before="0" w:beforeAutospacing="0" w:after="0" w:afterAutospacing="0" w:line="540" w:lineRule="atLeast"/>
        <w:ind w:firstLine="601"/>
        <w:jc w:val="both"/>
        <w:rPr>
          <w:rFonts w:ascii="仿宋" w:hAnsi="仿宋" w:eastAsia="仿宋"/>
          <w:b/>
          <w:bCs/>
          <w:sz w:val="32"/>
          <w:szCs w:val="32"/>
        </w:rPr>
      </w:pPr>
      <w:r>
        <w:rPr>
          <w:rFonts w:hint="eastAsia" w:ascii="仿宋" w:hAnsi="仿宋" w:eastAsia="仿宋"/>
          <w:b/>
          <w:bCs/>
          <w:sz w:val="32"/>
          <w:szCs w:val="32"/>
        </w:rPr>
        <w:t>六、加强监督管理</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二十一）洋浦港码头岸电设施建设和检测，港口经营人、岸电供电企业向靠港船舶提供岸电服务以及水路运输经营者组织实施船舶受电设施安装等情况由港口管理部门监督检查。船舶发现港口经营人、岸电供电企业未按照规定提供岸电服务的，应当及时报告港口管理部门。</w:t>
      </w:r>
      <w:r>
        <w:rPr>
          <w:rFonts w:hint="eastAsia" w:ascii="仿宋" w:hAnsi="仿宋" w:eastAsia="仿宋"/>
          <w:color w:val="FF0000"/>
          <w:sz w:val="32"/>
          <w:szCs w:val="32"/>
        </w:rPr>
        <w:t>洋浦经济开发区交通运输和港航局指导洋浦经济开发区交通运输管理中心具体开展岸电日常管理工作</w:t>
      </w:r>
      <w:r>
        <w:rPr>
          <w:rFonts w:hint="eastAsia" w:ascii="仿宋" w:hAnsi="仿宋" w:eastAsia="仿宋"/>
          <w:sz w:val="32"/>
          <w:szCs w:val="32"/>
        </w:rPr>
        <w:t>。</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二十二）海事管理部门负责船舶受电设施安装的监督管理，并可通过文件查阅等方式，核查船舶受电设施满足《办法》和船舶法定检验技术规则要求、船舶使用岸电等情况，如发现有不符要求的船舶，按照《办法》要求及时通报相关部门。港口经营人、岸电供电企业发现船舶未按照规定使用岸电的，应当及时报告海事管理部门。</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（二十三）船舶和港口未按《办法》要求规范建设、使用岸电设施的，由海事、港口管理部门按照《办法》第二十三条至第二十八条要求，责令限期改正。</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（二十四）海事、港口管理部门定期开展联合监管执法行动，双方按照职责分工，针对港口和船舶岸电存在问题，督促企业、船舶限期整改落实。</w:t>
      </w:r>
    </w:p>
    <w:p>
      <w:pPr>
        <w:pStyle w:val="4"/>
        <w:shd w:val="clear" w:color="auto" w:fill="FFFFFF"/>
        <w:snapToGrid w:val="0"/>
        <w:spacing w:before="0" w:beforeAutospacing="0" w:after="0" w:afterAutospacing="0" w:line="540" w:lineRule="atLeast"/>
        <w:ind w:firstLine="601"/>
        <w:jc w:val="both"/>
        <w:rPr>
          <w:rFonts w:ascii="仿宋" w:hAnsi="仿宋" w:eastAsia="仿宋"/>
          <w:b/>
          <w:bCs/>
          <w:sz w:val="32"/>
          <w:szCs w:val="32"/>
        </w:rPr>
      </w:pPr>
      <w:r>
        <w:rPr>
          <w:rFonts w:hint="eastAsia" w:ascii="仿宋" w:hAnsi="仿宋" w:eastAsia="仿宋"/>
          <w:b/>
          <w:bCs/>
          <w:sz w:val="32"/>
          <w:szCs w:val="32"/>
        </w:rPr>
        <w:t>七、附则</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（二十五）岸电供电质量、供电安全、电力供应与使用等应当符合相关电力法规，以及电力、船舶领域的强制性标准和技术规范。</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（二十六）本细则所称岸电供电企业是指为靠港船舶提供岸电服务的组织或单位，可为港口经营人或者受港口经营人委托的第三方。</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有效替代措施是指船舶靠港期间使用电能、</w:t>
      </w:r>
      <w:r>
        <w:rPr>
          <w:rFonts w:ascii="仿宋" w:hAnsi="仿宋" w:eastAsia="仿宋"/>
          <w:sz w:val="32"/>
          <w:szCs w:val="32"/>
        </w:rPr>
        <w:t>LNG等新能源、清洁能源作为动力，或者关闭辅机等其他等效措施。</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船舶受电设施是指船舶岸电系统船载装置。</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岸电设施是指由岸侧电力系统向停靠码头的船舶提供电能的设备及装置的整体，主要包括开关柜、岸电电源、接电装置、电缆管理装置等</w:t>
      </w:r>
      <w:r>
        <w:rPr>
          <w:rFonts w:ascii="仿宋" w:hAnsi="仿宋" w:eastAsia="仿宋"/>
          <w:sz w:val="32"/>
          <w:szCs w:val="32"/>
        </w:rPr>
        <w:t>。</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（二十七）公务船舶和工程船舶使用岸电参照本细则和《办法》执行；军事船舶、渔船和体育船舶不适用本细则和《办法》。</w:t>
      </w:r>
    </w:p>
    <w:p>
      <w:pPr>
        <w:pStyle w:val="4"/>
        <w:shd w:val="clear" w:color="auto" w:fill="FFFFFF"/>
        <w:snapToGrid w:val="0"/>
        <w:spacing w:before="0" w:beforeAutospacing="0" w:after="0" w:afterAutospacing="0" w:line="540" w:lineRule="atLeast"/>
        <w:ind w:firstLine="601"/>
        <w:jc w:val="both"/>
        <w:rPr>
          <w:rFonts w:ascii="仿宋" w:hAnsi="仿宋" w:eastAsia="仿宋"/>
          <w:sz w:val="32"/>
          <w:szCs w:val="32"/>
        </w:rPr>
      </w:pPr>
      <w:r>
        <w:rPr>
          <w:rFonts w:hint="eastAsia" w:ascii="仿宋" w:hAnsi="仿宋" w:eastAsia="仿宋"/>
          <w:sz w:val="32"/>
          <w:szCs w:val="32"/>
        </w:rPr>
        <w:t>（二十八）本细则自发布之日起实施。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51"/>
    <w:rsid w:val="00016DEE"/>
    <w:rsid w:val="000332A2"/>
    <w:rsid w:val="00045AAC"/>
    <w:rsid w:val="0007480F"/>
    <w:rsid w:val="00076465"/>
    <w:rsid w:val="000806DD"/>
    <w:rsid w:val="000B54B5"/>
    <w:rsid w:val="000C260F"/>
    <w:rsid w:val="000C6054"/>
    <w:rsid w:val="000C6C15"/>
    <w:rsid w:val="000D5AFA"/>
    <w:rsid w:val="000E2F32"/>
    <w:rsid w:val="00101EB0"/>
    <w:rsid w:val="00127683"/>
    <w:rsid w:val="00130822"/>
    <w:rsid w:val="00157E9B"/>
    <w:rsid w:val="00165CA3"/>
    <w:rsid w:val="00167A2B"/>
    <w:rsid w:val="00167E26"/>
    <w:rsid w:val="0017526E"/>
    <w:rsid w:val="001A4DD6"/>
    <w:rsid w:val="001B1499"/>
    <w:rsid w:val="001C2782"/>
    <w:rsid w:val="001D0C73"/>
    <w:rsid w:val="001D19F5"/>
    <w:rsid w:val="00214B95"/>
    <w:rsid w:val="00230E77"/>
    <w:rsid w:val="00251013"/>
    <w:rsid w:val="00256841"/>
    <w:rsid w:val="00275F34"/>
    <w:rsid w:val="00287E8C"/>
    <w:rsid w:val="00292F69"/>
    <w:rsid w:val="002A6770"/>
    <w:rsid w:val="00302429"/>
    <w:rsid w:val="00321FE2"/>
    <w:rsid w:val="00334ED4"/>
    <w:rsid w:val="00344484"/>
    <w:rsid w:val="00364B34"/>
    <w:rsid w:val="00364B91"/>
    <w:rsid w:val="00371ADB"/>
    <w:rsid w:val="00375DD7"/>
    <w:rsid w:val="003773A1"/>
    <w:rsid w:val="003B7794"/>
    <w:rsid w:val="003C7D79"/>
    <w:rsid w:val="003D5E0A"/>
    <w:rsid w:val="003D6A28"/>
    <w:rsid w:val="003D6ABB"/>
    <w:rsid w:val="003E7D5D"/>
    <w:rsid w:val="003F36CA"/>
    <w:rsid w:val="0042128A"/>
    <w:rsid w:val="00444A6A"/>
    <w:rsid w:val="004612DF"/>
    <w:rsid w:val="00471857"/>
    <w:rsid w:val="00474864"/>
    <w:rsid w:val="00486709"/>
    <w:rsid w:val="00492168"/>
    <w:rsid w:val="004932EA"/>
    <w:rsid w:val="00493D3D"/>
    <w:rsid w:val="004A347F"/>
    <w:rsid w:val="004A5098"/>
    <w:rsid w:val="004D171D"/>
    <w:rsid w:val="004E3296"/>
    <w:rsid w:val="004F00FB"/>
    <w:rsid w:val="004F2151"/>
    <w:rsid w:val="005500F1"/>
    <w:rsid w:val="00560477"/>
    <w:rsid w:val="005843FA"/>
    <w:rsid w:val="00593381"/>
    <w:rsid w:val="005A197C"/>
    <w:rsid w:val="005C075B"/>
    <w:rsid w:val="005D3881"/>
    <w:rsid w:val="005D64E0"/>
    <w:rsid w:val="005E7545"/>
    <w:rsid w:val="00631F8C"/>
    <w:rsid w:val="00643BDC"/>
    <w:rsid w:val="006652F5"/>
    <w:rsid w:val="0066677E"/>
    <w:rsid w:val="006759D0"/>
    <w:rsid w:val="00683D84"/>
    <w:rsid w:val="006B7CC8"/>
    <w:rsid w:val="006C5B4D"/>
    <w:rsid w:val="006D0464"/>
    <w:rsid w:val="006F3FEB"/>
    <w:rsid w:val="006F7891"/>
    <w:rsid w:val="00705BC4"/>
    <w:rsid w:val="00705EF5"/>
    <w:rsid w:val="00714C31"/>
    <w:rsid w:val="007331D5"/>
    <w:rsid w:val="00741954"/>
    <w:rsid w:val="0074551A"/>
    <w:rsid w:val="00763F51"/>
    <w:rsid w:val="007660A6"/>
    <w:rsid w:val="0077288C"/>
    <w:rsid w:val="007776EF"/>
    <w:rsid w:val="00785174"/>
    <w:rsid w:val="007A2E67"/>
    <w:rsid w:val="007A437F"/>
    <w:rsid w:val="007C0717"/>
    <w:rsid w:val="007C35C4"/>
    <w:rsid w:val="007C725C"/>
    <w:rsid w:val="007E5143"/>
    <w:rsid w:val="007F341A"/>
    <w:rsid w:val="008070B9"/>
    <w:rsid w:val="00822C44"/>
    <w:rsid w:val="00835577"/>
    <w:rsid w:val="00852180"/>
    <w:rsid w:val="00857D42"/>
    <w:rsid w:val="0086134D"/>
    <w:rsid w:val="00867373"/>
    <w:rsid w:val="00880210"/>
    <w:rsid w:val="00895604"/>
    <w:rsid w:val="008C5DB1"/>
    <w:rsid w:val="009038FC"/>
    <w:rsid w:val="00903C77"/>
    <w:rsid w:val="009809B1"/>
    <w:rsid w:val="00997AE7"/>
    <w:rsid w:val="009B58AE"/>
    <w:rsid w:val="009C4756"/>
    <w:rsid w:val="009F2293"/>
    <w:rsid w:val="00A05B59"/>
    <w:rsid w:val="00A553F1"/>
    <w:rsid w:val="00A640F3"/>
    <w:rsid w:val="00A85F33"/>
    <w:rsid w:val="00AC3D1A"/>
    <w:rsid w:val="00AD228A"/>
    <w:rsid w:val="00AD7D61"/>
    <w:rsid w:val="00AE19F6"/>
    <w:rsid w:val="00AF489A"/>
    <w:rsid w:val="00AF585C"/>
    <w:rsid w:val="00B11587"/>
    <w:rsid w:val="00B12A0D"/>
    <w:rsid w:val="00B2751B"/>
    <w:rsid w:val="00B35F7A"/>
    <w:rsid w:val="00B465D8"/>
    <w:rsid w:val="00B54180"/>
    <w:rsid w:val="00B5601C"/>
    <w:rsid w:val="00B7157D"/>
    <w:rsid w:val="00B76F74"/>
    <w:rsid w:val="00B80FBC"/>
    <w:rsid w:val="00B82EE5"/>
    <w:rsid w:val="00BB07C0"/>
    <w:rsid w:val="00BC5F17"/>
    <w:rsid w:val="00BC717A"/>
    <w:rsid w:val="00BF01E8"/>
    <w:rsid w:val="00BF2D36"/>
    <w:rsid w:val="00C13475"/>
    <w:rsid w:val="00C27629"/>
    <w:rsid w:val="00C35612"/>
    <w:rsid w:val="00C4103E"/>
    <w:rsid w:val="00C44673"/>
    <w:rsid w:val="00C64F8C"/>
    <w:rsid w:val="00C82EDF"/>
    <w:rsid w:val="00C8755F"/>
    <w:rsid w:val="00C911E1"/>
    <w:rsid w:val="00CA558C"/>
    <w:rsid w:val="00CA7270"/>
    <w:rsid w:val="00CB02EB"/>
    <w:rsid w:val="00CC0103"/>
    <w:rsid w:val="00CD32F8"/>
    <w:rsid w:val="00CF33D0"/>
    <w:rsid w:val="00D21FA0"/>
    <w:rsid w:val="00D22032"/>
    <w:rsid w:val="00D70470"/>
    <w:rsid w:val="00D83C14"/>
    <w:rsid w:val="00DA2DB7"/>
    <w:rsid w:val="00DB4488"/>
    <w:rsid w:val="00DD059C"/>
    <w:rsid w:val="00DD7970"/>
    <w:rsid w:val="00DE0012"/>
    <w:rsid w:val="00DE0E61"/>
    <w:rsid w:val="00E474EF"/>
    <w:rsid w:val="00E51FB9"/>
    <w:rsid w:val="00E55CEF"/>
    <w:rsid w:val="00E65C0F"/>
    <w:rsid w:val="00E75742"/>
    <w:rsid w:val="00E8737F"/>
    <w:rsid w:val="00E97A72"/>
    <w:rsid w:val="00EA2E99"/>
    <w:rsid w:val="00EB116C"/>
    <w:rsid w:val="00EC10FB"/>
    <w:rsid w:val="00EC2149"/>
    <w:rsid w:val="00EE315A"/>
    <w:rsid w:val="00F16D01"/>
    <w:rsid w:val="00F2213F"/>
    <w:rsid w:val="00F3634E"/>
    <w:rsid w:val="00F4524F"/>
    <w:rsid w:val="00F67C8B"/>
    <w:rsid w:val="00F730B5"/>
    <w:rsid w:val="00F84A0C"/>
    <w:rsid w:val="00F92BF7"/>
    <w:rsid w:val="00F9736E"/>
    <w:rsid w:val="00FA14CD"/>
    <w:rsid w:val="00FB0633"/>
    <w:rsid w:val="00FC2558"/>
    <w:rsid w:val="00FC79DA"/>
    <w:rsid w:val="00FE1631"/>
    <w:rsid w:val="00FE4B59"/>
    <w:rsid w:val="00FE595B"/>
    <w:rsid w:val="00FF7E05"/>
    <w:rsid w:val="BDA9B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567</Words>
  <Characters>3236</Characters>
  <Lines>26</Lines>
  <Paragraphs>7</Paragraphs>
  <TotalTime>517</TotalTime>
  <ScaleCrop>false</ScaleCrop>
  <LinksUpToDate>false</LinksUpToDate>
  <CharactersWithSpaces>3796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2022-05-08T13:51:00Z</dcterms:created>
  <dc:creator>小进 吴</dc:creator>
  <cp:lastModifiedBy>user</cp:lastModifiedBy>
  <dcterms:modified xsi:type="dcterms:W3CDTF">2022-06-20T11:33:47Z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