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tabs>
          <w:tab w:val="left" w:pos="6930"/>
        </w:tabs>
        <w:kinsoku/>
        <w:wordWrap/>
        <w:overflowPunct/>
        <w:topLinePunct w:val="0"/>
        <w:autoSpaceDE/>
        <w:autoSpaceDN/>
        <w:bidi w:val="0"/>
        <w:adjustRightInd/>
        <w:snapToGrid/>
        <w:spacing w:before="0" w:after="0" w:line="500" w:lineRule="exact"/>
        <w:jc w:val="both"/>
        <w:textAlignment w:val="auto"/>
        <w:rPr>
          <w:rFonts w:hint="eastAsia" w:ascii="黑体" w:hAnsi="黑体" w:eastAsia="黑体" w:cs="黑体"/>
          <w:b w:val="0"/>
          <w:bCs w:val="0"/>
          <w:color w:val="auto"/>
          <w:sz w:val="32"/>
          <w:szCs w:val="32"/>
          <w:highlight w:val="none"/>
          <w:lang w:val="en-US" w:eastAsia="zh-CN"/>
        </w:rPr>
      </w:pPr>
    </w:p>
    <w:p>
      <w:pPr>
        <w:pStyle w:val="4"/>
        <w:pageBreakBefore w:val="0"/>
        <w:widowControl w:val="0"/>
        <w:tabs>
          <w:tab w:val="left" w:pos="6930"/>
        </w:tabs>
        <w:kinsoku/>
        <w:wordWrap/>
        <w:overflowPunct/>
        <w:topLinePunct w:val="0"/>
        <w:autoSpaceDE/>
        <w:autoSpaceDN/>
        <w:bidi w:val="0"/>
        <w:adjustRightInd/>
        <w:snapToGrid/>
        <w:spacing w:before="0" w:after="0" w:line="500" w:lineRule="exact"/>
        <w:jc w:val="both"/>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ab/>
      </w:r>
    </w:p>
    <w:p>
      <w:pPr>
        <w:pageBreakBefore w:val="0"/>
        <w:widowControl w:val="0"/>
        <w:tabs>
          <w:tab w:val="left" w:pos="6930"/>
        </w:tabs>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ab/>
      </w:r>
    </w:p>
    <w:p>
      <w:pPr>
        <w:spacing w:line="580" w:lineRule="exact"/>
        <w:jc w:val="center"/>
        <w:rPr>
          <w:rFonts w:eastAsia="仿宋"/>
          <w:b/>
          <w:bCs/>
          <w:color w:val="auto"/>
          <w:sz w:val="44"/>
          <w:szCs w:val="44"/>
          <w:highlight w:val="none"/>
        </w:rPr>
      </w:pPr>
    </w:p>
    <w:p>
      <w:pPr>
        <w:spacing w:line="580" w:lineRule="exact"/>
        <w:jc w:val="center"/>
        <w:rPr>
          <w:rFonts w:eastAsia="仿宋"/>
          <w:b/>
          <w:bCs/>
          <w:color w:val="auto"/>
          <w:sz w:val="44"/>
          <w:szCs w:val="44"/>
          <w:highlight w:val="none"/>
        </w:rPr>
      </w:pPr>
    </w:p>
    <w:p>
      <w:pPr>
        <w:spacing w:line="580" w:lineRule="exact"/>
        <w:jc w:val="center"/>
        <w:rPr>
          <w:rFonts w:eastAsia="仿宋"/>
          <w:b/>
          <w:bCs/>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Cs/>
          <w:color w:val="auto"/>
          <w:sz w:val="52"/>
          <w:szCs w:val="52"/>
          <w:highlight w:val="none"/>
        </w:rPr>
      </w:pPr>
      <w:r>
        <w:rPr>
          <w:rFonts w:hint="eastAsia" w:ascii="方正小标宋_GBK" w:hAnsi="方正小标宋_GBK" w:eastAsia="方正小标宋_GBK" w:cs="方正小标宋_GBK"/>
          <w:bCs/>
          <w:color w:val="auto"/>
          <w:sz w:val="52"/>
          <w:szCs w:val="52"/>
          <w:highlight w:val="none"/>
        </w:rPr>
        <w:t>儋州市国民经济和社会发展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Cs/>
          <w:color w:val="auto"/>
          <w:sz w:val="52"/>
          <w:szCs w:val="52"/>
          <w:highlight w:val="none"/>
        </w:rPr>
      </w:pPr>
      <w:r>
        <w:rPr>
          <w:rFonts w:hint="eastAsia" w:ascii="方正小标宋_GBK" w:hAnsi="方正小标宋_GBK" w:eastAsia="方正小标宋_GBK" w:cs="方正小标宋_GBK"/>
          <w:bCs/>
          <w:color w:val="auto"/>
          <w:sz w:val="52"/>
          <w:szCs w:val="52"/>
          <w:highlight w:val="none"/>
        </w:rPr>
        <w:t>第十四个五年规划纲要</w:t>
      </w:r>
    </w:p>
    <w:p>
      <w:pPr>
        <w:spacing w:line="360" w:lineRule="auto"/>
        <w:jc w:val="center"/>
        <w:rPr>
          <w:rFonts w:hint="eastAsia" w:eastAsia="楷体_GB2312"/>
          <w:bCs/>
          <w:color w:val="auto"/>
          <w:spacing w:val="20"/>
          <w:sz w:val="32"/>
          <w:szCs w:val="44"/>
          <w:highlight w:val="none"/>
          <w:lang w:eastAsia="zh-CN"/>
        </w:rPr>
      </w:pPr>
      <w:r>
        <w:rPr>
          <w:rFonts w:hint="eastAsia" w:eastAsia="楷体_GB2312"/>
          <w:bCs/>
          <w:color w:val="auto"/>
          <w:spacing w:val="20"/>
          <w:sz w:val="32"/>
          <w:szCs w:val="44"/>
          <w:highlight w:val="none"/>
          <w:lang w:eastAsia="zh-CN"/>
        </w:rPr>
        <w:t>（2021年1月</w:t>
      </w:r>
      <w:r>
        <w:rPr>
          <w:rFonts w:hint="eastAsia" w:eastAsia="楷体_GB2312"/>
          <w:bCs/>
          <w:color w:val="auto"/>
          <w:spacing w:val="20"/>
          <w:sz w:val="32"/>
          <w:szCs w:val="44"/>
          <w:highlight w:val="none"/>
          <w:lang w:val="en-US" w:eastAsia="zh-CN"/>
        </w:rPr>
        <w:t>17</w:t>
      </w:r>
      <w:r>
        <w:rPr>
          <w:rFonts w:hint="eastAsia" w:eastAsia="楷体_GB2312"/>
          <w:bCs/>
          <w:color w:val="auto"/>
          <w:spacing w:val="20"/>
          <w:sz w:val="32"/>
          <w:szCs w:val="44"/>
          <w:highlight w:val="none"/>
          <w:lang w:eastAsia="zh-CN"/>
        </w:rPr>
        <w:t>日儋州市第十五届人民代表大会</w:t>
      </w:r>
    </w:p>
    <w:p>
      <w:pPr>
        <w:spacing w:line="360" w:lineRule="auto"/>
        <w:jc w:val="center"/>
        <w:rPr>
          <w:rFonts w:hint="eastAsia" w:eastAsia="楷体_GB2312"/>
          <w:bCs/>
          <w:color w:val="auto"/>
          <w:spacing w:val="20"/>
          <w:sz w:val="32"/>
          <w:szCs w:val="44"/>
          <w:highlight w:val="none"/>
          <w:lang w:eastAsia="zh-CN"/>
        </w:rPr>
      </w:pPr>
      <w:r>
        <w:rPr>
          <w:rFonts w:hint="eastAsia" w:eastAsia="楷体_GB2312"/>
          <w:bCs/>
          <w:color w:val="auto"/>
          <w:spacing w:val="20"/>
          <w:sz w:val="32"/>
          <w:szCs w:val="44"/>
          <w:highlight w:val="none"/>
          <w:lang w:eastAsia="zh-CN"/>
        </w:rPr>
        <w:t>第七次会议第三次全体会议通过</w:t>
      </w:r>
      <w:bookmarkStart w:id="248" w:name="_GoBack"/>
      <w:bookmarkEnd w:id="248"/>
      <w:r>
        <w:rPr>
          <w:rFonts w:hint="eastAsia" w:eastAsia="楷体_GB2312"/>
          <w:bCs/>
          <w:color w:val="auto"/>
          <w:spacing w:val="20"/>
          <w:sz w:val="32"/>
          <w:szCs w:val="44"/>
          <w:highlight w:val="none"/>
          <w:lang w:eastAsia="zh-CN"/>
        </w:rPr>
        <w:t>）</w:t>
      </w:r>
    </w:p>
    <w:p>
      <w:pPr>
        <w:pStyle w:val="2"/>
        <w:rPr>
          <w:color w:val="auto"/>
        </w:rPr>
      </w:pPr>
    </w:p>
    <w:p>
      <w:pPr>
        <w:spacing w:line="580" w:lineRule="exact"/>
        <w:jc w:val="center"/>
        <w:rPr>
          <w:rFonts w:eastAsia="仿宋"/>
          <w:b/>
          <w:bCs/>
          <w:color w:val="auto"/>
          <w:sz w:val="44"/>
          <w:szCs w:val="44"/>
          <w:highlight w:val="none"/>
        </w:rPr>
      </w:pPr>
    </w:p>
    <w:p>
      <w:pPr>
        <w:spacing w:line="580" w:lineRule="exact"/>
        <w:jc w:val="center"/>
        <w:rPr>
          <w:rFonts w:eastAsia="仿宋"/>
          <w:b/>
          <w:bCs/>
          <w:color w:val="auto"/>
          <w:sz w:val="44"/>
          <w:szCs w:val="44"/>
          <w:highlight w:val="none"/>
        </w:rPr>
      </w:pPr>
    </w:p>
    <w:p>
      <w:pPr>
        <w:spacing w:line="580" w:lineRule="exact"/>
        <w:jc w:val="center"/>
        <w:rPr>
          <w:rFonts w:eastAsia="仿宋"/>
          <w:b/>
          <w:bCs/>
          <w:color w:val="auto"/>
          <w:sz w:val="44"/>
          <w:szCs w:val="44"/>
          <w:highlight w:val="none"/>
        </w:rPr>
      </w:pPr>
    </w:p>
    <w:p>
      <w:pPr>
        <w:spacing w:line="580" w:lineRule="exact"/>
        <w:jc w:val="center"/>
        <w:rPr>
          <w:rFonts w:eastAsia="仿宋"/>
          <w:b/>
          <w:bCs/>
          <w:color w:val="auto"/>
          <w:sz w:val="44"/>
          <w:szCs w:val="44"/>
          <w:highlight w:val="none"/>
        </w:rPr>
      </w:pPr>
    </w:p>
    <w:p>
      <w:pPr>
        <w:spacing w:line="580" w:lineRule="exact"/>
        <w:jc w:val="center"/>
        <w:rPr>
          <w:rFonts w:eastAsia="仿宋"/>
          <w:b/>
          <w:bCs/>
          <w:color w:val="auto"/>
          <w:sz w:val="44"/>
          <w:szCs w:val="44"/>
          <w:highlight w:val="none"/>
        </w:rPr>
      </w:pPr>
    </w:p>
    <w:p>
      <w:pPr>
        <w:spacing w:line="580" w:lineRule="exact"/>
        <w:jc w:val="center"/>
        <w:rPr>
          <w:rFonts w:eastAsia="仿宋"/>
          <w:b/>
          <w:bCs/>
          <w:color w:val="auto"/>
          <w:sz w:val="44"/>
          <w:szCs w:val="44"/>
          <w:highlight w:val="none"/>
        </w:rPr>
      </w:pPr>
    </w:p>
    <w:p>
      <w:pPr>
        <w:spacing w:line="580" w:lineRule="exact"/>
        <w:jc w:val="center"/>
        <w:rPr>
          <w:rFonts w:eastAsia="仿宋"/>
          <w:b/>
          <w:bCs/>
          <w:color w:val="auto"/>
          <w:sz w:val="44"/>
          <w:szCs w:val="44"/>
          <w:highlight w:val="none"/>
        </w:rPr>
      </w:pPr>
    </w:p>
    <w:p>
      <w:pPr>
        <w:spacing w:line="580" w:lineRule="exact"/>
        <w:jc w:val="center"/>
        <w:rPr>
          <w:rFonts w:eastAsia="仿宋"/>
          <w:b/>
          <w:bCs/>
          <w:color w:val="auto"/>
          <w:sz w:val="44"/>
          <w:szCs w:val="44"/>
          <w:highlight w:val="none"/>
        </w:rPr>
      </w:pPr>
    </w:p>
    <w:p>
      <w:pPr>
        <w:spacing w:line="360" w:lineRule="auto"/>
        <w:jc w:val="center"/>
        <w:rPr>
          <w:rFonts w:eastAsia="楷体_GB2312"/>
          <w:bCs/>
          <w:color w:val="auto"/>
          <w:spacing w:val="20"/>
          <w:sz w:val="32"/>
          <w:szCs w:val="44"/>
          <w:highlight w:val="none"/>
        </w:rPr>
      </w:pPr>
      <w:r>
        <w:rPr>
          <w:rFonts w:hint="eastAsia" w:eastAsia="楷体_GB2312"/>
          <w:bCs/>
          <w:color w:val="auto"/>
          <w:spacing w:val="20"/>
          <w:sz w:val="32"/>
          <w:szCs w:val="44"/>
          <w:highlight w:val="none"/>
        </w:rPr>
        <w:t>海南省儋州市发展改革委员会编制</w:t>
      </w:r>
    </w:p>
    <w:p>
      <w:pPr>
        <w:spacing w:line="360" w:lineRule="auto"/>
        <w:jc w:val="center"/>
        <w:rPr>
          <w:rFonts w:hint="eastAsia" w:ascii="方正小标宋简体" w:hAnsi="方正小标宋简体" w:eastAsia="方正小标宋简体" w:cs="方正小标宋简体"/>
          <w:b w:val="0"/>
          <w:bCs w:val="0"/>
          <w:color w:val="auto"/>
          <w:kern w:val="2"/>
          <w:sz w:val="52"/>
          <w:szCs w:val="48"/>
          <w:highlight w:val="none"/>
          <w:lang w:val="en-US" w:eastAsia="zh-CN" w:bidi="ar-SA"/>
        </w:rPr>
      </w:pPr>
      <w:r>
        <w:rPr>
          <w:rFonts w:eastAsia="楷体_GB2312"/>
          <w:bCs/>
          <w:color w:val="auto"/>
          <w:spacing w:val="20"/>
          <w:sz w:val="32"/>
          <w:szCs w:val="44"/>
          <w:highlight w:val="none"/>
        </w:rPr>
        <w:t>202</w:t>
      </w:r>
      <w:r>
        <w:rPr>
          <w:rFonts w:hint="eastAsia" w:eastAsia="楷体_GB2312"/>
          <w:bCs/>
          <w:color w:val="auto"/>
          <w:spacing w:val="20"/>
          <w:sz w:val="32"/>
          <w:szCs w:val="44"/>
          <w:highlight w:val="none"/>
          <w:lang w:val="en-US" w:eastAsia="zh-CN"/>
        </w:rPr>
        <w:t>1</w:t>
      </w:r>
      <w:r>
        <w:rPr>
          <w:rFonts w:hint="eastAsia" w:eastAsia="楷体_GB2312"/>
          <w:bCs/>
          <w:color w:val="auto"/>
          <w:spacing w:val="20"/>
          <w:sz w:val="32"/>
          <w:szCs w:val="44"/>
          <w:highlight w:val="none"/>
        </w:rPr>
        <w:t>年</w:t>
      </w:r>
      <w:r>
        <w:rPr>
          <w:rFonts w:eastAsia="楷体_GB2312"/>
          <w:bCs/>
          <w:color w:val="auto"/>
          <w:spacing w:val="20"/>
          <w:sz w:val="32"/>
          <w:szCs w:val="44"/>
          <w:highlight w:val="none"/>
        </w:rPr>
        <w:t>1</w:t>
      </w:r>
      <w:r>
        <w:rPr>
          <w:rFonts w:hint="eastAsia" w:eastAsia="楷体_GB2312"/>
          <w:bCs/>
          <w:color w:val="auto"/>
          <w:spacing w:val="20"/>
          <w:sz w:val="32"/>
          <w:szCs w:val="44"/>
          <w:highlight w:val="none"/>
        </w:rPr>
        <w:t>月</w:t>
      </w:r>
    </w:p>
    <w:p>
      <w:pPr>
        <w:widowControl/>
        <w:jc w:val="left"/>
        <w:rPr>
          <w:color w:val="auto"/>
          <w:highlight w:val="none"/>
        </w:rPr>
      </w:pPr>
    </w:p>
    <w:p>
      <w:pPr>
        <w:pStyle w:val="2"/>
        <w:rPr>
          <w:color w:val="auto"/>
          <w:highlight w:val="none"/>
        </w:rPr>
      </w:pPr>
    </w:p>
    <w:p>
      <w:pPr>
        <w:spacing w:before="0" w:beforeLines="0" w:after="0" w:afterLines="0" w:line="240" w:lineRule="auto"/>
        <w:ind w:left="0" w:leftChars="0" w:right="0" w:rightChars="0" w:firstLine="0" w:firstLineChars="0"/>
        <w:jc w:val="center"/>
        <w:rPr>
          <w:rFonts w:ascii="宋体" w:hAnsi="宋体" w:eastAsia="宋体" w:cs="Times New Roman"/>
          <w:color w:val="auto"/>
          <w:kern w:val="2"/>
          <w:sz w:val="21"/>
          <w:highlight w:val="none"/>
          <w:lang w:val="en-US" w:eastAsia="zh-CN" w:bidi="ar-S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before="0" w:beforeLines="0" w:after="0" w:afterLines="0" w:line="240" w:lineRule="auto"/>
        <w:ind w:left="0" w:leftChars="0" w:right="0" w:rightChars="0" w:firstLine="0" w:firstLineChars="0"/>
        <w:jc w:val="center"/>
        <w:rPr>
          <w:rFonts w:ascii="宋体" w:hAnsi="宋体" w:eastAsia="宋体" w:cs="Times New Roman"/>
          <w:color w:val="auto"/>
          <w:kern w:val="2"/>
          <w:sz w:val="21"/>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sdt>
      <w:sdtPr>
        <w:rPr>
          <w:rFonts w:hint="eastAsia" w:ascii="方正小标宋简体" w:hAnsi="方正小标宋简体" w:eastAsia="方正小标宋简体" w:cs="方正小标宋简体"/>
          <w:color w:val="auto"/>
          <w:kern w:val="2"/>
          <w:sz w:val="44"/>
          <w:szCs w:val="40"/>
          <w:highlight w:val="none"/>
          <w:lang w:val="en-US" w:eastAsia="zh-CN" w:bidi="ar-SA"/>
        </w:rPr>
        <w:id w:val="147471065"/>
      </w:sdtPr>
      <w:sdtEndPr>
        <w:rPr>
          <w:rFonts w:hint="default" w:ascii="Times New Roman" w:hAnsi="Times New Roman" w:eastAsia="宋体" w:cs="Times New Roman"/>
          <w:b/>
          <w:bCs/>
          <w:color w:val="auto"/>
          <w:kern w:val="2"/>
          <w:sz w:val="20"/>
          <w:szCs w:val="20"/>
          <w:highlight w:val="none"/>
          <w:lang w:val="en-US" w:eastAsia="zh-CN" w:bidi="ar-SA"/>
        </w:rPr>
      </w:sdtEndPr>
      <w:sdtContent>
        <w:sdt>
          <w:sdtPr>
            <w:rPr>
              <w:rFonts w:hint="eastAsia" w:ascii="方正小标宋简体" w:hAnsi="方正小标宋简体" w:eastAsia="方正小标宋简体" w:cs="方正小标宋简体"/>
              <w:color w:val="auto"/>
              <w:kern w:val="2"/>
              <w:sz w:val="44"/>
              <w:szCs w:val="40"/>
              <w:highlight w:val="none"/>
              <w:lang w:val="en-US" w:eastAsia="zh-CN" w:bidi="ar-SA"/>
            </w:rPr>
            <w:id w:val="147479216"/>
          </w:sdtPr>
          <w:sdtEndPr>
            <w:rPr>
              <w:rFonts w:hint="eastAsia" w:ascii="Times New Roman" w:hAnsi="Times New Roman" w:eastAsia="宋体" w:cs="Times New Roman"/>
              <w:color w:val="auto"/>
              <w:kern w:val="2"/>
              <w:sz w:val="20"/>
              <w:szCs w:val="20"/>
              <w:highlight w:val="none"/>
              <w:lang w:val="en-US" w:eastAsia="zh-CN" w:bidi="ar-SA"/>
            </w:rPr>
          </w:sdtEndPr>
          <w:sdtContent>
            <w:sdt>
              <w:sdtPr>
                <w:rPr>
                  <w:rFonts w:hint="eastAsia" w:ascii="方正小标宋简体" w:hAnsi="方正小标宋简体" w:eastAsia="方正小标宋简体" w:cs="方正小标宋简体"/>
                  <w:color w:val="auto"/>
                  <w:kern w:val="2"/>
                  <w:sz w:val="44"/>
                  <w:szCs w:val="40"/>
                  <w:highlight w:val="none"/>
                  <w:lang w:val="en-US" w:eastAsia="zh-CN" w:bidi="ar-SA"/>
                </w:rPr>
                <w:id w:val="147459640"/>
                <w:docPartObj>
                  <w:docPartGallery w:val="Table of Contents"/>
                  <w:docPartUnique/>
                </w:docPartObj>
              </w:sdtPr>
              <w:sdtEndPr>
                <w:rPr>
                  <w:rFonts w:hint="eastAsia" w:ascii="Times New Roman" w:hAnsi="Times New Roman" w:eastAsia="宋体" w:cs="Times New Roman"/>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color w:val="auto"/>
                      <w:sz w:val="32"/>
                      <w:szCs w:val="32"/>
                    </w:rPr>
                  </w:pPr>
                  <w:bookmarkStart w:id="0" w:name="_Toc9779_WPSOffice_Type2"/>
                  <w:r>
                    <w:rPr>
                      <w:rFonts w:hint="eastAsia" w:ascii="方正小标宋_GBK" w:hAnsi="方正小标宋_GBK" w:eastAsia="方正小标宋_GBK" w:cs="方正小标宋_GBK"/>
                      <w:color w:val="auto"/>
                      <w:sz w:val="32"/>
                      <w:szCs w:val="32"/>
                    </w:rPr>
                    <w:t>目录</w:t>
                  </w:r>
                </w:p>
                <w:p>
                  <w:pPr>
                    <w:pStyle w:val="50"/>
                    <w:tabs>
                      <w:tab w:val="right" w:leader="dot" w:pos="8306"/>
                    </w:tabs>
                    <w:rPr>
                      <w:color w:val="auto"/>
                    </w:rPr>
                  </w:pPr>
                  <w:r>
                    <w:rPr>
                      <w:b/>
                      <w:bCs/>
                      <w:color w:val="auto"/>
                    </w:rPr>
                    <w:fldChar w:fldCharType="begin"/>
                  </w:r>
                  <w:r>
                    <w:rPr>
                      <w:color w:val="auto"/>
                    </w:rPr>
                    <w:instrText xml:space="preserve"> HYPERLINK \l _Toc4752_WPSOffice_Level1 </w:instrText>
                  </w:r>
                  <w:r>
                    <w:rPr>
                      <w:b/>
                      <w:bCs/>
                      <w:color w:val="auto"/>
                    </w:rPr>
                    <w:fldChar w:fldCharType="separate"/>
                  </w:r>
                  <w:sdt>
                    <w:sdtPr>
                      <w:rPr>
                        <w:rFonts w:ascii="Times New Roman" w:hAnsi="Times New Roman" w:eastAsia="宋体" w:cs="Times New Roman"/>
                        <w:b/>
                        <w:bCs/>
                        <w:color w:val="auto"/>
                        <w:kern w:val="2"/>
                        <w:sz w:val="21"/>
                        <w:lang w:val="en-US" w:eastAsia="zh-CN" w:bidi="ar-SA"/>
                      </w:rPr>
                      <w:id w:val="147459640"/>
                      <w:placeholder>
                        <w:docPart w:val="{c857d57a-7c05-4964-8f8b-f8b6c615b09a}"/>
                      </w:placeholder>
                    </w:sdtPr>
                    <w:sdtEndPr>
                      <w:rPr>
                        <w:rFonts w:ascii="Times New Roman" w:hAnsi="Times New Roman" w:eastAsia="宋体" w:cs="Times New Roman"/>
                        <w:b/>
                        <w:bCs/>
                        <w:color w:val="auto"/>
                        <w:kern w:val="2"/>
                        <w:sz w:val="21"/>
                        <w:lang w:val="en-US" w:eastAsia="zh-CN" w:bidi="ar-SA"/>
                      </w:rPr>
                    </w:sdtEndPr>
                    <w:sdtContent>
                      <w:r>
                        <w:rPr>
                          <w:rFonts w:hint="eastAsia" w:ascii="Times New Roman" w:hAnsi="Times New Roman" w:eastAsia="黑体" w:cs="Times New Roman"/>
                          <w:b/>
                          <w:bCs/>
                          <w:color w:val="auto"/>
                        </w:rPr>
                        <w:t>第一章 紧抓历史机遇 树立新理念引领新发展</w:t>
                      </w:r>
                    </w:sdtContent>
                  </w:sdt>
                  <w:r>
                    <w:rPr>
                      <w:b/>
                      <w:bCs/>
                      <w:color w:val="auto"/>
                    </w:rPr>
                    <w:tab/>
                  </w:r>
                  <w:bookmarkStart w:id="1" w:name="_Toc4752_WPSOffice_Level1Page"/>
                  <w:r>
                    <w:rPr>
                      <w:b/>
                      <w:bCs/>
                      <w:color w:val="auto"/>
                    </w:rPr>
                    <w:t>1</w:t>
                  </w:r>
                  <w:bookmarkEnd w:id="1"/>
                  <w:r>
                    <w:rPr>
                      <w:b/>
                      <w:bCs/>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_Toc9779_WPSOffice_Level2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7008faaa-dcab-463a-9058-044627c3594e}"/>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第一节 “十三五”时期的主要成就</w:t>
                      </w:r>
                    </w:sdtContent>
                  </w:sdt>
                  <w:r>
                    <w:rPr>
                      <w:color w:val="auto"/>
                    </w:rPr>
                    <w:tab/>
                  </w:r>
                  <w:bookmarkStart w:id="2" w:name="_Toc9779_WPSOffice_Level2Page"/>
                  <w:r>
                    <w:rPr>
                      <w:color w:val="auto"/>
                    </w:rPr>
                    <w:t>1</w:t>
                  </w:r>
                  <w:bookmarkEnd w:id="2"/>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_Toc2760_WPSOffice_Level2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f7ae22b7-f150-4d2c-87df-8acd91d1a5f7}"/>
                      </w:placeholder>
                    </w:sdtPr>
                    <w:sdtEndPr>
                      <w:rPr>
                        <w:rFonts w:ascii="Times New Roman" w:hAnsi="Times New Roman" w:eastAsia="宋体" w:cs="Times New Roman"/>
                        <w:color w:val="auto"/>
                        <w:kern w:val="2"/>
                        <w:sz w:val="21"/>
                        <w:lang w:val="en-US" w:eastAsia="zh-CN" w:bidi="ar-SA"/>
                      </w:rPr>
                    </w:sdtEndPr>
                    <w:sdtContent>
                      <w:r>
                        <w:rPr>
                          <w:rFonts w:hint="eastAsia" w:ascii="楷体_GB2312" w:hAnsi="楷体_GB2312" w:eastAsia="楷体_GB2312" w:cs="楷体_GB2312"/>
                          <w:color w:val="auto"/>
                        </w:rPr>
                        <w:t>第二节 “十四五”时期的发展环境</w:t>
                      </w:r>
                    </w:sdtContent>
                  </w:sdt>
                  <w:r>
                    <w:rPr>
                      <w:color w:val="auto"/>
                    </w:rPr>
                    <w:tab/>
                  </w:r>
                  <w:bookmarkStart w:id="3" w:name="_Toc2760_WPSOffice_Level2Page"/>
                  <w:r>
                    <w:rPr>
                      <w:color w:val="auto"/>
                    </w:rPr>
                    <w:t>7</w:t>
                  </w:r>
                  <w:bookmarkEnd w:id="3"/>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_Toc23017_WPSOffice_Level2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c51cdf28-0a1c-40b1-b97c-f5ed48dba07b}"/>
                      </w:placeholder>
                    </w:sdtPr>
                    <w:sdtEndPr>
                      <w:rPr>
                        <w:rFonts w:ascii="Times New Roman" w:hAnsi="Times New Roman" w:eastAsia="宋体" w:cs="Times New Roman"/>
                        <w:color w:val="auto"/>
                        <w:kern w:val="2"/>
                        <w:sz w:val="21"/>
                        <w:lang w:val="en-US" w:eastAsia="zh-CN" w:bidi="ar-SA"/>
                      </w:rPr>
                    </w:sdtEndPr>
                    <w:sdtContent>
                      <w:r>
                        <w:rPr>
                          <w:rFonts w:hint="eastAsia" w:ascii="楷体_GB2312" w:hAnsi="楷体_GB2312" w:eastAsia="楷体_GB2312" w:cs="楷体_GB2312"/>
                          <w:color w:val="auto"/>
                        </w:rPr>
                        <w:t>第三节 “十四五”发展的总体要求</w:t>
                      </w:r>
                    </w:sdtContent>
                  </w:sdt>
                  <w:r>
                    <w:rPr>
                      <w:color w:val="auto"/>
                    </w:rPr>
                    <w:tab/>
                  </w:r>
                  <w:bookmarkStart w:id="4" w:name="_Toc23017_WPSOffice_Level2Page"/>
                  <w:r>
                    <w:rPr>
                      <w:color w:val="auto"/>
                    </w:rPr>
                    <w:t>9</w:t>
                  </w:r>
                  <w:bookmarkEnd w:id="4"/>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_Toc4761_WPSOffice_Level2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f37200cd-3c03-4a29-905c-a4d4681680a7}"/>
                      </w:placeholder>
                    </w:sdtPr>
                    <w:sdtEndPr>
                      <w:rPr>
                        <w:rFonts w:hint="eastAsia" w:ascii="楷体_GB2312" w:hAnsi="楷体_GB2312" w:eastAsia="楷体_GB2312" w:cs="楷体_GB2312"/>
                        <w:color w:val="auto"/>
                        <w:kern w:val="2"/>
                        <w:sz w:val="21"/>
                        <w:lang w:val="en-US" w:eastAsia="zh-CN" w:bidi="ar-SA"/>
                      </w:rPr>
                    </w:sdtEndPr>
                    <w:sdtContent>
                      <w:r>
                        <w:rPr>
                          <w:rFonts w:hint="eastAsia" w:ascii="楷体_GB2312" w:hAnsi="楷体_GB2312" w:eastAsia="楷体_GB2312" w:cs="楷体_GB2312"/>
                          <w:color w:val="auto"/>
                        </w:rPr>
                        <w:t>“十四五”时期经济社会发展指标表</w:t>
                      </w:r>
                    </w:sdtContent>
                  </w:sdt>
                  <w:r>
                    <w:rPr>
                      <w:color w:val="auto"/>
                    </w:rPr>
                    <w:tab/>
                  </w:r>
                  <w:bookmarkStart w:id="5" w:name="_Toc4761_WPSOffice_Level2Page"/>
                  <w:r>
                    <w:rPr>
                      <w:color w:val="auto"/>
                    </w:rPr>
                    <w:t>13</w:t>
                  </w:r>
                  <w:bookmarkEnd w:id="5"/>
                  <w:r>
                    <w:rPr>
                      <w:color w:val="auto"/>
                    </w:rPr>
                    <w:fldChar w:fldCharType="end"/>
                  </w:r>
                </w:p>
                <w:p>
                  <w:pPr>
                    <w:pStyle w:val="50"/>
                    <w:tabs>
                      <w:tab w:val="right" w:leader="dot" w:pos="8306"/>
                    </w:tabs>
                    <w:rPr>
                      <w:color w:val="auto"/>
                    </w:rPr>
                  </w:pPr>
                  <w:r>
                    <w:rPr>
                      <w:b/>
                      <w:bCs/>
                      <w:color w:val="auto"/>
                    </w:rPr>
                    <w:fldChar w:fldCharType="begin"/>
                  </w:r>
                  <w:r>
                    <w:rPr>
                      <w:color w:val="auto"/>
                    </w:rPr>
                    <w:instrText xml:space="preserve"> HYPERLINK \l _Toc9779_WPSOffice_Level1 </w:instrText>
                  </w:r>
                  <w:r>
                    <w:rPr>
                      <w:b/>
                      <w:bCs/>
                      <w:color w:val="auto"/>
                    </w:rPr>
                    <w:fldChar w:fldCharType="separate"/>
                  </w:r>
                  <w:sdt>
                    <w:sdtPr>
                      <w:rPr>
                        <w:rFonts w:ascii="Times New Roman" w:hAnsi="Times New Roman" w:eastAsia="宋体" w:cs="Times New Roman"/>
                        <w:b/>
                        <w:bCs/>
                        <w:color w:val="auto"/>
                        <w:kern w:val="2"/>
                        <w:sz w:val="21"/>
                        <w:lang w:val="en-US" w:eastAsia="zh-CN" w:bidi="ar-SA"/>
                      </w:rPr>
                      <w:id w:val="147459640"/>
                      <w:placeholder>
                        <w:docPart w:val="{3efe7d98-a870-4334-bf02-047ebeed46d2}"/>
                      </w:placeholder>
                    </w:sdtPr>
                    <w:sdtEndPr>
                      <w:rPr>
                        <w:rFonts w:hint="eastAsia" w:ascii="Times New Roman" w:hAnsi="Times New Roman" w:eastAsia="黑体" w:cs="Times New Roman"/>
                        <w:b/>
                        <w:bCs/>
                        <w:color w:val="auto"/>
                        <w:kern w:val="2"/>
                        <w:sz w:val="21"/>
                        <w:lang w:val="en-US" w:eastAsia="zh-CN" w:bidi="ar-SA"/>
                      </w:rPr>
                    </w:sdtEndPr>
                    <w:sdtContent>
                      <w:r>
                        <w:rPr>
                          <w:rFonts w:hint="eastAsia" w:ascii="Times New Roman" w:hAnsi="Times New Roman" w:eastAsia="黑体" w:cs="Times New Roman"/>
                          <w:b/>
                          <w:bCs/>
                          <w:color w:val="auto"/>
                        </w:rPr>
                        <w:t>第二章 积极推进改革创新和联动发展</w:t>
                      </w:r>
                      <w:r>
                        <w:rPr>
                          <w:rFonts w:hint="eastAsia" w:ascii="Times New Roman" w:hAnsi="Times New Roman" w:eastAsia="黑体" w:cs="Times New Roman"/>
                          <w:b/>
                          <w:bCs/>
                          <w:color w:val="auto"/>
                          <w:lang w:val="en-US" w:eastAsia="zh-CN"/>
                        </w:rPr>
                        <w:t xml:space="preserve"> </w:t>
                      </w:r>
                    </w:sdtContent>
                  </w:sdt>
                  <w:sdt>
                    <w:sdtPr>
                      <w:rPr>
                        <w:rFonts w:hint="eastAsia" w:ascii="Times New Roman" w:hAnsi="Times New Roman" w:eastAsia="黑体" w:cs="Times New Roman"/>
                        <w:b/>
                        <w:bCs/>
                        <w:color w:val="auto"/>
                        <w:lang w:val="en-US" w:eastAsia="zh-CN"/>
                      </w:rPr>
                      <w:id w:val="147459640"/>
                      <w:placeholder>
                        <w:docPart w:val="{fcbf777e-8077-4309-933c-6812cc51abea}"/>
                      </w:placeholder>
                    </w:sdtPr>
                    <w:sdtEndPr>
                      <w:rPr>
                        <w:rFonts w:hint="eastAsia" w:ascii="Times New Roman" w:hAnsi="Times New Roman" w:eastAsia="宋体" w:cs="Times New Roman"/>
                        <w:b/>
                        <w:bCs/>
                        <w:color w:val="auto"/>
                        <w:kern w:val="2"/>
                        <w:sz w:val="21"/>
                        <w:lang w:val="en-US" w:eastAsia="zh-CN" w:bidi="ar-SA"/>
                      </w:rPr>
                    </w:sdtEndPr>
                    <w:sdtContent>
                      <w:r>
                        <w:rPr>
                          <w:rFonts w:hint="eastAsia" w:ascii="Times New Roman" w:hAnsi="Times New Roman" w:eastAsia="黑体" w:cs="Times New Roman"/>
                          <w:b/>
                          <w:bCs/>
                          <w:color w:val="auto"/>
                        </w:rPr>
                        <w:t>主动融入自由贸易港建设</w:t>
                      </w:r>
                    </w:sdtContent>
                  </w:sdt>
                  <w:r>
                    <w:rPr>
                      <w:b/>
                      <w:bCs/>
                      <w:color w:val="auto"/>
                    </w:rPr>
                    <w:tab/>
                  </w:r>
                  <w:bookmarkStart w:id="6" w:name="_Toc9779_WPSOffice_Level1Page"/>
                  <w:r>
                    <w:rPr>
                      <w:b/>
                      <w:bCs/>
                      <w:color w:val="auto"/>
                    </w:rPr>
                    <w:t>14</w:t>
                  </w:r>
                  <w:bookmarkEnd w:id="6"/>
                  <w:r>
                    <w:rPr>
                      <w:b/>
                      <w:bCs/>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_Toc4676_WPSOffice_Level2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9a083978-c3fb-421a-8bd1-472d6d44336b}"/>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第一节 突出制度集成创新，推动重点领域改革</w:t>
                      </w:r>
                    </w:sdtContent>
                  </w:sdt>
                  <w:r>
                    <w:rPr>
                      <w:color w:val="auto"/>
                    </w:rPr>
                    <w:tab/>
                  </w:r>
                  <w:bookmarkStart w:id="7" w:name="_Toc4676_WPSOffice_Level2Page"/>
                  <w:r>
                    <w:rPr>
                      <w:color w:val="auto"/>
                    </w:rPr>
                    <w:t>14</w:t>
                  </w:r>
                  <w:bookmarkEnd w:id="7"/>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_Toc25778_WPSOffice_Level2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8a4d18c2-c6c1-4333-9808-9d1ec3bc2ee3}"/>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第二节 实施联动发展，构建对外开放新发展格局</w:t>
                      </w:r>
                    </w:sdtContent>
                  </w:sdt>
                  <w:r>
                    <w:rPr>
                      <w:color w:val="auto"/>
                    </w:rPr>
                    <w:tab/>
                  </w:r>
                  <w:bookmarkStart w:id="8" w:name="_Toc25778_WPSOffice_Level2Page"/>
                  <w:r>
                    <w:rPr>
                      <w:color w:val="auto"/>
                    </w:rPr>
                    <w:t>16</w:t>
                  </w:r>
                  <w:bookmarkEnd w:id="8"/>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_Toc18374_WPSOffice_Level2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bcc96b2d-1848-461f-82a7-d3defbb39e25}"/>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第三节 优化营商环境，推动市场主体量质齐升</w:t>
                      </w:r>
                    </w:sdtContent>
                  </w:sdt>
                  <w:r>
                    <w:rPr>
                      <w:color w:val="auto"/>
                    </w:rPr>
                    <w:tab/>
                  </w:r>
                  <w:bookmarkStart w:id="9" w:name="_Toc18374_WPSOffice_Level2Page"/>
                  <w:r>
                    <w:rPr>
                      <w:color w:val="auto"/>
                    </w:rPr>
                    <w:t>17</w:t>
                  </w:r>
                  <w:bookmarkEnd w:id="9"/>
                  <w:r>
                    <w:rPr>
                      <w:color w:val="auto"/>
                    </w:rPr>
                    <w:fldChar w:fldCharType="end"/>
                  </w:r>
                </w:p>
                <w:p>
                  <w:pPr>
                    <w:pStyle w:val="50"/>
                    <w:tabs>
                      <w:tab w:val="right" w:leader="dot" w:pos="8306"/>
                    </w:tabs>
                    <w:rPr>
                      <w:color w:val="auto"/>
                    </w:rPr>
                  </w:pPr>
                  <w:r>
                    <w:rPr>
                      <w:b/>
                      <w:bCs/>
                      <w:color w:val="auto"/>
                    </w:rPr>
                    <w:fldChar w:fldCharType="begin"/>
                  </w:r>
                  <w:r>
                    <w:rPr>
                      <w:color w:val="auto"/>
                    </w:rPr>
                    <w:instrText xml:space="preserve"> HYPERLINK \l _Toc2760_WPSOffice_Level1 </w:instrText>
                  </w:r>
                  <w:r>
                    <w:rPr>
                      <w:b/>
                      <w:bCs/>
                      <w:color w:val="auto"/>
                    </w:rPr>
                    <w:fldChar w:fldCharType="separate"/>
                  </w:r>
                  <w:sdt>
                    <w:sdtPr>
                      <w:rPr>
                        <w:rFonts w:ascii="Times New Roman" w:hAnsi="Times New Roman" w:eastAsia="宋体" w:cs="Times New Roman"/>
                        <w:b/>
                        <w:bCs/>
                        <w:color w:val="auto"/>
                        <w:kern w:val="2"/>
                        <w:sz w:val="21"/>
                        <w:lang w:val="en-US" w:eastAsia="zh-CN" w:bidi="ar-SA"/>
                      </w:rPr>
                      <w:id w:val="147459640"/>
                      <w:placeholder>
                        <w:docPart w:val="{42a49c84-2693-42bd-a3c9-5428b92c6d59}"/>
                      </w:placeholder>
                    </w:sdtPr>
                    <w:sdtEndPr>
                      <w:rPr>
                        <w:rFonts w:ascii="Times New Roman" w:hAnsi="Times New Roman" w:eastAsia="宋体" w:cs="Times New Roman"/>
                        <w:b/>
                        <w:bCs/>
                        <w:color w:val="auto"/>
                        <w:kern w:val="2"/>
                        <w:sz w:val="21"/>
                        <w:lang w:val="en-US" w:eastAsia="zh-CN" w:bidi="ar-SA"/>
                      </w:rPr>
                    </w:sdtEndPr>
                    <w:sdtContent>
                      <w:r>
                        <w:rPr>
                          <w:rFonts w:hint="eastAsia" w:ascii="Times New Roman" w:hAnsi="Times New Roman" w:eastAsia="黑体" w:cs="Times New Roman"/>
                          <w:b/>
                          <w:bCs/>
                          <w:color w:val="auto"/>
                        </w:rPr>
                        <w:t>第三章 增强城市功能 建成西部中心城市</w:t>
                      </w:r>
                    </w:sdtContent>
                  </w:sdt>
                  <w:r>
                    <w:rPr>
                      <w:b/>
                      <w:bCs/>
                      <w:color w:val="auto"/>
                    </w:rPr>
                    <w:tab/>
                  </w:r>
                  <w:bookmarkStart w:id="10" w:name="_Toc2760_WPSOffice_Level1Page"/>
                  <w:r>
                    <w:rPr>
                      <w:b/>
                      <w:bCs/>
                      <w:color w:val="auto"/>
                    </w:rPr>
                    <w:t>19</w:t>
                  </w:r>
                  <w:bookmarkEnd w:id="10"/>
                  <w:r>
                    <w:rPr>
                      <w:b/>
                      <w:bCs/>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_Toc5221_WPSOffice_Level2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4195dc84-fc26-4596-b2b4-517ca70302eb}"/>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第一节 优化国土空间发展格局</w:t>
                      </w:r>
                    </w:sdtContent>
                  </w:sdt>
                  <w:r>
                    <w:rPr>
                      <w:color w:val="auto"/>
                    </w:rPr>
                    <w:tab/>
                  </w:r>
                  <w:bookmarkStart w:id="11" w:name="_Toc5221_WPSOffice_Level2Page"/>
                  <w:r>
                    <w:rPr>
                      <w:color w:val="auto"/>
                    </w:rPr>
                    <w:t>19</w:t>
                  </w:r>
                  <w:bookmarkEnd w:id="11"/>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_Toc32295_WPSOffice_Level2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c60e9a99-1174-4133-8610-3a27d7763b25}"/>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第二节 五网基础设施提质升级</w:t>
                      </w:r>
                    </w:sdtContent>
                  </w:sdt>
                  <w:r>
                    <w:rPr>
                      <w:color w:val="auto"/>
                    </w:rPr>
                    <w:tab/>
                  </w:r>
                  <w:bookmarkStart w:id="12" w:name="_Toc32295_WPSOffice_Level2Page"/>
                  <w:r>
                    <w:rPr>
                      <w:color w:val="auto"/>
                    </w:rPr>
                    <w:t>21</w:t>
                  </w:r>
                  <w:bookmarkEnd w:id="12"/>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_Toc32367_WPSOffice_Level2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790e3550-1800-4102-bb41-85a805d61382}"/>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第三节 提升西部中心城市功能品质</w:t>
                      </w:r>
                    </w:sdtContent>
                  </w:sdt>
                  <w:r>
                    <w:rPr>
                      <w:color w:val="auto"/>
                    </w:rPr>
                    <w:tab/>
                  </w:r>
                  <w:bookmarkStart w:id="13" w:name="_Toc32367_WPSOffice_Level2Page"/>
                  <w:r>
                    <w:rPr>
                      <w:color w:val="auto"/>
                    </w:rPr>
                    <w:t>24</w:t>
                  </w:r>
                  <w:bookmarkEnd w:id="13"/>
                  <w:r>
                    <w:rPr>
                      <w:color w:val="auto"/>
                    </w:rPr>
                    <w:fldChar w:fldCharType="end"/>
                  </w:r>
                </w:p>
                <w:p>
                  <w:pPr>
                    <w:pStyle w:val="50"/>
                    <w:tabs>
                      <w:tab w:val="right" w:leader="dot" w:pos="8306"/>
                    </w:tabs>
                    <w:rPr>
                      <w:color w:val="auto"/>
                    </w:rPr>
                  </w:pPr>
                  <w:r>
                    <w:rPr>
                      <w:b/>
                      <w:bCs/>
                      <w:color w:val="auto"/>
                    </w:rPr>
                    <w:fldChar w:fldCharType="begin"/>
                  </w:r>
                  <w:r>
                    <w:rPr>
                      <w:color w:val="auto"/>
                    </w:rPr>
                    <w:instrText xml:space="preserve"> HYPERLINK \l _Toc23017_WPSOffice_Level1 </w:instrText>
                  </w:r>
                  <w:r>
                    <w:rPr>
                      <w:b/>
                      <w:bCs/>
                      <w:color w:val="auto"/>
                    </w:rPr>
                    <w:fldChar w:fldCharType="separate"/>
                  </w:r>
                  <w:sdt>
                    <w:sdtPr>
                      <w:rPr>
                        <w:rFonts w:ascii="Times New Roman" w:hAnsi="Times New Roman" w:eastAsia="宋体" w:cs="Times New Roman"/>
                        <w:b/>
                        <w:bCs/>
                        <w:color w:val="auto"/>
                        <w:kern w:val="2"/>
                        <w:sz w:val="21"/>
                        <w:lang w:val="en-US" w:eastAsia="zh-CN" w:bidi="ar-SA"/>
                      </w:rPr>
                      <w:id w:val="147459640"/>
                      <w:placeholder>
                        <w:docPart w:val="{38e2402e-5542-4637-9c86-e9aae05efa71}"/>
                      </w:placeholder>
                    </w:sdtPr>
                    <w:sdtEndPr>
                      <w:rPr>
                        <w:rFonts w:ascii="Times New Roman" w:hAnsi="Times New Roman" w:eastAsia="宋体" w:cs="Times New Roman"/>
                        <w:b/>
                        <w:bCs/>
                        <w:color w:val="auto"/>
                        <w:kern w:val="2"/>
                        <w:sz w:val="21"/>
                        <w:lang w:val="en-US" w:eastAsia="zh-CN" w:bidi="ar-SA"/>
                      </w:rPr>
                    </w:sdtEndPr>
                    <w:sdtContent>
                      <w:r>
                        <w:rPr>
                          <w:rFonts w:hint="eastAsia" w:ascii="Times New Roman" w:hAnsi="Times New Roman" w:eastAsia="黑体" w:cs="Times New Roman"/>
                          <w:b/>
                          <w:bCs/>
                          <w:color w:val="auto"/>
                        </w:rPr>
                        <w:t>第四章 加快产业集聚 推动经济高质量发展</w:t>
                      </w:r>
                    </w:sdtContent>
                  </w:sdt>
                  <w:r>
                    <w:rPr>
                      <w:b/>
                      <w:bCs/>
                      <w:color w:val="auto"/>
                    </w:rPr>
                    <w:tab/>
                  </w:r>
                  <w:bookmarkStart w:id="14" w:name="_Toc23017_WPSOffice_Level1Page"/>
                  <w:r>
                    <w:rPr>
                      <w:b/>
                      <w:bCs/>
                      <w:color w:val="auto"/>
                    </w:rPr>
                    <w:t>25</w:t>
                  </w:r>
                  <w:bookmarkEnd w:id="14"/>
                  <w:r>
                    <w:rPr>
                      <w:b/>
                      <w:bCs/>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_Toc32667_WPSOffice_Level2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52c21e0d-8a98-46b5-893e-59cd189ca44b}"/>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第一节 建设海南国际旅游消费新高地</w:t>
                      </w:r>
                    </w:sdtContent>
                  </w:sdt>
                  <w:r>
                    <w:rPr>
                      <w:color w:val="auto"/>
                    </w:rPr>
                    <w:tab/>
                  </w:r>
                  <w:bookmarkStart w:id="15" w:name="_Toc32667_WPSOffice_Level2Page"/>
                  <w:r>
                    <w:rPr>
                      <w:color w:val="auto"/>
                    </w:rPr>
                    <w:t>25</w:t>
                  </w:r>
                  <w:bookmarkEnd w:id="15"/>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_Toc1534_WPSOffice_Level2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6e33d894-239e-4175-87d0-2afa73ba8078}"/>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第二节 加快发展现代服务业</w:t>
                      </w:r>
                    </w:sdtContent>
                  </w:sdt>
                  <w:r>
                    <w:rPr>
                      <w:color w:val="auto"/>
                    </w:rPr>
                    <w:tab/>
                  </w:r>
                  <w:bookmarkStart w:id="16" w:name="_Toc1534_WPSOffice_Level2Page"/>
                  <w:r>
                    <w:rPr>
                      <w:color w:val="auto"/>
                    </w:rPr>
                    <w:t>28</w:t>
                  </w:r>
                  <w:bookmarkEnd w:id="16"/>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_Toc25938_WPSOffice_Level2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18d03062-1875-4c55-8c19-53d05a620c0f}"/>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 xml:space="preserve">第三节 </w:t>
                      </w:r>
                      <w:r>
                        <w:rPr>
                          <w:rFonts w:hint="eastAsia" w:ascii="Times New Roman" w:hAnsi="Times New Roman" w:eastAsia="楷体_GB2312" w:cs="Times New Roman"/>
                          <w:color w:val="auto"/>
                        </w:rPr>
                        <w:t>大力推进高新技术产业</w:t>
                      </w:r>
                      <w:r>
                        <w:rPr>
                          <w:rFonts w:hint="default" w:ascii="Times New Roman" w:hAnsi="Times New Roman" w:eastAsia="楷体_GB2312" w:cs="Times New Roman"/>
                          <w:color w:val="auto"/>
                        </w:rPr>
                        <w:t>发展</w:t>
                      </w:r>
                    </w:sdtContent>
                  </w:sdt>
                  <w:r>
                    <w:rPr>
                      <w:color w:val="auto"/>
                    </w:rPr>
                    <w:tab/>
                  </w:r>
                  <w:bookmarkStart w:id="17" w:name="_Toc25938_WPSOffice_Level2Page"/>
                  <w:r>
                    <w:rPr>
                      <w:color w:val="auto"/>
                    </w:rPr>
                    <w:t>30</w:t>
                  </w:r>
                  <w:bookmarkEnd w:id="17"/>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_Toc32590_WPSOffice_Level2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11e80633-2ba4-4eab-b475-99f1280f9a6d}"/>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第四节 做优做强热带特色高效农业</w:t>
                      </w:r>
                    </w:sdtContent>
                  </w:sdt>
                  <w:r>
                    <w:rPr>
                      <w:color w:val="auto"/>
                    </w:rPr>
                    <w:tab/>
                  </w:r>
                  <w:bookmarkStart w:id="18" w:name="_Toc32590_WPSOffice_Level2Page"/>
                  <w:r>
                    <w:rPr>
                      <w:color w:val="auto"/>
                    </w:rPr>
                    <w:t>32</w:t>
                  </w:r>
                  <w:bookmarkEnd w:id="18"/>
                  <w:r>
                    <w:rPr>
                      <w:color w:val="auto"/>
                    </w:rPr>
                    <w:fldChar w:fldCharType="end"/>
                  </w:r>
                </w:p>
                <w:p>
                  <w:pPr>
                    <w:pStyle w:val="50"/>
                    <w:tabs>
                      <w:tab w:val="right" w:leader="dot" w:pos="8306"/>
                    </w:tabs>
                    <w:rPr>
                      <w:color w:val="auto"/>
                    </w:rPr>
                  </w:pPr>
                  <w:r>
                    <w:rPr>
                      <w:b/>
                      <w:bCs/>
                      <w:color w:val="auto"/>
                    </w:rPr>
                    <w:fldChar w:fldCharType="begin"/>
                  </w:r>
                  <w:r>
                    <w:rPr>
                      <w:color w:val="auto"/>
                    </w:rPr>
                    <w:instrText xml:space="preserve"> HYPERLINK \l _Toc4761_WPSOffice_Level1 </w:instrText>
                  </w:r>
                  <w:r>
                    <w:rPr>
                      <w:b/>
                      <w:bCs/>
                      <w:color w:val="auto"/>
                    </w:rPr>
                    <w:fldChar w:fldCharType="separate"/>
                  </w:r>
                  <w:sdt>
                    <w:sdtPr>
                      <w:rPr>
                        <w:rFonts w:ascii="Times New Roman" w:hAnsi="Times New Roman" w:eastAsia="宋体" w:cs="Times New Roman"/>
                        <w:b/>
                        <w:bCs/>
                        <w:color w:val="auto"/>
                        <w:kern w:val="2"/>
                        <w:sz w:val="21"/>
                        <w:lang w:val="en-US" w:eastAsia="zh-CN" w:bidi="ar-SA"/>
                      </w:rPr>
                      <w:id w:val="147459640"/>
                      <w:placeholder>
                        <w:docPart w:val="{421cccae-1510-4fba-949a-760f83ca0a9e}"/>
                      </w:placeholder>
                    </w:sdtPr>
                    <w:sdtEndPr>
                      <w:rPr>
                        <w:rFonts w:ascii="Times New Roman" w:hAnsi="Times New Roman" w:eastAsia="宋体" w:cs="Times New Roman"/>
                        <w:b/>
                        <w:bCs/>
                        <w:color w:val="auto"/>
                        <w:kern w:val="2"/>
                        <w:sz w:val="21"/>
                        <w:lang w:val="en-US" w:eastAsia="zh-CN" w:bidi="ar-SA"/>
                      </w:rPr>
                    </w:sdtEndPr>
                    <w:sdtContent>
                      <w:r>
                        <w:rPr>
                          <w:rFonts w:hint="eastAsia" w:ascii="Times New Roman" w:hAnsi="Times New Roman" w:eastAsia="黑体" w:cs="Times New Roman"/>
                          <w:b/>
                          <w:bCs/>
                          <w:color w:val="auto"/>
                        </w:rPr>
                        <w:t>第五章</w:t>
                      </w:r>
                      <w:r>
                        <w:rPr>
                          <w:rFonts w:ascii="Times New Roman" w:hAnsi="Times New Roman" w:eastAsia="黑体" w:cs="Times New Roman"/>
                          <w:b/>
                          <w:bCs/>
                          <w:color w:val="auto"/>
                        </w:rPr>
                        <w:t xml:space="preserve"> </w:t>
                      </w:r>
                      <w:r>
                        <w:rPr>
                          <w:rFonts w:hint="eastAsia" w:ascii="Times New Roman" w:hAnsi="Times New Roman" w:eastAsia="黑体" w:cs="Times New Roman"/>
                          <w:b/>
                          <w:bCs/>
                          <w:color w:val="auto"/>
                        </w:rPr>
                        <w:t>优先发展农业农村 全面推进乡村振兴</w:t>
                      </w:r>
                    </w:sdtContent>
                  </w:sdt>
                  <w:r>
                    <w:rPr>
                      <w:b/>
                      <w:bCs/>
                      <w:color w:val="auto"/>
                    </w:rPr>
                    <w:tab/>
                  </w:r>
                  <w:bookmarkStart w:id="19" w:name="_Toc4761_WPSOffice_Level1Page"/>
                  <w:r>
                    <w:rPr>
                      <w:b/>
                      <w:bCs/>
                      <w:color w:val="auto"/>
                    </w:rPr>
                    <w:t>36</w:t>
                  </w:r>
                  <w:bookmarkEnd w:id="19"/>
                  <w:r>
                    <w:rPr>
                      <w:b/>
                      <w:bCs/>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_Toc6945_WPSOffice_Level2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c06314a5-5df5-4572-aae1-07cb212262d9}"/>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第一节 实施乡村建设行动</w:t>
                      </w:r>
                    </w:sdtContent>
                  </w:sdt>
                  <w:r>
                    <w:rPr>
                      <w:color w:val="auto"/>
                    </w:rPr>
                    <w:tab/>
                  </w:r>
                  <w:bookmarkStart w:id="20" w:name="_Toc6945_WPSOffice_Level2Page"/>
                  <w:r>
                    <w:rPr>
                      <w:color w:val="auto"/>
                    </w:rPr>
                    <w:t>36</w:t>
                  </w:r>
                  <w:bookmarkEnd w:id="20"/>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_Toc5444_WPSOffice_Level2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2ba2b302-207c-446c-bdf9-ade2800120ca}"/>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第二节 持续推进农村人居环境综合整治</w:t>
                      </w:r>
                    </w:sdtContent>
                  </w:sdt>
                  <w:r>
                    <w:rPr>
                      <w:color w:val="auto"/>
                    </w:rPr>
                    <w:tab/>
                  </w:r>
                  <w:bookmarkStart w:id="21" w:name="_Toc5444_WPSOffice_Level2Page"/>
                  <w:r>
                    <w:rPr>
                      <w:color w:val="auto"/>
                    </w:rPr>
                    <w:t>37</w:t>
                  </w:r>
                  <w:bookmarkEnd w:id="21"/>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_Toc23858_WPSOffice_Level2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96b5357f-36e9-4d08-a770-8134e23e0889}"/>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第三节 促进农民增收致富</w:t>
                      </w:r>
                    </w:sdtContent>
                  </w:sdt>
                  <w:r>
                    <w:rPr>
                      <w:color w:val="auto"/>
                    </w:rPr>
                    <w:tab/>
                  </w:r>
                  <w:bookmarkStart w:id="22" w:name="_Toc23858_WPSOffice_Level2Page"/>
                  <w:r>
                    <w:rPr>
                      <w:color w:val="auto"/>
                    </w:rPr>
                    <w:t>40</w:t>
                  </w:r>
                  <w:bookmarkEnd w:id="22"/>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_Toc17622_WPSOffice_Level2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e5b5ab9b-4cb8-4902-b09e-a72fe576f98d}"/>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第四节 持续深化农村农垦改革</w:t>
                      </w:r>
                    </w:sdtContent>
                  </w:sdt>
                  <w:r>
                    <w:rPr>
                      <w:color w:val="auto"/>
                    </w:rPr>
                    <w:tab/>
                  </w:r>
                  <w:bookmarkStart w:id="23" w:name="_Toc17622_WPSOffice_Level2Page"/>
                  <w:r>
                    <w:rPr>
                      <w:color w:val="auto"/>
                    </w:rPr>
                    <w:t>41</w:t>
                  </w:r>
                  <w:bookmarkEnd w:id="23"/>
                  <w:r>
                    <w:rPr>
                      <w:color w:val="auto"/>
                    </w:rPr>
                    <w:fldChar w:fldCharType="end"/>
                  </w:r>
                </w:p>
                <w:p>
                  <w:pPr>
                    <w:pStyle w:val="50"/>
                    <w:tabs>
                      <w:tab w:val="right" w:leader="dot" w:pos="8306"/>
                    </w:tabs>
                    <w:rPr>
                      <w:color w:val="auto"/>
                    </w:rPr>
                  </w:pPr>
                  <w:r>
                    <w:rPr>
                      <w:b/>
                      <w:bCs/>
                      <w:color w:val="auto"/>
                    </w:rPr>
                    <w:fldChar w:fldCharType="begin"/>
                  </w:r>
                  <w:r>
                    <w:rPr>
                      <w:color w:val="auto"/>
                    </w:rPr>
                    <w:instrText xml:space="preserve"> HYPERLINK \l _Toc24643_WPSOffice_Level1 </w:instrText>
                  </w:r>
                  <w:r>
                    <w:rPr>
                      <w:b/>
                      <w:bCs/>
                      <w:color w:val="auto"/>
                    </w:rPr>
                    <w:fldChar w:fldCharType="separate"/>
                  </w:r>
                  <w:sdt>
                    <w:sdtPr>
                      <w:rPr>
                        <w:rFonts w:ascii="Times New Roman" w:hAnsi="Times New Roman" w:eastAsia="宋体" w:cs="Times New Roman"/>
                        <w:b/>
                        <w:bCs/>
                        <w:color w:val="auto"/>
                        <w:kern w:val="2"/>
                        <w:sz w:val="21"/>
                        <w:lang w:val="en-US" w:eastAsia="zh-CN" w:bidi="ar-SA"/>
                      </w:rPr>
                      <w:id w:val="147459640"/>
                      <w:placeholder>
                        <w:docPart w:val="{e2ff62c7-5d93-4e61-8590-955e5e1d05e1}"/>
                      </w:placeholder>
                    </w:sdtPr>
                    <w:sdtEndPr>
                      <w:rPr>
                        <w:rFonts w:ascii="Times New Roman" w:hAnsi="Times New Roman" w:eastAsia="宋体" w:cs="Times New Roman"/>
                        <w:b/>
                        <w:bCs/>
                        <w:color w:val="auto"/>
                        <w:kern w:val="2"/>
                        <w:sz w:val="21"/>
                        <w:lang w:val="en-US" w:eastAsia="zh-CN" w:bidi="ar-SA"/>
                      </w:rPr>
                    </w:sdtEndPr>
                    <w:sdtContent>
                      <w:r>
                        <w:rPr>
                          <w:rFonts w:hint="eastAsia" w:ascii="Times New Roman" w:hAnsi="Times New Roman" w:eastAsia="黑体" w:cs="Times New Roman"/>
                          <w:b/>
                          <w:bCs/>
                          <w:color w:val="auto"/>
                        </w:rPr>
                        <w:t>第六章</w:t>
                      </w:r>
                      <w:r>
                        <w:rPr>
                          <w:rFonts w:ascii="Times New Roman" w:hAnsi="Times New Roman" w:eastAsia="黑体" w:cs="Times New Roman"/>
                          <w:b/>
                          <w:bCs/>
                          <w:color w:val="auto"/>
                        </w:rPr>
                        <w:t xml:space="preserve"> </w:t>
                      </w:r>
                      <w:r>
                        <w:rPr>
                          <w:rFonts w:hint="eastAsia" w:ascii="Times New Roman" w:hAnsi="Times New Roman" w:eastAsia="黑体" w:cs="Times New Roman"/>
                          <w:b/>
                          <w:bCs/>
                          <w:color w:val="auto"/>
                        </w:rPr>
                        <w:t>践行绿色发展</w:t>
                      </w:r>
                      <w:r>
                        <w:rPr>
                          <w:rFonts w:hint="eastAsia" w:eastAsia="黑体" w:cs="Times New Roman"/>
                          <w:b/>
                          <w:bCs/>
                          <w:color w:val="auto"/>
                          <w:lang w:val="en-US" w:eastAsia="zh-CN"/>
                        </w:rPr>
                        <w:t xml:space="preserve"> </w:t>
                      </w:r>
                      <w:sdt>
                        <w:sdtPr>
                          <w:rPr>
                            <w:rFonts w:ascii="Times New Roman" w:hAnsi="Times New Roman" w:eastAsia="宋体" w:cs="Times New Roman"/>
                            <w:b/>
                            <w:bCs/>
                            <w:color w:val="auto"/>
                            <w:kern w:val="2"/>
                            <w:sz w:val="21"/>
                            <w:lang w:val="en-US" w:eastAsia="zh-CN" w:bidi="ar-SA"/>
                          </w:rPr>
                          <w:id w:val="147459640"/>
                          <w:placeholder>
                            <w:docPart w:val="{6c9ca509-eaf5-4fa1-bf30-5a957696d0d3}"/>
                          </w:placeholder>
                        </w:sdtPr>
                        <w:sdtEndPr>
                          <w:rPr>
                            <w:rFonts w:ascii="Times New Roman" w:hAnsi="Times New Roman" w:eastAsia="宋体" w:cs="Times New Roman"/>
                            <w:b/>
                            <w:bCs/>
                            <w:color w:val="auto"/>
                            <w:kern w:val="2"/>
                            <w:sz w:val="21"/>
                            <w:lang w:val="en-US" w:eastAsia="zh-CN" w:bidi="ar-SA"/>
                          </w:rPr>
                        </w:sdtEndPr>
                        <w:sdtContent>
                          <w:r>
                            <w:rPr>
                              <w:rFonts w:hint="eastAsia" w:ascii="Times New Roman" w:hAnsi="Times New Roman" w:eastAsia="黑体" w:cs="Times New Roman"/>
                              <w:b/>
                              <w:bCs/>
                              <w:color w:val="auto"/>
                            </w:rPr>
                            <w:t>全力创建国家生态文明建设示范市</w:t>
                          </w:r>
                        </w:sdtContent>
                      </w:sdt>
                    </w:sdtContent>
                  </w:sdt>
                  <w:r>
                    <w:rPr>
                      <w:b/>
                      <w:bCs/>
                      <w:color w:val="auto"/>
                    </w:rPr>
                    <w:tab/>
                  </w:r>
                  <w:bookmarkStart w:id="24" w:name="_Toc24643_WPSOffice_Level1Page"/>
                  <w:r>
                    <w:rPr>
                      <w:b/>
                      <w:bCs/>
                      <w:color w:val="auto"/>
                    </w:rPr>
                    <w:t>43</w:t>
                  </w:r>
                  <w:bookmarkEnd w:id="24"/>
                  <w:r>
                    <w:rPr>
                      <w:b/>
                      <w:bCs/>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_Toc25763_WPSOffice_Level2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6cacc562-83c0-4b1c-aed1-a411f44e261a}"/>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第一节 加快推动绿色低碳发展</w:t>
                      </w:r>
                    </w:sdtContent>
                  </w:sdt>
                  <w:r>
                    <w:rPr>
                      <w:color w:val="auto"/>
                    </w:rPr>
                    <w:tab/>
                  </w:r>
                  <w:bookmarkStart w:id="25" w:name="_Toc25763_WPSOffice_Level2Page"/>
                  <w:r>
                    <w:rPr>
                      <w:color w:val="auto"/>
                    </w:rPr>
                    <w:t>43</w:t>
                  </w:r>
                  <w:bookmarkEnd w:id="25"/>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_Toc6549_WPSOffice_Level2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360df502-7e28-4134-bb25-f2f4963dcc67}"/>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 xml:space="preserve">第二节 </w:t>
                      </w:r>
                      <w:r>
                        <w:rPr>
                          <w:rFonts w:hint="default" w:ascii="Arial" w:hAnsi="Arial" w:eastAsia="楷体_GB2312" w:cs="Times New Roman"/>
                          <w:color w:val="auto"/>
                        </w:rPr>
                        <w:t>持续加强生态环境治理</w:t>
                      </w:r>
                    </w:sdtContent>
                  </w:sdt>
                  <w:r>
                    <w:rPr>
                      <w:color w:val="auto"/>
                    </w:rPr>
                    <w:tab/>
                  </w:r>
                  <w:bookmarkStart w:id="26" w:name="_Toc6549_WPSOffice_Level2Page"/>
                  <w:r>
                    <w:rPr>
                      <w:color w:val="auto"/>
                    </w:rPr>
                    <w:t>44</w:t>
                  </w:r>
                  <w:bookmarkEnd w:id="26"/>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_Toc8815_WPSOffice_Level2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7ab606dd-808f-4c1e-ba6b-588d4673759d}"/>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第三节 优化生态环境空间布局</w:t>
                      </w:r>
                    </w:sdtContent>
                  </w:sdt>
                  <w:r>
                    <w:rPr>
                      <w:color w:val="auto"/>
                    </w:rPr>
                    <w:tab/>
                  </w:r>
                  <w:bookmarkStart w:id="27" w:name="_Toc8815_WPSOffice_Level2Page"/>
                  <w:r>
                    <w:rPr>
                      <w:color w:val="auto"/>
                    </w:rPr>
                    <w:t>45</w:t>
                  </w:r>
                  <w:bookmarkEnd w:id="27"/>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_Toc24704_WPSOffice_Level2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1304a192-ed37-4893-854c-7ac83099cc68}"/>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第四节 建立健全生态文明建设长效机制</w:t>
                      </w:r>
                    </w:sdtContent>
                  </w:sdt>
                  <w:r>
                    <w:rPr>
                      <w:color w:val="auto"/>
                    </w:rPr>
                    <w:tab/>
                  </w:r>
                  <w:bookmarkStart w:id="28" w:name="_Toc24704_WPSOffice_Level2Page"/>
                  <w:r>
                    <w:rPr>
                      <w:color w:val="auto"/>
                    </w:rPr>
                    <w:t>46</w:t>
                  </w:r>
                  <w:bookmarkEnd w:id="28"/>
                  <w:r>
                    <w:rPr>
                      <w:color w:val="auto"/>
                    </w:rPr>
                    <w:fldChar w:fldCharType="end"/>
                  </w:r>
                </w:p>
                <w:p>
                  <w:pPr>
                    <w:pStyle w:val="50"/>
                    <w:tabs>
                      <w:tab w:val="right" w:leader="dot" w:pos="8306"/>
                    </w:tabs>
                    <w:rPr>
                      <w:color w:val="auto"/>
                    </w:rPr>
                  </w:pPr>
                  <w:r>
                    <w:rPr>
                      <w:b/>
                      <w:bCs/>
                      <w:color w:val="auto"/>
                    </w:rPr>
                    <w:fldChar w:fldCharType="begin"/>
                  </w:r>
                  <w:r>
                    <w:rPr>
                      <w:color w:val="auto"/>
                    </w:rPr>
                    <w:instrText xml:space="preserve"> HYPERLINK \l _Toc4676_WPSOffice_Level1 </w:instrText>
                  </w:r>
                  <w:r>
                    <w:rPr>
                      <w:b/>
                      <w:bCs/>
                      <w:color w:val="auto"/>
                    </w:rPr>
                    <w:fldChar w:fldCharType="separate"/>
                  </w:r>
                  <w:sdt>
                    <w:sdtPr>
                      <w:rPr>
                        <w:rFonts w:ascii="Times New Roman" w:hAnsi="Times New Roman" w:eastAsia="宋体" w:cs="Times New Roman"/>
                        <w:b/>
                        <w:bCs/>
                        <w:color w:val="auto"/>
                        <w:kern w:val="2"/>
                        <w:sz w:val="21"/>
                        <w:lang w:val="en-US" w:eastAsia="zh-CN" w:bidi="ar-SA"/>
                      </w:rPr>
                      <w:id w:val="147459640"/>
                      <w:placeholder>
                        <w:docPart w:val="{9516f9ed-79c6-4562-9209-ae6ecb853e27}"/>
                      </w:placeholder>
                    </w:sdtPr>
                    <w:sdtEndPr>
                      <w:rPr>
                        <w:rFonts w:ascii="Times New Roman" w:hAnsi="Times New Roman" w:eastAsia="宋体" w:cs="Times New Roman"/>
                        <w:b/>
                        <w:bCs/>
                        <w:color w:val="auto"/>
                        <w:kern w:val="2"/>
                        <w:sz w:val="21"/>
                        <w:lang w:val="en-US" w:eastAsia="zh-CN" w:bidi="ar-SA"/>
                      </w:rPr>
                    </w:sdtEndPr>
                    <w:sdtContent>
                      <w:r>
                        <w:rPr>
                          <w:rFonts w:hint="eastAsia" w:ascii="Times New Roman" w:hAnsi="Times New Roman" w:eastAsia="黑体" w:cs="Times New Roman"/>
                          <w:b/>
                          <w:bCs/>
                          <w:color w:val="auto"/>
                        </w:rPr>
                        <w:t>第七章 繁荣发展文化事业和文化产业</w:t>
                      </w:r>
                      <w:r>
                        <w:rPr>
                          <w:rFonts w:hint="eastAsia" w:eastAsia="黑体" w:cs="Times New Roman"/>
                          <w:b/>
                          <w:bCs/>
                          <w:color w:val="auto"/>
                          <w:lang w:val="en-US" w:eastAsia="zh-CN"/>
                        </w:rPr>
                        <w:t xml:space="preserve"> </w:t>
                      </w:r>
                      <w:sdt>
                        <w:sdtPr>
                          <w:rPr>
                            <w:rFonts w:ascii="Times New Roman" w:hAnsi="Times New Roman" w:eastAsia="宋体" w:cs="Times New Roman"/>
                            <w:b/>
                            <w:bCs/>
                            <w:color w:val="auto"/>
                            <w:kern w:val="2"/>
                            <w:sz w:val="21"/>
                            <w:lang w:val="en-US" w:eastAsia="zh-CN" w:bidi="ar-SA"/>
                          </w:rPr>
                          <w:id w:val="147459640"/>
                          <w:placeholder>
                            <w:docPart w:val="{dfe1104b-fa30-4372-b977-1d26fbaf654f}"/>
                          </w:placeholder>
                        </w:sdtPr>
                        <w:sdtEndPr>
                          <w:rPr>
                            <w:rFonts w:ascii="Times New Roman" w:hAnsi="Times New Roman" w:eastAsia="宋体" w:cs="Times New Roman"/>
                            <w:b/>
                            <w:bCs/>
                            <w:color w:val="auto"/>
                            <w:kern w:val="2"/>
                            <w:sz w:val="21"/>
                            <w:lang w:val="en-US" w:eastAsia="zh-CN" w:bidi="ar-SA"/>
                          </w:rPr>
                        </w:sdtEndPr>
                        <w:sdtContent>
                          <w:r>
                            <w:rPr>
                              <w:rFonts w:hint="eastAsia" w:ascii="Times New Roman" w:hAnsi="Times New Roman" w:eastAsia="黑体" w:cs="Times New Roman"/>
                              <w:b/>
                              <w:bCs/>
                              <w:color w:val="auto"/>
                            </w:rPr>
                            <w:t>提升文化软实力</w:t>
                          </w:r>
                        </w:sdtContent>
                      </w:sdt>
                    </w:sdtContent>
                  </w:sdt>
                  <w:r>
                    <w:rPr>
                      <w:b/>
                      <w:bCs/>
                      <w:color w:val="auto"/>
                    </w:rPr>
                    <w:tab/>
                  </w:r>
                  <w:bookmarkStart w:id="29" w:name="_Toc4676_WPSOffice_Level1Page"/>
                  <w:r>
                    <w:rPr>
                      <w:b/>
                      <w:bCs/>
                      <w:color w:val="auto"/>
                    </w:rPr>
                    <w:t>47</w:t>
                  </w:r>
                  <w:bookmarkEnd w:id="29"/>
                  <w:r>
                    <w:rPr>
                      <w:b/>
                      <w:bCs/>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_Toc16060_WPSOffice_Level2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fcc36905-88d8-4e88-b637-0e8f121ada3c}"/>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第一节 提高社会文明程度</w:t>
                      </w:r>
                    </w:sdtContent>
                  </w:sdt>
                  <w:r>
                    <w:rPr>
                      <w:color w:val="auto"/>
                    </w:rPr>
                    <w:tab/>
                  </w:r>
                  <w:bookmarkStart w:id="30" w:name="_Toc16060_WPSOffice_Level2Page"/>
                  <w:r>
                    <w:rPr>
                      <w:color w:val="auto"/>
                    </w:rPr>
                    <w:t>48</w:t>
                  </w:r>
                  <w:bookmarkEnd w:id="30"/>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_Toc15141_WPSOffice_Level2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efa714d8-5217-4b23-843a-6a2647e60d34}"/>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第二节 加快发展文化体育事业</w:t>
                      </w:r>
                    </w:sdtContent>
                  </w:sdt>
                  <w:r>
                    <w:rPr>
                      <w:color w:val="auto"/>
                    </w:rPr>
                    <w:tab/>
                  </w:r>
                  <w:bookmarkStart w:id="31" w:name="_Toc15141_WPSOffice_Level2Page"/>
                  <w:r>
                    <w:rPr>
                      <w:color w:val="auto"/>
                    </w:rPr>
                    <w:t>49</w:t>
                  </w:r>
                  <w:bookmarkEnd w:id="31"/>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_Toc11040_WPSOffice_Level2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52727b91-6207-4329-a7bb-1aa9ab99947b}"/>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第三节 构建现代文化产业体系</w:t>
                      </w:r>
                    </w:sdtContent>
                  </w:sdt>
                  <w:r>
                    <w:rPr>
                      <w:color w:val="auto"/>
                    </w:rPr>
                    <w:tab/>
                  </w:r>
                  <w:bookmarkStart w:id="32" w:name="_Toc11040_WPSOffice_Level2Page"/>
                  <w:r>
                    <w:rPr>
                      <w:color w:val="auto"/>
                    </w:rPr>
                    <w:t>51</w:t>
                  </w:r>
                  <w:bookmarkEnd w:id="32"/>
                  <w:r>
                    <w:rPr>
                      <w:color w:val="auto"/>
                    </w:rPr>
                    <w:fldChar w:fldCharType="end"/>
                  </w:r>
                </w:p>
                <w:p>
                  <w:pPr>
                    <w:pStyle w:val="50"/>
                    <w:tabs>
                      <w:tab w:val="right" w:leader="dot" w:pos="8306"/>
                    </w:tabs>
                    <w:rPr>
                      <w:color w:val="auto"/>
                    </w:rPr>
                  </w:pPr>
                  <w:r>
                    <w:rPr>
                      <w:b/>
                      <w:bCs/>
                      <w:color w:val="auto"/>
                    </w:rPr>
                    <w:fldChar w:fldCharType="begin"/>
                  </w:r>
                  <w:r>
                    <w:rPr>
                      <w:color w:val="auto"/>
                    </w:rPr>
                    <w:instrText xml:space="preserve"> HYPERLINK \l _Toc25778_WPSOffice_Level1 </w:instrText>
                  </w:r>
                  <w:r>
                    <w:rPr>
                      <w:b/>
                      <w:bCs/>
                      <w:color w:val="auto"/>
                    </w:rPr>
                    <w:fldChar w:fldCharType="separate"/>
                  </w:r>
                  <w:sdt>
                    <w:sdtPr>
                      <w:rPr>
                        <w:rFonts w:ascii="Times New Roman" w:hAnsi="Times New Roman" w:eastAsia="宋体" w:cs="Times New Roman"/>
                        <w:b/>
                        <w:bCs/>
                        <w:color w:val="auto"/>
                        <w:kern w:val="2"/>
                        <w:sz w:val="21"/>
                        <w:lang w:val="en-US" w:eastAsia="zh-CN" w:bidi="ar-SA"/>
                      </w:rPr>
                      <w:id w:val="147459640"/>
                      <w:placeholder>
                        <w:docPart w:val="{40c71c70-f52c-40db-909d-7ff220e53645}"/>
                      </w:placeholder>
                    </w:sdtPr>
                    <w:sdtEndPr>
                      <w:rPr>
                        <w:rFonts w:ascii="Times New Roman" w:hAnsi="Times New Roman" w:eastAsia="宋体" w:cs="Times New Roman"/>
                        <w:b/>
                        <w:bCs/>
                        <w:color w:val="auto"/>
                        <w:kern w:val="2"/>
                        <w:sz w:val="21"/>
                        <w:lang w:val="en-US" w:eastAsia="zh-CN" w:bidi="ar-SA"/>
                      </w:rPr>
                    </w:sdtEndPr>
                    <w:sdtContent>
                      <w:r>
                        <w:rPr>
                          <w:rFonts w:hint="eastAsia" w:ascii="Times New Roman" w:hAnsi="Times New Roman" w:eastAsia="黑体" w:cs="Times New Roman"/>
                          <w:b/>
                          <w:bCs/>
                          <w:color w:val="auto"/>
                        </w:rPr>
                        <w:t>第八章 改善人民生活品质 增进民生福祉</w:t>
                      </w:r>
                    </w:sdtContent>
                  </w:sdt>
                  <w:r>
                    <w:rPr>
                      <w:b/>
                      <w:bCs/>
                      <w:color w:val="auto"/>
                    </w:rPr>
                    <w:tab/>
                  </w:r>
                  <w:bookmarkStart w:id="33" w:name="_Toc25778_WPSOffice_Level1Page"/>
                  <w:r>
                    <w:rPr>
                      <w:b/>
                      <w:bCs/>
                      <w:color w:val="auto"/>
                    </w:rPr>
                    <w:t>51</w:t>
                  </w:r>
                  <w:bookmarkEnd w:id="33"/>
                  <w:r>
                    <w:rPr>
                      <w:b/>
                      <w:bCs/>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_Toc18300_WPSOffice_Level2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31f85e87-f4c1-4119-9849-4c4fb4316862}"/>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第一节</w:t>
                      </w:r>
                      <w:r>
                        <w:rPr>
                          <w:rFonts w:ascii="Arial" w:hAnsi="Arial" w:eastAsia="楷体_GB2312" w:cs="Times New Roman"/>
                          <w:color w:val="auto"/>
                        </w:rPr>
                        <w:t xml:space="preserve"> </w:t>
                      </w:r>
                      <w:r>
                        <w:rPr>
                          <w:rFonts w:hint="eastAsia" w:ascii="Arial" w:hAnsi="Arial" w:eastAsia="楷体_GB2312" w:cs="Times New Roman"/>
                          <w:color w:val="auto"/>
                        </w:rPr>
                        <w:t>提高城乡居民收入水平</w:t>
                      </w:r>
                    </w:sdtContent>
                  </w:sdt>
                  <w:r>
                    <w:rPr>
                      <w:color w:val="auto"/>
                    </w:rPr>
                    <w:tab/>
                  </w:r>
                  <w:bookmarkStart w:id="34" w:name="_Toc18300_WPSOffice_Level2Page"/>
                  <w:r>
                    <w:rPr>
                      <w:color w:val="auto"/>
                    </w:rPr>
                    <w:t>52</w:t>
                  </w:r>
                  <w:bookmarkEnd w:id="34"/>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_Toc6577_WPSOffice_Level2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e63e9d0a-f439-490d-884c-cfe03c566b8d}"/>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第二节 强化就业创业优先保障</w:t>
                      </w:r>
                    </w:sdtContent>
                  </w:sdt>
                  <w:r>
                    <w:rPr>
                      <w:color w:val="auto"/>
                    </w:rPr>
                    <w:tab/>
                  </w:r>
                  <w:bookmarkStart w:id="35" w:name="_Toc6577_WPSOffice_Level2Page"/>
                  <w:r>
                    <w:rPr>
                      <w:color w:val="auto"/>
                    </w:rPr>
                    <w:t>52</w:t>
                  </w:r>
                  <w:bookmarkEnd w:id="35"/>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_Toc10409_WPSOffice_Level2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71ca43ff-a368-49ec-bb44-0447d510d669}"/>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第三节</w:t>
                      </w:r>
                      <w:r>
                        <w:rPr>
                          <w:rFonts w:ascii="Arial" w:hAnsi="Arial" w:eastAsia="楷体_GB2312" w:cs="Times New Roman"/>
                          <w:color w:val="auto"/>
                        </w:rPr>
                        <w:t xml:space="preserve"> </w:t>
                      </w:r>
                      <w:r>
                        <w:rPr>
                          <w:rFonts w:hint="eastAsia" w:ascii="Arial" w:hAnsi="Arial" w:eastAsia="楷体_GB2312" w:cs="Times New Roman"/>
                          <w:color w:val="auto"/>
                        </w:rPr>
                        <w:t>完善教育公共服务网络</w:t>
                      </w:r>
                    </w:sdtContent>
                  </w:sdt>
                  <w:r>
                    <w:rPr>
                      <w:color w:val="auto"/>
                    </w:rPr>
                    <w:tab/>
                  </w:r>
                  <w:bookmarkStart w:id="36" w:name="_Toc10409_WPSOffice_Level2Page"/>
                  <w:r>
                    <w:rPr>
                      <w:color w:val="auto"/>
                    </w:rPr>
                    <w:t>54</w:t>
                  </w:r>
                  <w:bookmarkEnd w:id="36"/>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_Toc14506_WPSOffice_Level2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2403d5e2-7f60-4b29-91fe-6e461047b942}"/>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第四节</w:t>
                      </w:r>
                      <w:r>
                        <w:rPr>
                          <w:rFonts w:ascii="Arial" w:hAnsi="Arial" w:eastAsia="楷体_GB2312" w:cs="Times New Roman"/>
                          <w:color w:val="auto"/>
                        </w:rPr>
                        <w:t xml:space="preserve"> </w:t>
                      </w:r>
                      <w:r>
                        <w:rPr>
                          <w:rFonts w:hint="eastAsia" w:ascii="Arial" w:hAnsi="Arial" w:eastAsia="楷体_GB2312" w:cs="Times New Roman"/>
                          <w:color w:val="auto"/>
                        </w:rPr>
                        <w:t>加快推进健康儋州建设</w:t>
                      </w:r>
                    </w:sdtContent>
                  </w:sdt>
                  <w:r>
                    <w:rPr>
                      <w:color w:val="auto"/>
                    </w:rPr>
                    <w:tab/>
                  </w:r>
                  <w:bookmarkStart w:id="37" w:name="_Toc14506_WPSOffice_Level2Page"/>
                  <w:r>
                    <w:rPr>
                      <w:color w:val="auto"/>
                    </w:rPr>
                    <w:t>57</w:t>
                  </w:r>
                  <w:bookmarkEnd w:id="37"/>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_Toc10459_WPSOffice_Level2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adc8bad9-0ed6-4c04-a76d-34a79590eb71}"/>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第五节</w:t>
                      </w:r>
                      <w:r>
                        <w:rPr>
                          <w:rFonts w:ascii="Arial" w:hAnsi="Arial" w:eastAsia="楷体_GB2312" w:cs="Times New Roman"/>
                          <w:color w:val="auto"/>
                        </w:rPr>
                        <w:t xml:space="preserve"> </w:t>
                      </w:r>
                      <w:r>
                        <w:rPr>
                          <w:rFonts w:hint="eastAsia" w:ascii="Arial" w:hAnsi="Arial" w:eastAsia="楷体_GB2312" w:cs="Times New Roman"/>
                          <w:color w:val="auto"/>
                        </w:rPr>
                        <w:t>强化各类社会保障服务</w:t>
                      </w:r>
                    </w:sdtContent>
                  </w:sdt>
                  <w:r>
                    <w:rPr>
                      <w:color w:val="auto"/>
                    </w:rPr>
                    <w:tab/>
                  </w:r>
                  <w:bookmarkStart w:id="38" w:name="_Toc10459_WPSOffice_Level2Page"/>
                  <w:r>
                    <w:rPr>
                      <w:color w:val="auto"/>
                    </w:rPr>
                    <w:t>59</w:t>
                  </w:r>
                  <w:bookmarkEnd w:id="38"/>
                  <w:r>
                    <w:rPr>
                      <w:color w:val="auto"/>
                    </w:rPr>
                    <w:fldChar w:fldCharType="end"/>
                  </w:r>
                </w:p>
                <w:p>
                  <w:pPr>
                    <w:pStyle w:val="50"/>
                    <w:tabs>
                      <w:tab w:val="right" w:leader="dot" w:pos="8306"/>
                    </w:tabs>
                    <w:rPr>
                      <w:color w:val="auto"/>
                    </w:rPr>
                  </w:pPr>
                  <w:r>
                    <w:rPr>
                      <w:b/>
                      <w:bCs/>
                      <w:color w:val="auto"/>
                    </w:rPr>
                    <w:fldChar w:fldCharType="begin"/>
                  </w:r>
                  <w:r>
                    <w:rPr>
                      <w:color w:val="auto"/>
                    </w:rPr>
                    <w:instrText xml:space="preserve"> HYPERLINK \l _Toc18374_WPSOffice_Level1 </w:instrText>
                  </w:r>
                  <w:r>
                    <w:rPr>
                      <w:b/>
                      <w:bCs/>
                      <w:color w:val="auto"/>
                    </w:rPr>
                    <w:fldChar w:fldCharType="separate"/>
                  </w:r>
                  <w:sdt>
                    <w:sdtPr>
                      <w:rPr>
                        <w:rFonts w:ascii="Times New Roman" w:hAnsi="Times New Roman" w:eastAsia="宋体" w:cs="Times New Roman"/>
                        <w:b/>
                        <w:bCs/>
                        <w:color w:val="auto"/>
                        <w:kern w:val="2"/>
                        <w:sz w:val="21"/>
                        <w:lang w:val="en-US" w:eastAsia="zh-CN" w:bidi="ar-SA"/>
                      </w:rPr>
                      <w:id w:val="147459640"/>
                      <w:placeholder>
                        <w:docPart w:val="{b1fe46de-f9e6-4c97-89e4-8cc9ecd0ebd4}"/>
                      </w:placeholder>
                    </w:sdtPr>
                    <w:sdtEndPr>
                      <w:rPr>
                        <w:rFonts w:ascii="Times New Roman" w:hAnsi="Times New Roman" w:eastAsia="宋体" w:cs="Times New Roman"/>
                        <w:b/>
                        <w:bCs/>
                        <w:color w:val="auto"/>
                        <w:kern w:val="2"/>
                        <w:sz w:val="21"/>
                        <w:lang w:val="en-US" w:eastAsia="zh-CN" w:bidi="ar-SA"/>
                      </w:rPr>
                    </w:sdtEndPr>
                    <w:sdtContent>
                      <w:r>
                        <w:rPr>
                          <w:rFonts w:hint="eastAsia" w:ascii="Times New Roman" w:hAnsi="Times New Roman" w:eastAsia="黑体" w:cs="Times New Roman"/>
                          <w:b/>
                          <w:bCs/>
                          <w:color w:val="auto"/>
                        </w:rPr>
                        <w:t>第九章 加强和创新社会治理</w:t>
                      </w:r>
                      <w:r>
                        <w:rPr>
                          <w:rFonts w:hint="eastAsia" w:eastAsia="黑体" w:cs="Times New Roman"/>
                          <w:b/>
                          <w:bCs/>
                          <w:color w:val="auto"/>
                          <w:lang w:val="en-US" w:eastAsia="zh-CN"/>
                        </w:rPr>
                        <w:t xml:space="preserve"> </w:t>
                      </w:r>
                      <w:sdt>
                        <w:sdtPr>
                          <w:rPr>
                            <w:rFonts w:ascii="Times New Roman" w:hAnsi="Times New Roman" w:eastAsia="宋体" w:cs="Times New Roman"/>
                            <w:b/>
                            <w:bCs/>
                            <w:color w:val="auto"/>
                            <w:kern w:val="2"/>
                            <w:sz w:val="21"/>
                            <w:lang w:val="en-US" w:eastAsia="zh-CN" w:bidi="ar-SA"/>
                          </w:rPr>
                          <w:id w:val="147459640"/>
                          <w:placeholder>
                            <w:docPart w:val="{367c060d-8865-466f-a35f-2bf7637df244}"/>
                          </w:placeholder>
                        </w:sdtPr>
                        <w:sdtEndPr>
                          <w:rPr>
                            <w:rFonts w:ascii="Times New Roman" w:hAnsi="Times New Roman" w:eastAsia="宋体" w:cs="Times New Roman"/>
                            <w:b/>
                            <w:bCs/>
                            <w:color w:val="auto"/>
                            <w:kern w:val="2"/>
                            <w:sz w:val="21"/>
                            <w:lang w:val="en-US" w:eastAsia="zh-CN" w:bidi="ar-SA"/>
                          </w:rPr>
                        </w:sdtEndPr>
                        <w:sdtContent>
                          <w:r>
                            <w:rPr>
                              <w:rFonts w:hint="eastAsia" w:ascii="Times New Roman" w:hAnsi="Times New Roman" w:eastAsia="黑体" w:cs="Times New Roman"/>
                              <w:b/>
                              <w:bCs/>
                              <w:color w:val="auto"/>
                            </w:rPr>
                            <w:t>全面提升社会治理现代化水平</w:t>
                          </w:r>
                        </w:sdtContent>
                      </w:sdt>
                    </w:sdtContent>
                  </w:sdt>
                  <w:r>
                    <w:rPr>
                      <w:b/>
                      <w:bCs/>
                      <w:color w:val="auto"/>
                    </w:rPr>
                    <w:tab/>
                  </w:r>
                  <w:bookmarkStart w:id="39" w:name="_Toc18374_WPSOffice_Level1Page"/>
                  <w:r>
                    <w:rPr>
                      <w:b/>
                      <w:bCs/>
                      <w:color w:val="auto"/>
                    </w:rPr>
                    <w:t>61</w:t>
                  </w:r>
                  <w:bookmarkEnd w:id="39"/>
                  <w:r>
                    <w:rPr>
                      <w:b/>
                      <w:bCs/>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_Toc5016_WPSOffice_Level2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7c05dd98-b00a-4da8-9e59-0d62e80fe657}"/>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第一节</w:t>
                      </w:r>
                      <w:r>
                        <w:rPr>
                          <w:rFonts w:ascii="Arial" w:hAnsi="Arial" w:eastAsia="楷体_GB2312" w:cs="Times New Roman"/>
                          <w:color w:val="auto"/>
                        </w:rPr>
                        <w:t xml:space="preserve"> </w:t>
                      </w:r>
                      <w:r>
                        <w:rPr>
                          <w:rFonts w:hint="eastAsia" w:ascii="Arial" w:hAnsi="Arial" w:eastAsia="楷体_GB2312" w:cs="Times New Roman"/>
                          <w:color w:val="auto"/>
                        </w:rPr>
                        <w:t>全面推进法治儋州建设</w:t>
                      </w:r>
                    </w:sdtContent>
                  </w:sdt>
                  <w:r>
                    <w:rPr>
                      <w:color w:val="auto"/>
                    </w:rPr>
                    <w:tab/>
                  </w:r>
                  <w:bookmarkStart w:id="40" w:name="_Toc5016_WPSOffice_Level2Page"/>
                  <w:r>
                    <w:rPr>
                      <w:color w:val="auto"/>
                    </w:rPr>
                    <w:t>61</w:t>
                  </w:r>
                  <w:bookmarkEnd w:id="40"/>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_Toc2518_WPSOffice_Level2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ae4236e4-33cd-4eee-bb70-df9cc0751e69}"/>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第二节</w:t>
                      </w:r>
                      <w:r>
                        <w:rPr>
                          <w:rFonts w:ascii="Arial" w:hAnsi="Arial" w:eastAsia="楷体_GB2312" w:cs="Times New Roman"/>
                          <w:color w:val="auto"/>
                        </w:rPr>
                        <w:t xml:space="preserve"> </w:t>
                      </w:r>
                      <w:r>
                        <w:rPr>
                          <w:rFonts w:hint="eastAsia" w:ascii="Arial" w:hAnsi="Arial" w:eastAsia="楷体_GB2312" w:cs="Times New Roman"/>
                          <w:color w:val="auto"/>
                        </w:rPr>
                        <w:t>持续推进平安儋州建设</w:t>
                      </w:r>
                    </w:sdtContent>
                  </w:sdt>
                  <w:r>
                    <w:rPr>
                      <w:color w:val="auto"/>
                    </w:rPr>
                    <w:tab/>
                  </w:r>
                  <w:bookmarkStart w:id="41" w:name="_Toc2518_WPSOffice_Level2Page"/>
                  <w:r>
                    <w:rPr>
                      <w:color w:val="auto"/>
                    </w:rPr>
                    <w:t>62</w:t>
                  </w:r>
                  <w:bookmarkEnd w:id="41"/>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_Toc24485_WPSOffice_Level2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50be022f-8786-4589-8f30-82594083a7c6}"/>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第三节 坚持安全发展理念</w:t>
                      </w:r>
                    </w:sdtContent>
                  </w:sdt>
                  <w:r>
                    <w:rPr>
                      <w:color w:val="auto"/>
                    </w:rPr>
                    <w:tab/>
                  </w:r>
                  <w:bookmarkStart w:id="42" w:name="_Toc24485_WPSOffice_Level2Page"/>
                  <w:r>
                    <w:rPr>
                      <w:color w:val="auto"/>
                    </w:rPr>
                    <w:t>64</w:t>
                  </w:r>
                  <w:bookmarkEnd w:id="42"/>
                  <w:r>
                    <w:rPr>
                      <w:color w:val="auto"/>
                    </w:rPr>
                    <w:fldChar w:fldCharType="end"/>
                  </w:r>
                </w:p>
                <w:p>
                  <w:pPr>
                    <w:pStyle w:val="50"/>
                    <w:tabs>
                      <w:tab w:val="right" w:leader="dot" w:pos="8306"/>
                    </w:tabs>
                    <w:rPr>
                      <w:color w:val="auto"/>
                    </w:rPr>
                  </w:pPr>
                  <w:r>
                    <w:rPr>
                      <w:b/>
                      <w:bCs/>
                      <w:color w:val="auto"/>
                    </w:rPr>
                    <w:fldChar w:fldCharType="begin"/>
                  </w:r>
                  <w:r>
                    <w:rPr>
                      <w:color w:val="auto"/>
                    </w:rPr>
                    <w:instrText xml:space="preserve"> HYPERLINK \l _Toc5221_WPSOffice_Level1 </w:instrText>
                  </w:r>
                  <w:r>
                    <w:rPr>
                      <w:b/>
                      <w:bCs/>
                      <w:color w:val="auto"/>
                    </w:rPr>
                    <w:fldChar w:fldCharType="separate"/>
                  </w:r>
                  <w:sdt>
                    <w:sdtPr>
                      <w:rPr>
                        <w:rFonts w:ascii="Times New Roman" w:hAnsi="Times New Roman" w:eastAsia="宋体" w:cs="Times New Roman"/>
                        <w:b/>
                        <w:bCs/>
                        <w:color w:val="auto"/>
                        <w:kern w:val="2"/>
                        <w:sz w:val="21"/>
                        <w:lang w:val="en-US" w:eastAsia="zh-CN" w:bidi="ar-SA"/>
                      </w:rPr>
                      <w:id w:val="147459640"/>
                      <w:placeholder>
                        <w:docPart w:val="{6c267f3a-58d2-4556-abb5-3c9707c8c112}"/>
                      </w:placeholder>
                    </w:sdtPr>
                    <w:sdtEndPr>
                      <w:rPr>
                        <w:rFonts w:ascii="Times New Roman" w:hAnsi="Times New Roman" w:eastAsia="宋体" w:cs="Times New Roman"/>
                        <w:b/>
                        <w:bCs/>
                        <w:color w:val="auto"/>
                        <w:kern w:val="2"/>
                        <w:sz w:val="21"/>
                        <w:lang w:val="en-US" w:eastAsia="zh-CN" w:bidi="ar-SA"/>
                      </w:rPr>
                    </w:sdtEndPr>
                    <w:sdtContent>
                      <w:r>
                        <w:rPr>
                          <w:rFonts w:hint="eastAsia" w:ascii="Times New Roman" w:hAnsi="Times New Roman" w:eastAsia="黑体" w:cs="Times New Roman"/>
                          <w:b/>
                          <w:bCs/>
                          <w:color w:val="auto"/>
                        </w:rPr>
                        <w:t>第十章 坚持和加强党的全面领导</w:t>
                      </w:r>
                      <w:r>
                        <w:rPr>
                          <w:rFonts w:hint="eastAsia" w:eastAsia="黑体" w:cs="Times New Roman"/>
                          <w:b/>
                          <w:bCs/>
                          <w:color w:val="auto"/>
                          <w:lang w:val="en-US" w:eastAsia="zh-CN"/>
                        </w:rPr>
                        <w:t xml:space="preserve"> </w:t>
                      </w:r>
                      <w:sdt>
                        <w:sdtPr>
                          <w:rPr>
                            <w:rFonts w:ascii="Times New Roman" w:hAnsi="Times New Roman" w:eastAsia="宋体" w:cs="Times New Roman"/>
                            <w:color w:val="auto"/>
                            <w:kern w:val="2"/>
                            <w:sz w:val="21"/>
                            <w:lang w:val="en-US" w:eastAsia="zh-CN" w:bidi="ar-SA"/>
                          </w:rPr>
                          <w:id w:val="147459640"/>
                          <w:placeholder>
                            <w:docPart w:val="{83319c9f-f857-4c80-bbc8-bc2d37c929c2}"/>
                          </w:placeholder>
                        </w:sdtPr>
                        <w:sdtEndPr>
                          <w:rPr>
                            <w:rFonts w:ascii="Times New Roman" w:hAnsi="Times New Roman" w:eastAsia="宋体" w:cs="Times New Roman"/>
                            <w:b/>
                            <w:bCs/>
                            <w:color w:val="auto"/>
                            <w:kern w:val="2"/>
                            <w:sz w:val="21"/>
                            <w:lang w:val="en-US" w:eastAsia="zh-CN" w:bidi="ar-SA"/>
                          </w:rPr>
                        </w:sdtEndPr>
                        <w:sdtContent>
                          <w:r>
                            <w:rPr>
                              <w:rFonts w:hint="eastAsia" w:ascii="Times New Roman" w:hAnsi="Times New Roman" w:eastAsia="黑体" w:cs="Times New Roman"/>
                              <w:b/>
                              <w:bCs/>
                              <w:color w:val="auto"/>
                            </w:rPr>
                            <w:t>确保目标任务如期完成</w:t>
                          </w:r>
                        </w:sdtContent>
                      </w:sdt>
                    </w:sdtContent>
                  </w:sdt>
                  <w:r>
                    <w:rPr>
                      <w:b/>
                      <w:bCs/>
                      <w:color w:val="auto"/>
                    </w:rPr>
                    <w:tab/>
                  </w:r>
                  <w:bookmarkStart w:id="43" w:name="_Toc5221_WPSOffice_Level1Page"/>
                  <w:r>
                    <w:rPr>
                      <w:b/>
                      <w:bCs/>
                      <w:color w:val="auto"/>
                    </w:rPr>
                    <w:t>65</w:t>
                  </w:r>
                  <w:bookmarkEnd w:id="43"/>
                  <w:r>
                    <w:rPr>
                      <w:b/>
                      <w:bCs/>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_Toc8448_WPSOffice_Level2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2969f298-a793-41d4-8b56-c2271761e50d}"/>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第一节</w:t>
                      </w:r>
                      <w:r>
                        <w:rPr>
                          <w:rFonts w:ascii="Arial" w:hAnsi="Arial" w:eastAsia="楷体_GB2312" w:cs="Times New Roman"/>
                          <w:color w:val="auto"/>
                        </w:rPr>
                        <w:t xml:space="preserve"> </w:t>
                      </w:r>
                      <w:r>
                        <w:rPr>
                          <w:rFonts w:hint="eastAsia" w:ascii="Arial" w:hAnsi="Arial" w:eastAsia="楷体_GB2312" w:cs="Times New Roman"/>
                          <w:color w:val="auto"/>
                        </w:rPr>
                        <w:t>坚持党的全面领导</w:t>
                      </w:r>
                    </w:sdtContent>
                  </w:sdt>
                  <w:r>
                    <w:rPr>
                      <w:color w:val="auto"/>
                    </w:rPr>
                    <w:tab/>
                  </w:r>
                  <w:bookmarkStart w:id="44" w:name="_Toc8448_WPSOffice_Level2Page"/>
                  <w:r>
                    <w:rPr>
                      <w:color w:val="auto"/>
                    </w:rPr>
                    <w:t>65</w:t>
                  </w:r>
                  <w:bookmarkEnd w:id="44"/>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_Toc30479_WPSOffice_Level2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cf52ee1f-477c-4dd5-8430-176ada976ea9}"/>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第二节 建设高素质专业化干部队伍</w:t>
                      </w:r>
                    </w:sdtContent>
                  </w:sdt>
                  <w:r>
                    <w:rPr>
                      <w:color w:val="auto"/>
                    </w:rPr>
                    <w:tab/>
                  </w:r>
                  <w:bookmarkStart w:id="45" w:name="_Toc30479_WPSOffice_Level2Page"/>
                  <w:r>
                    <w:rPr>
                      <w:color w:val="auto"/>
                    </w:rPr>
                    <w:t>66</w:t>
                  </w:r>
                  <w:bookmarkEnd w:id="45"/>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_Toc19437_WPSOffice_Level2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193f99b4-017b-443b-b353-0696f325786f}"/>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第三节</w:t>
                      </w:r>
                      <w:r>
                        <w:rPr>
                          <w:rFonts w:ascii="Arial" w:hAnsi="Arial" w:eastAsia="楷体_GB2312" w:cs="Times New Roman"/>
                          <w:color w:val="auto"/>
                        </w:rPr>
                        <w:t xml:space="preserve"> </w:t>
                      </w:r>
                      <w:r>
                        <w:rPr>
                          <w:rFonts w:hint="eastAsia" w:ascii="Arial" w:hAnsi="Arial" w:eastAsia="楷体_GB2312" w:cs="Times New Roman"/>
                          <w:color w:val="auto"/>
                        </w:rPr>
                        <w:t>深化人才发展体制机制改革</w:t>
                      </w:r>
                    </w:sdtContent>
                  </w:sdt>
                  <w:r>
                    <w:rPr>
                      <w:color w:val="auto"/>
                    </w:rPr>
                    <w:tab/>
                  </w:r>
                  <w:bookmarkStart w:id="46" w:name="_Toc19437_WPSOffice_Level2Page"/>
                  <w:r>
                    <w:rPr>
                      <w:color w:val="auto"/>
                    </w:rPr>
                    <w:t>68</w:t>
                  </w:r>
                  <w:bookmarkEnd w:id="46"/>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_Toc12649_WPSOffice_Level2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0c04541c-fed9-4e4c-b0f3-a7999d9ce8a0}"/>
                      </w:placeholder>
                    </w:sdtPr>
                    <w:sdtEndPr>
                      <w:rPr>
                        <w:rFonts w:ascii="Times New Roman" w:hAnsi="Times New Roman" w:eastAsia="宋体" w:cs="Times New Roman"/>
                        <w:color w:val="auto"/>
                        <w:kern w:val="2"/>
                        <w:sz w:val="21"/>
                        <w:lang w:val="en-US" w:eastAsia="zh-CN" w:bidi="ar-SA"/>
                      </w:rPr>
                    </w:sdtEndPr>
                    <w:sdtContent>
                      <w:r>
                        <w:rPr>
                          <w:rFonts w:hint="eastAsia" w:ascii="Arial" w:hAnsi="Arial" w:eastAsia="楷体_GB2312" w:cs="Times New Roman"/>
                          <w:color w:val="auto"/>
                        </w:rPr>
                        <w:t>第四节 加强规划实施管理和评估考核</w:t>
                      </w:r>
                    </w:sdtContent>
                  </w:sdt>
                  <w:r>
                    <w:rPr>
                      <w:color w:val="auto"/>
                    </w:rPr>
                    <w:tab/>
                  </w:r>
                  <w:bookmarkStart w:id="47" w:name="_Toc12649_WPSOffice_Level2Page"/>
                  <w:r>
                    <w:rPr>
                      <w:color w:val="auto"/>
                    </w:rPr>
                    <w:t>70</w:t>
                  </w:r>
                  <w:bookmarkEnd w:id="47"/>
                  <w:r>
                    <w:rPr>
                      <w:color w:val="auto"/>
                    </w:rPr>
                    <w:fldChar w:fldCharType="end"/>
                  </w:r>
                </w:p>
                <w:p>
                  <w:pPr>
                    <w:pStyle w:val="51"/>
                    <w:tabs>
                      <w:tab w:val="right" w:leader="dot" w:pos="8306"/>
                    </w:tabs>
                    <w:rPr>
                      <w:color w:val="auto"/>
                    </w:rPr>
                  </w:pPr>
                  <w:r>
                    <w:rPr>
                      <w:color w:val="auto"/>
                    </w:rPr>
                    <w:fldChar w:fldCharType="begin"/>
                  </w:r>
                  <w:r>
                    <w:rPr>
                      <w:color w:val="auto"/>
                    </w:rPr>
                    <w:instrText xml:space="preserve"> HYPERLINK \l _Toc22817_WPSOffice_Level2 </w:instrText>
                  </w:r>
                  <w:r>
                    <w:rPr>
                      <w:color w:val="auto"/>
                    </w:rPr>
                    <w:fldChar w:fldCharType="separate"/>
                  </w:r>
                  <w:sdt>
                    <w:sdtPr>
                      <w:rPr>
                        <w:rFonts w:ascii="Times New Roman" w:hAnsi="Times New Roman" w:eastAsia="宋体" w:cs="Times New Roman"/>
                        <w:color w:val="auto"/>
                        <w:kern w:val="2"/>
                        <w:sz w:val="21"/>
                        <w:lang w:val="en-US" w:eastAsia="zh-CN" w:bidi="ar-SA"/>
                      </w:rPr>
                      <w:id w:val="147459640"/>
                      <w:placeholder>
                        <w:docPart w:val="{2f708473-022c-458b-8f3d-49d9670695ad}"/>
                      </w:placeholder>
                    </w:sdtPr>
                    <w:sdtEndPr>
                      <w:rPr>
                        <w:rFonts w:ascii="Times New Roman" w:hAnsi="Times New Roman" w:eastAsia="宋体" w:cs="Times New Roman"/>
                        <w:b/>
                        <w:bCs/>
                        <w:color w:val="auto"/>
                        <w:kern w:val="2"/>
                        <w:sz w:val="21"/>
                        <w:lang w:val="en-US" w:eastAsia="zh-CN" w:bidi="ar-SA"/>
                      </w:rPr>
                    </w:sdtEndPr>
                    <w:sdtContent>
                      <w:r>
                        <w:rPr>
                          <w:rFonts w:hint="eastAsia" w:ascii="Times New Roman" w:hAnsi="Times New Roman" w:eastAsia="黑体" w:cs="Times New Roman"/>
                          <w:b/>
                          <w:bCs/>
                          <w:color w:val="auto"/>
                        </w:rPr>
                        <w:t>名词解释</w:t>
                      </w:r>
                    </w:sdtContent>
                  </w:sdt>
                  <w:r>
                    <w:rPr>
                      <w:color w:val="auto"/>
                    </w:rPr>
                    <w:tab/>
                  </w:r>
                  <w:bookmarkStart w:id="48" w:name="_Toc22817_WPSOffice_Level2Page"/>
                  <w:r>
                    <w:rPr>
                      <w:color w:val="auto"/>
                    </w:rPr>
                    <w:t>72</w:t>
                  </w:r>
                  <w:bookmarkEnd w:id="48"/>
                  <w:r>
                    <w:rPr>
                      <w:color w:val="auto"/>
                    </w:rPr>
                    <w:fldChar w:fldCharType="end"/>
                  </w:r>
                  <w:bookmarkEnd w:id="0"/>
                </w:p>
              </w:sdtContent>
            </w:sdt>
          </w:sdtContent>
        </w:sdt>
        <w:p>
          <w:pPr>
            <w:pStyle w:val="51"/>
            <w:tabs>
              <w:tab w:val="right" w:leader="dot" w:pos="8306"/>
            </w:tabs>
            <w:rPr>
              <w:color w:val="auto"/>
              <w:highlight w:val="none"/>
            </w:rPr>
          </w:pPr>
        </w:p>
      </w:sdtContent>
    </w:sdt>
    <w:p>
      <w:pPr>
        <w:widowControl/>
        <w:jc w:val="left"/>
        <w:rPr>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ageBreakBefore w:val="0"/>
        <w:kinsoku/>
        <w:wordWrap w:val="0"/>
        <w:overflowPunct/>
        <w:topLinePunct w:val="0"/>
        <w:bidi w:val="0"/>
        <w:snapToGrid/>
        <w:spacing w:line="560" w:lineRule="exact"/>
        <w:ind w:firstLine="643"/>
        <w:textAlignment w:val="auto"/>
        <w:rPr>
          <w:rFonts w:hint="eastAsia"/>
          <w:color w:val="auto"/>
          <w:highlight w:val="none"/>
        </w:rPr>
      </w:pPr>
      <w:bookmarkStart w:id="49" w:name="_Toc57914181"/>
      <w:r>
        <w:rPr>
          <w:rFonts w:hint="eastAsia" w:ascii="仿宋_GB2312" w:hAnsi="仿宋_GB2312" w:eastAsia="仿宋_GB2312" w:cs="仿宋_GB2312"/>
          <w:color w:val="auto"/>
          <w:sz w:val="32"/>
          <w:szCs w:val="32"/>
          <w:highlight w:val="none"/>
        </w:rPr>
        <w:t>“十四五”时期是我国全面建设小康社会、实现第一个百年奋斗目标之后，乘势而上开启全面建设社会主义现代化国家新征程、向第二个百年奋斗目标进军的第一个五年，</w:t>
      </w:r>
      <w:r>
        <w:rPr>
          <w:rFonts w:hint="eastAsia" w:ascii="仿宋_GB2312" w:hAnsi="仿宋_GB2312" w:eastAsia="仿宋_GB2312" w:cs="仿宋_GB2312"/>
          <w:color w:val="auto"/>
          <w:sz w:val="32"/>
          <w:szCs w:val="32"/>
          <w:highlight w:val="none"/>
          <w:lang w:eastAsia="zh-CN"/>
        </w:rPr>
        <w:t>是</w:t>
      </w:r>
      <w:r>
        <w:rPr>
          <w:rFonts w:hint="eastAsia" w:ascii="仿宋_GB2312" w:hAnsi="仿宋_GB2312" w:eastAsia="仿宋_GB2312" w:cs="仿宋_GB2312"/>
          <w:color w:val="auto"/>
          <w:sz w:val="32"/>
          <w:szCs w:val="32"/>
          <w:highlight w:val="none"/>
        </w:rPr>
        <w:t>逐步形成以国内大循环为主体、国内国际双循环相互促进的新发展格局</w:t>
      </w:r>
      <w:r>
        <w:rPr>
          <w:rFonts w:hint="eastAsia" w:ascii="仿宋_GB2312" w:hAnsi="仿宋_GB2312" w:eastAsia="仿宋_GB2312" w:cs="仿宋_GB2312"/>
          <w:color w:val="auto"/>
          <w:sz w:val="32"/>
          <w:szCs w:val="32"/>
          <w:highlight w:val="none"/>
          <w:lang w:eastAsia="zh-CN"/>
        </w:rPr>
        <w:t>的五年，也</w:t>
      </w:r>
      <w:r>
        <w:rPr>
          <w:rFonts w:hint="eastAsia" w:ascii="仿宋_GB2312" w:hAnsi="仿宋_GB2312" w:eastAsia="仿宋_GB2312" w:cs="仿宋_GB2312"/>
          <w:color w:val="auto"/>
          <w:sz w:val="32"/>
          <w:szCs w:val="32"/>
          <w:highlight w:val="none"/>
        </w:rPr>
        <w:t>是儋州融入全岛自贸港建设、</w:t>
      </w:r>
      <w:r>
        <w:rPr>
          <w:rFonts w:hint="eastAsia" w:ascii="仿宋_GB2312" w:hAnsi="仿宋_GB2312" w:eastAsia="仿宋_GB2312" w:cs="仿宋_GB2312"/>
          <w:color w:val="auto"/>
          <w:sz w:val="32"/>
          <w:szCs w:val="32"/>
          <w:highlight w:val="none"/>
          <w:lang w:eastAsia="zh-CN"/>
        </w:rPr>
        <w:t>争取自贸港建设早期收获的五年</w:t>
      </w:r>
      <w:r>
        <w:rPr>
          <w:rFonts w:hint="eastAsia" w:ascii="仿宋_GB2312" w:hAnsi="仿宋_GB2312" w:eastAsia="仿宋_GB2312" w:cs="仿宋_GB2312"/>
          <w:color w:val="auto"/>
          <w:sz w:val="32"/>
          <w:szCs w:val="32"/>
          <w:highlight w:val="none"/>
        </w:rPr>
        <w:t>。科学编制并有效实施“十四五”规划，对于儋州市</w:t>
      </w:r>
      <w:r>
        <w:rPr>
          <w:rFonts w:hint="eastAsia" w:ascii="仿宋_GB2312" w:hAnsi="仿宋_GB2312" w:eastAsia="仿宋_GB2312" w:cs="仿宋_GB2312"/>
          <w:color w:val="auto"/>
          <w:sz w:val="32"/>
          <w:szCs w:val="32"/>
          <w:highlight w:val="none"/>
          <w:lang w:eastAsia="zh-CN"/>
        </w:rPr>
        <w:t>建设西部中心城市，加快儋州—洋浦“环新英湾”港产城一体化发展，打造“儋州—洋浦—临高—昌江—东方”临港产业发展新优势</w:t>
      </w:r>
      <w:r>
        <w:rPr>
          <w:rFonts w:hint="eastAsia" w:ascii="仿宋_GB2312" w:hAnsi="仿宋_GB2312" w:eastAsia="仿宋_GB2312" w:cs="仿宋_GB2312"/>
          <w:color w:val="auto"/>
          <w:sz w:val="32"/>
          <w:szCs w:val="32"/>
          <w:highlight w:val="none"/>
        </w:rPr>
        <w:t>具有重要意义。</w:t>
      </w:r>
      <w:bookmarkStart w:id="50" w:name="_Toc57320039"/>
      <w:bookmarkStart w:id="51" w:name="_Toc7604_WPSOffice_Level1"/>
    </w:p>
    <w:p>
      <w:pPr>
        <w:pStyle w:val="3"/>
        <w:pageBreakBefore w:val="0"/>
        <w:kinsoku/>
        <w:overflowPunct/>
        <w:topLinePunct w:val="0"/>
        <w:bidi w:val="0"/>
        <w:snapToGrid/>
        <w:spacing w:line="560" w:lineRule="exact"/>
        <w:textAlignment w:val="auto"/>
        <w:rPr>
          <w:rFonts w:hint="eastAsia"/>
          <w:color w:val="auto"/>
          <w:highlight w:val="none"/>
        </w:rPr>
      </w:pPr>
      <w:bookmarkStart w:id="52" w:name="_Toc4752_WPSOffice_Level1"/>
      <w:bookmarkStart w:id="53" w:name="_Toc27784_WPSOffice_Level1"/>
      <w:r>
        <w:rPr>
          <w:rFonts w:hint="eastAsia"/>
          <w:color w:val="auto"/>
          <w:highlight w:val="none"/>
        </w:rPr>
        <w:t>第一章 紧抓历史机遇</w:t>
      </w:r>
      <w:r>
        <w:rPr>
          <w:rFonts w:hint="eastAsia"/>
          <w:color w:val="auto"/>
          <w:highlight w:val="none"/>
          <w:lang w:val="en-US" w:eastAsia="zh-CN"/>
        </w:rPr>
        <w:t xml:space="preserve"> </w:t>
      </w:r>
      <w:r>
        <w:rPr>
          <w:rFonts w:hint="eastAsia"/>
          <w:color w:val="auto"/>
          <w:highlight w:val="none"/>
        </w:rPr>
        <w:t>树立新理念引领新发展</w:t>
      </w:r>
      <w:bookmarkEnd w:id="50"/>
      <w:bookmarkEnd w:id="51"/>
      <w:bookmarkEnd w:id="52"/>
      <w:bookmarkEnd w:id="53"/>
    </w:p>
    <w:p>
      <w:pPr>
        <w:pStyle w:val="4"/>
        <w:pageBreakBefore w:val="0"/>
        <w:kinsoku/>
        <w:overflowPunct/>
        <w:topLinePunct w:val="0"/>
        <w:bidi w:val="0"/>
        <w:snapToGrid/>
        <w:spacing w:line="560" w:lineRule="exact"/>
        <w:textAlignment w:val="auto"/>
        <w:rPr>
          <w:color w:val="auto"/>
          <w:highlight w:val="none"/>
        </w:rPr>
      </w:pPr>
      <w:bookmarkStart w:id="54" w:name="_Toc9779_WPSOffice_Level2"/>
      <w:bookmarkStart w:id="55" w:name="_Toc3403_WPSOffice_Level2"/>
      <w:bookmarkStart w:id="56" w:name="_Toc19744_WPSOffice_Level2"/>
      <w:bookmarkStart w:id="57" w:name="_Toc57320040"/>
      <w:r>
        <w:rPr>
          <w:rFonts w:hint="eastAsia"/>
          <w:color w:val="auto"/>
          <w:highlight w:val="none"/>
        </w:rPr>
        <w:t>第一节 “十三五”时期的主要成就</w:t>
      </w:r>
      <w:bookmarkEnd w:id="54"/>
      <w:bookmarkEnd w:id="55"/>
      <w:bookmarkEnd w:id="56"/>
      <w:bookmarkEnd w:id="57"/>
    </w:p>
    <w:p>
      <w:pPr>
        <w:pageBreakBefore w:val="0"/>
        <w:kinsoku/>
        <w:overflowPunct/>
        <w:topLinePunct w:val="0"/>
        <w:bidi w:val="0"/>
        <w:snapToGrid/>
        <w:spacing w:line="560" w:lineRule="exact"/>
        <w:ind w:firstLine="643"/>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“十三五”时期，特别是2018年4月以来，儋州市委市政府带领全市人民，认真贯彻落实习近平总书记“4·13”重要讲话</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中央12号文件精神</w:t>
      </w:r>
      <w:r>
        <w:rPr>
          <w:rFonts w:hint="eastAsia" w:ascii="仿宋_GB2312" w:hAnsi="仿宋_GB2312" w:eastAsia="仿宋_GB2312" w:cs="仿宋_GB2312"/>
          <w:color w:val="auto"/>
          <w:sz w:val="32"/>
          <w:szCs w:val="32"/>
          <w:highlight w:val="none"/>
          <w:lang w:eastAsia="zh-CN"/>
        </w:rPr>
        <w:t>和海南自由贸易港建设总体方案</w:t>
      </w:r>
      <w:r>
        <w:rPr>
          <w:rFonts w:hint="eastAsia" w:ascii="仿宋_GB2312" w:hAnsi="仿宋_GB2312" w:eastAsia="仿宋_GB2312" w:cs="仿宋_GB2312"/>
          <w:color w:val="auto"/>
          <w:sz w:val="32"/>
          <w:szCs w:val="32"/>
          <w:highlight w:val="none"/>
        </w:rPr>
        <w:t>，全面深化改革开放，</w:t>
      </w:r>
      <w:r>
        <w:rPr>
          <w:rFonts w:eastAsia="仿宋_GB2312"/>
          <w:color w:val="auto"/>
          <w:sz w:val="32"/>
          <w:szCs w:val="32"/>
          <w:highlight w:val="none"/>
        </w:rPr>
        <w:t>对标新目标、落实新要求，</w:t>
      </w:r>
      <w:r>
        <w:rPr>
          <w:rFonts w:hint="eastAsia" w:eastAsia="仿宋_GB2312"/>
          <w:color w:val="auto"/>
          <w:sz w:val="32"/>
          <w:szCs w:val="32"/>
          <w:highlight w:val="none"/>
        </w:rPr>
        <w:t>以重点</w:t>
      </w:r>
      <w:r>
        <w:rPr>
          <w:rFonts w:eastAsia="仿宋_GB2312"/>
          <w:color w:val="auto"/>
          <w:sz w:val="32"/>
          <w:szCs w:val="32"/>
          <w:highlight w:val="none"/>
        </w:rPr>
        <w:t>项目</w:t>
      </w:r>
      <w:r>
        <w:rPr>
          <w:rFonts w:hint="eastAsia" w:eastAsia="仿宋_GB2312"/>
          <w:color w:val="auto"/>
          <w:sz w:val="32"/>
          <w:szCs w:val="32"/>
          <w:highlight w:val="none"/>
        </w:rPr>
        <w:t>建设为抓手，全力推动经济高质量发展，</w:t>
      </w:r>
      <w:r>
        <w:rPr>
          <w:rFonts w:eastAsia="仿宋_GB2312"/>
          <w:color w:val="auto"/>
          <w:sz w:val="32"/>
          <w:szCs w:val="32"/>
          <w:highlight w:val="none"/>
        </w:rPr>
        <w:t>经济</w:t>
      </w:r>
      <w:r>
        <w:rPr>
          <w:rFonts w:hint="eastAsia" w:eastAsia="仿宋_GB2312"/>
          <w:color w:val="auto"/>
          <w:sz w:val="32"/>
          <w:szCs w:val="32"/>
          <w:highlight w:val="none"/>
        </w:rPr>
        <w:t>和社会发展取得新的历史性成就。</w:t>
      </w:r>
    </w:p>
    <w:p>
      <w:pPr>
        <w:pageBreakBefore w:val="0"/>
        <w:kinsoku/>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w:t>
      </w:r>
      <w:r>
        <w:rPr>
          <w:rFonts w:hint="eastAsia" w:ascii="楷体_GB2312" w:hAnsi="楷体_GB2312" w:eastAsia="楷体_GB2312" w:cs="楷体_GB2312"/>
          <w:b/>
          <w:bCs/>
          <w:color w:val="auto"/>
          <w:sz w:val="32"/>
          <w:szCs w:val="32"/>
          <w:highlight w:val="none"/>
          <w:lang w:eastAsia="zh-CN"/>
        </w:rPr>
        <w:t>决胜</w:t>
      </w:r>
      <w:r>
        <w:rPr>
          <w:rFonts w:hint="eastAsia" w:ascii="楷体_GB2312" w:hAnsi="楷体_GB2312" w:eastAsia="楷体_GB2312" w:cs="楷体_GB2312"/>
          <w:b/>
          <w:bCs/>
          <w:color w:val="auto"/>
          <w:sz w:val="32"/>
          <w:szCs w:val="32"/>
          <w:highlight w:val="none"/>
        </w:rPr>
        <w:t>全面</w:t>
      </w:r>
      <w:r>
        <w:rPr>
          <w:rFonts w:hint="eastAsia" w:ascii="楷体_GB2312" w:hAnsi="楷体_GB2312" w:eastAsia="楷体_GB2312" w:cs="楷体_GB2312"/>
          <w:b/>
          <w:bCs/>
          <w:color w:val="auto"/>
          <w:sz w:val="32"/>
          <w:szCs w:val="32"/>
          <w:highlight w:val="none"/>
          <w:lang w:eastAsia="zh-CN"/>
        </w:rPr>
        <w:t>建成</w:t>
      </w:r>
      <w:r>
        <w:rPr>
          <w:rFonts w:hint="eastAsia" w:ascii="楷体_GB2312" w:hAnsi="楷体_GB2312" w:eastAsia="楷体_GB2312" w:cs="楷体_GB2312"/>
          <w:b/>
          <w:bCs/>
          <w:color w:val="auto"/>
          <w:sz w:val="32"/>
          <w:szCs w:val="32"/>
          <w:highlight w:val="none"/>
        </w:rPr>
        <w:t>小康社会</w:t>
      </w:r>
      <w:r>
        <w:rPr>
          <w:rFonts w:hint="eastAsia" w:ascii="楷体_GB2312" w:hAnsi="楷体_GB2312" w:eastAsia="楷体_GB2312" w:cs="楷体_GB2312"/>
          <w:b/>
          <w:bCs/>
          <w:color w:val="auto"/>
          <w:sz w:val="32"/>
          <w:szCs w:val="32"/>
          <w:highlight w:val="none"/>
          <w:lang w:eastAsia="zh-CN"/>
        </w:rPr>
        <w:t>取得决定性成就</w:t>
      </w:r>
    </w:p>
    <w:p>
      <w:pPr>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“十三五”时期是儋州升格地级市以来第一个五年，全市上下坚决贯彻落实</w:t>
      </w:r>
      <w:r>
        <w:rPr>
          <w:rFonts w:hint="eastAsia" w:ascii="仿宋_GB2312" w:hAnsi="仿宋_GB2312" w:eastAsia="仿宋_GB2312" w:cs="仿宋_GB2312"/>
          <w:color w:val="auto"/>
          <w:sz w:val="32"/>
          <w:szCs w:val="32"/>
          <w:highlight w:val="none"/>
          <w:lang w:eastAsia="zh-CN"/>
        </w:rPr>
        <w:t>党中央、国务院</w:t>
      </w:r>
      <w:r>
        <w:rPr>
          <w:rFonts w:hint="eastAsia" w:ascii="仿宋_GB2312" w:hAnsi="仿宋_GB2312" w:eastAsia="仿宋_GB2312" w:cs="仿宋_GB2312"/>
          <w:color w:val="auto"/>
          <w:sz w:val="32"/>
          <w:szCs w:val="32"/>
          <w:highlight w:val="none"/>
        </w:rPr>
        <w:t>重大决策和省委</w:t>
      </w:r>
      <w:r>
        <w:rPr>
          <w:rFonts w:hint="eastAsia" w:ascii="仿宋_GB2312" w:hAnsi="仿宋_GB2312" w:eastAsia="仿宋_GB2312" w:cs="仿宋_GB2312"/>
          <w:color w:val="auto"/>
          <w:sz w:val="32"/>
          <w:szCs w:val="32"/>
          <w:highlight w:val="none"/>
          <w:lang w:eastAsia="zh-CN"/>
        </w:rPr>
        <w:t>省政府的</w:t>
      </w:r>
      <w:r>
        <w:rPr>
          <w:rFonts w:hint="eastAsia" w:ascii="仿宋_GB2312" w:hAnsi="仿宋_GB2312" w:eastAsia="仿宋_GB2312" w:cs="仿宋_GB2312"/>
          <w:color w:val="auto"/>
          <w:sz w:val="32"/>
          <w:szCs w:val="32"/>
          <w:highlight w:val="none"/>
        </w:rPr>
        <w:t>部署</w:t>
      </w:r>
      <w:r>
        <w:rPr>
          <w:rFonts w:hint="eastAsia" w:ascii="仿宋_GB2312" w:hAnsi="仿宋_GB2312" w:eastAsia="仿宋_GB2312" w:cs="仿宋_GB2312"/>
          <w:color w:val="auto"/>
          <w:sz w:val="32"/>
          <w:szCs w:val="32"/>
          <w:highlight w:val="none"/>
          <w:lang w:eastAsia="zh-CN"/>
        </w:rPr>
        <w:t>要求</w:t>
      </w:r>
      <w:r>
        <w:rPr>
          <w:rFonts w:hint="eastAsia" w:ascii="仿宋_GB2312" w:hAnsi="仿宋_GB2312" w:eastAsia="仿宋_GB2312" w:cs="仿宋_GB2312"/>
          <w:color w:val="auto"/>
          <w:sz w:val="32"/>
          <w:szCs w:val="32"/>
          <w:highlight w:val="none"/>
        </w:rPr>
        <w:t>，全力应对</w:t>
      </w:r>
      <w:r>
        <w:rPr>
          <w:rFonts w:hint="eastAsia" w:ascii="仿宋_GB2312" w:hAnsi="仿宋_GB2312" w:eastAsia="仿宋_GB2312" w:cs="仿宋_GB2312"/>
          <w:color w:val="auto"/>
          <w:sz w:val="32"/>
          <w:szCs w:val="32"/>
          <w:highlight w:val="none"/>
          <w:lang w:eastAsia="zh-CN"/>
        </w:rPr>
        <w:t>疫情防控、全面建成小康社会、加快推进海南自贸港建设</w:t>
      </w:r>
      <w:r>
        <w:rPr>
          <w:rFonts w:hint="eastAsia" w:ascii="仿宋_GB2312" w:hAnsi="仿宋_GB2312" w:eastAsia="仿宋_GB2312" w:cs="仿宋_GB2312"/>
          <w:color w:val="auto"/>
          <w:sz w:val="32"/>
          <w:szCs w:val="32"/>
          <w:highlight w:val="none"/>
        </w:rPr>
        <w:t>“三个大考”，答好“三张答卷”，防范化解重大风险、精准脱贫、污染防治三大攻坚战取得重大成就，完成“十三五”规划确定的目标任务，经济社会发展取得了令人瞩目的成绩。主要经济指标如期完成。</w:t>
      </w:r>
    </w:p>
    <w:p>
      <w:pPr>
        <w:pageBreakBefore w:val="0"/>
        <w:kinsoku/>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w:t>
      </w:r>
      <w:r>
        <w:rPr>
          <w:rFonts w:hint="eastAsia" w:ascii="楷体_GB2312" w:hAnsi="楷体_GB2312" w:eastAsia="楷体_GB2312" w:cs="楷体_GB2312"/>
          <w:b/>
          <w:bCs/>
          <w:color w:val="auto"/>
          <w:sz w:val="32"/>
          <w:szCs w:val="32"/>
          <w:highlight w:val="none"/>
          <w:lang w:eastAsia="zh-CN"/>
        </w:rPr>
        <w:t>高质量发展迈出坚实步伐</w:t>
      </w:r>
    </w:p>
    <w:p>
      <w:pPr>
        <w:pageBreakBefore w:val="0"/>
        <w:kinsoku/>
        <w:overflowPunct/>
        <w:topLinePunct w:val="0"/>
        <w:bidi w:val="0"/>
        <w:snapToGrid/>
        <w:spacing w:line="560" w:lineRule="exact"/>
        <w:ind w:firstLine="642"/>
        <w:textAlignment w:val="auto"/>
        <w:rPr>
          <w:rFonts w:ascii="仿宋_GB2312" w:hAnsi="仿宋_GB2312" w:eastAsia="仿宋_GB2312" w:cs="仿宋_GB2312"/>
          <w:color w:val="auto"/>
          <w:sz w:val="32"/>
          <w:szCs w:val="32"/>
          <w:highlight w:val="none"/>
        </w:rPr>
      </w:pPr>
      <w:bookmarkStart w:id="58" w:name="_Hlk37359649"/>
      <w:r>
        <w:rPr>
          <w:rFonts w:hint="eastAsia" w:ascii="仿宋_GB2312" w:hAnsi="仿宋_GB2312" w:eastAsia="仿宋_GB2312" w:cs="仿宋_GB2312"/>
          <w:color w:val="auto"/>
          <w:sz w:val="32"/>
          <w:szCs w:val="32"/>
          <w:highlight w:val="none"/>
          <w:lang w:eastAsia="zh-CN"/>
        </w:rPr>
        <w:t>“十三五”期间儋州经济保持稳定增长，经济结构不断优化。</w:t>
      </w:r>
      <w:bookmarkEnd w:id="58"/>
      <w:r>
        <w:rPr>
          <w:rFonts w:hint="eastAsia" w:ascii="仿宋_GB2312" w:hAnsi="仿宋_GB2312" w:eastAsia="仿宋_GB2312" w:cs="仿宋_GB2312"/>
          <w:color w:val="auto"/>
          <w:sz w:val="32"/>
          <w:szCs w:val="32"/>
          <w:highlight w:val="none"/>
          <w:lang w:eastAsia="zh-CN"/>
        </w:rPr>
        <w:t>实现地区生产总值和城乡居民人均收入比2010年翻一番的目标。</w:t>
      </w:r>
      <w:r>
        <w:rPr>
          <w:rFonts w:hint="eastAsia" w:ascii="仿宋_GB2312" w:hAnsi="仿宋_GB2312" w:eastAsia="仿宋_GB2312" w:cs="仿宋_GB2312"/>
          <w:color w:val="auto"/>
          <w:sz w:val="32"/>
          <w:szCs w:val="32"/>
          <w:highlight w:val="none"/>
        </w:rPr>
        <w:t>2020年全市</w:t>
      </w:r>
      <w:r>
        <w:rPr>
          <w:rFonts w:hint="eastAsia" w:ascii="仿宋_GB2312" w:hAnsi="仿宋_GB2312" w:eastAsia="仿宋_GB2312" w:cs="仿宋_GB2312"/>
          <w:color w:val="auto"/>
          <w:sz w:val="32"/>
          <w:szCs w:val="32"/>
          <w:highlight w:val="none"/>
          <w:lang w:eastAsia="zh-CN"/>
        </w:rPr>
        <w:t>地区</w:t>
      </w:r>
      <w:r>
        <w:rPr>
          <w:rFonts w:hint="eastAsia" w:ascii="仿宋_GB2312" w:hAnsi="仿宋_GB2312" w:eastAsia="仿宋_GB2312" w:cs="仿宋_GB2312"/>
          <w:color w:val="auto"/>
          <w:sz w:val="32"/>
          <w:szCs w:val="32"/>
          <w:highlight w:val="none"/>
        </w:rPr>
        <w:t>生产总值</w:t>
      </w:r>
      <w:r>
        <w:rPr>
          <w:rFonts w:hint="eastAsia" w:ascii="仿宋_GB2312" w:hAnsi="仿宋_GB2312" w:eastAsia="仿宋_GB2312" w:cs="仿宋_GB2312"/>
          <w:color w:val="auto"/>
          <w:sz w:val="32"/>
          <w:szCs w:val="32"/>
          <w:highlight w:val="none"/>
          <w:lang w:val="en-US" w:eastAsia="zh-CN"/>
        </w:rPr>
        <w:t>363.7</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预计</w:t>
      </w:r>
      <w:r>
        <w:rPr>
          <w:rFonts w:hint="eastAsia" w:ascii="仿宋_GB2312" w:hAnsi="仿宋_GB2312" w:eastAsia="仿宋_GB2312" w:cs="仿宋_GB2312"/>
          <w:color w:val="auto"/>
          <w:sz w:val="32"/>
          <w:szCs w:val="32"/>
          <w:highlight w:val="none"/>
          <w:lang w:eastAsia="zh-CN"/>
        </w:rPr>
        <w:t>数，下同）</w:t>
      </w:r>
      <w:r>
        <w:rPr>
          <w:rFonts w:hint="eastAsia" w:ascii="仿宋_GB2312" w:hAnsi="仿宋_GB2312" w:eastAsia="仿宋_GB2312" w:cs="仿宋_GB2312"/>
          <w:color w:val="auto"/>
          <w:sz w:val="32"/>
          <w:szCs w:val="32"/>
          <w:highlight w:val="none"/>
        </w:rPr>
        <w:t>，年均增长</w:t>
      </w:r>
      <w:r>
        <w:rPr>
          <w:rFonts w:hint="eastAsia" w:ascii="仿宋_GB2312" w:hAnsi="仿宋_GB2312" w:eastAsia="仿宋_GB2312" w:cs="仿宋_GB2312"/>
          <w:color w:val="auto"/>
          <w:sz w:val="32"/>
          <w:szCs w:val="32"/>
          <w:highlight w:val="none"/>
          <w:lang w:val="en-US" w:eastAsia="zh-CN"/>
        </w:rPr>
        <w:t>5.9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，比“十三五”目标增加</w:t>
      </w:r>
      <w:r>
        <w:rPr>
          <w:rFonts w:hint="eastAsia" w:ascii="仿宋_GB2312" w:hAnsi="仿宋_GB2312" w:eastAsia="仿宋_GB2312" w:cs="仿宋_GB2312"/>
          <w:color w:val="auto"/>
          <w:sz w:val="32"/>
          <w:szCs w:val="32"/>
          <w:highlight w:val="none"/>
          <w:lang w:val="en-US" w:eastAsia="zh-CN"/>
        </w:rPr>
        <w:t>28.7</w:t>
      </w:r>
      <w:r>
        <w:rPr>
          <w:rFonts w:hint="eastAsia" w:ascii="仿宋_GB2312" w:hAnsi="仿宋_GB2312" w:eastAsia="仿宋_GB2312" w:cs="仿宋_GB2312"/>
          <w:color w:val="auto"/>
          <w:sz w:val="32"/>
          <w:szCs w:val="32"/>
          <w:highlight w:val="none"/>
        </w:rPr>
        <w:t>亿元。其中，第一产业增加值136.6亿元</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rPr>
        <w:t>年均</w:t>
      </w:r>
      <w:r>
        <w:rPr>
          <w:rFonts w:hint="eastAsia" w:ascii="仿宋_GB2312" w:hAnsi="仿宋_GB2312" w:eastAsia="仿宋_GB2312" w:cs="仿宋_GB2312"/>
          <w:color w:val="auto"/>
          <w:sz w:val="32"/>
          <w:szCs w:val="32"/>
          <w:highlight w:val="none"/>
          <w:lang w:bidi="ar"/>
        </w:rPr>
        <w:t>增长</w:t>
      </w:r>
      <w:r>
        <w:rPr>
          <w:rFonts w:hint="eastAsia" w:ascii="仿宋_GB2312" w:hAnsi="仿宋_GB2312" w:eastAsia="仿宋_GB2312" w:cs="仿宋_GB2312"/>
          <w:color w:val="auto"/>
          <w:sz w:val="32"/>
          <w:szCs w:val="32"/>
          <w:highlight w:val="none"/>
          <w:lang w:val="en-US" w:eastAsia="zh-CN" w:bidi="ar"/>
        </w:rPr>
        <w:t>4.4</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rPr>
        <w:t>第二产业增加值</w:t>
      </w:r>
      <w:r>
        <w:rPr>
          <w:rFonts w:hint="eastAsia" w:ascii="仿宋_GB2312" w:hAnsi="仿宋_GB2312" w:eastAsia="仿宋_GB2312" w:cs="仿宋_GB2312"/>
          <w:color w:val="auto"/>
          <w:sz w:val="32"/>
          <w:szCs w:val="32"/>
          <w:highlight w:val="none"/>
          <w:lang w:val="en-US" w:eastAsia="zh-CN"/>
        </w:rPr>
        <w:t>37.1</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rPr>
        <w:t>年均</w:t>
      </w:r>
      <w:r>
        <w:rPr>
          <w:rFonts w:hint="eastAsia" w:ascii="仿宋_GB2312" w:hAnsi="仿宋_GB2312" w:eastAsia="仿宋_GB2312" w:cs="仿宋_GB2312"/>
          <w:color w:val="auto"/>
          <w:sz w:val="32"/>
          <w:szCs w:val="32"/>
          <w:highlight w:val="none"/>
          <w:lang w:bidi="ar"/>
        </w:rPr>
        <w:t>增长</w:t>
      </w:r>
      <w:r>
        <w:rPr>
          <w:rFonts w:hint="eastAsia" w:ascii="仿宋_GB2312" w:hAnsi="仿宋_GB2312" w:eastAsia="仿宋_GB2312" w:cs="仿宋_GB2312"/>
          <w:color w:val="auto"/>
          <w:sz w:val="32"/>
          <w:szCs w:val="32"/>
          <w:highlight w:val="none"/>
          <w:lang w:val="en-US" w:eastAsia="zh-CN" w:bidi="ar"/>
        </w:rPr>
        <w:t>2.8</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rPr>
        <w:t>第三产业增加值</w:t>
      </w:r>
      <w:r>
        <w:rPr>
          <w:rFonts w:hint="eastAsia" w:ascii="仿宋_GB2312" w:hAnsi="仿宋_GB2312" w:eastAsia="仿宋_GB2312" w:cs="仿宋_GB2312"/>
          <w:color w:val="auto"/>
          <w:sz w:val="32"/>
          <w:szCs w:val="32"/>
          <w:highlight w:val="none"/>
          <w:lang w:val="en-US" w:eastAsia="zh-CN"/>
        </w:rPr>
        <w:t>189.9</w:t>
      </w:r>
      <w:r>
        <w:rPr>
          <w:rFonts w:hint="eastAsia" w:ascii="仿宋_GB2312" w:hAnsi="仿宋_GB2312" w:eastAsia="仿宋_GB2312" w:cs="仿宋_GB2312"/>
          <w:color w:val="auto"/>
          <w:sz w:val="32"/>
          <w:szCs w:val="32"/>
          <w:highlight w:val="none"/>
        </w:rPr>
        <w:t>亿元，年均</w:t>
      </w:r>
      <w:r>
        <w:rPr>
          <w:rFonts w:hint="eastAsia" w:ascii="仿宋_GB2312" w:hAnsi="仿宋_GB2312" w:eastAsia="仿宋_GB2312" w:cs="仿宋_GB2312"/>
          <w:color w:val="auto"/>
          <w:sz w:val="32"/>
          <w:szCs w:val="32"/>
          <w:highlight w:val="none"/>
          <w:lang w:bidi="ar"/>
        </w:rPr>
        <w:t>增长</w:t>
      </w:r>
      <w:r>
        <w:rPr>
          <w:rFonts w:hint="eastAsia" w:ascii="仿宋_GB2312" w:hAnsi="仿宋_GB2312" w:eastAsia="仿宋_GB2312" w:cs="仿宋_GB2312"/>
          <w:color w:val="auto"/>
          <w:sz w:val="32"/>
          <w:szCs w:val="32"/>
          <w:highlight w:val="none"/>
          <w:lang w:val="en-US" w:eastAsia="zh-CN" w:bidi="ar"/>
        </w:rPr>
        <w:t>9.3</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rPr>
        <w:t>。五年累计完成固定资产投资</w:t>
      </w:r>
      <w:r>
        <w:rPr>
          <w:rFonts w:hint="eastAsia" w:ascii="仿宋_GB2312" w:hAnsi="仿宋_GB2312" w:eastAsia="仿宋_GB2312" w:cs="仿宋_GB2312"/>
          <w:color w:val="auto"/>
          <w:sz w:val="32"/>
          <w:szCs w:val="32"/>
          <w:highlight w:val="none"/>
          <w:lang w:eastAsia="zh-CN"/>
        </w:rPr>
        <w:t>1086.</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年均增长11.8%。地方一般公共预算收入完成</w:t>
      </w:r>
      <w:r>
        <w:rPr>
          <w:rFonts w:hint="eastAsia" w:ascii="仿宋_GB2312" w:hAnsi="仿宋_GB2312" w:eastAsia="仿宋_GB2312" w:cs="仿宋_GB2312"/>
          <w:color w:val="auto"/>
          <w:sz w:val="32"/>
          <w:szCs w:val="32"/>
          <w:highlight w:val="none"/>
          <w:lang w:val="en-US" w:eastAsia="zh-CN"/>
        </w:rPr>
        <w:t>22.03</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年均增长率</w:t>
      </w:r>
      <w:r>
        <w:rPr>
          <w:rFonts w:hint="eastAsia" w:ascii="仿宋_GB2312" w:hAnsi="仿宋_GB2312" w:eastAsia="仿宋_GB2312" w:cs="仿宋_GB2312"/>
          <w:color w:val="auto"/>
          <w:sz w:val="32"/>
          <w:szCs w:val="32"/>
          <w:highlight w:val="none"/>
          <w:lang w:val="en-US" w:eastAsia="zh-CN"/>
        </w:rPr>
        <w:t>13.6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五年累计完成社会消费品零售总额</w:t>
      </w:r>
      <w:r>
        <w:rPr>
          <w:rFonts w:hint="eastAsia" w:ascii="仿宋_GB2312" w:hAnsi="仿宋_GB2312" w:eastAsia="仿宋_GB2312" w:cs="仿宋_GB2312"/>
          <w:color w:val="auto"/>
          <w:sz w:val="32"/>
          <w:szCs w:val="32"/>
          <w:highlight w:val="none"/>
          <w:lang w:val="en-US" w:eastAsia="zh-CN"/>
        </w:rPr>
        <w:t>449.58</w:t>
      </w:r>
      <w:r>
        <w:rPr>
          <w:rFonts w:hint="eastAsia" w:ascii="仿宋_GB2312" w:hAnsi="仿宋_GB2312" w:eastAsia="仿宋_GB2312" w:cs="仿宋_GB2312"/>
          <w:color w:val="auto"/>
          <w:sz w:val="32"/>
          <w:szCs w:val="32"/>
          <w:highlight w:val="none"/>
        </w:rPr>
        <w:t>亿元，年均增长率</w:t>
      </w:r>
      <w:r>
        <w:rPr>
          <w:rFonts w:hint="eastAsia" w:ascii="仿宋_GB2312" w:hAnsi="仿宋_GB2312" w:eastAsia="仿宋_GB2312" w:cs="仿宋_GB2312"/>
          <w:color w:val="auto"/>
          <w:sz w:val="32"/>
          <w:szCs w:val="32"/>
          <w:highlight w:val="none"/>
          <w:lang w:val="en-US" w:eastAsia="zh-CN"/>
        </w:rPr>
        <w:t>7.2</w:t>
      </w:r>
      <w:r>
        <w:rPr>
          <w:rFonts w:hint="eastAsia" w:ascii="仿宋_GB2312" w:hAnsi="仿宋_GB2312" w:eastAsia="仿宋_GB2312" w:cs="仿宋_GB2312"/>
          <w:color w:val="auto"/>
          <w:sz w:val="32"/>
          <w:szCs w:val="32"/>
          <w:highlight w:val="none"/>
        </w:rPr>
        <w:t>%。城镇居民人均可支配收入达到</w:t>
      </w:r>
      <w:r>
        <w:rPr>
          <w:rFonts w:hint="eastAsia" w:ascii="仿宋_GB2312" w:hAnsi="仿宋_GB2312" w:eastAsia="仿宋_GB2312" w:cs="仿宋_GB2312"/>
          <w:color w:val="auto"/>
          <w:sz w:val="32"/>
          <w:szCs w:val="32"/>
          <w:highlight w:val="none"/>
          <w:lang w:val="en-US" w:eastAsia="zh-CN"/>
        </w:rPr>
        <w:t>35170</w:t>
      </w:r>
      <w:r>
        <w:rPr>
          <w:rFonts w:hint="eastAsia" w:ascii="仿宋_GB2312" w:hAnsi="仿宋_GB2312" w:eastAsia="仿宋_GB2312" w:cs="仿宋_GB2312"/>
          <w:color w:val="auto"/>
          <w:sz w:val="32"/>
          <w:szCs w:val="32"/>
          <w:highlight w:val="none"/>
        </w:rPr>
        <w:t>元，年均增长率</w:t>
      </w:r>
      <w:r>
        <w:rPr>
          <w:rFonts w:hint="eastAsia" w:ascii="仿宋_GB2312" w:hAnsi="仿宋_GB2312" w:eastAsia="仿宋_GB2312" w:cs="仿宋_GB2312"/>
          <w:color w:val="auto"/>
          <w:sz w:val="32"/>
          <w:szCs w:val="32"/>
          <w:highlight w:val="none"/>
          <w:lang w:val="en-US" w:eastAsia="zh-CN"/>
        </w:rPr>
        <w:t>7.48</w:t>
      </w:r>
      <w:r>
        <w:rPr>
          <w:rFonts w:hint="eastAsia" w:ascii="仿宋_GB2312" w:hAnsi="仿宋_GB2312" w:eastAsia="仿宋_GB2312" w:cs="仿宋_GB2312"/>
          <w:color w:val="auto"/>
          <w:sz w:val="32"/>
          <w:szCs w:val="32"/>
          <w:highlight w:val="none"/>
        </w:rPr>
        <w:t>%。农村居民人均可支配收入达到</w:t>
      </w:r>
      <w:r>
        <w:rPr>
          <w:rFonts w:hint="eastAsia" w:ascii="仿宋_GB2312" w:hAnsi="仿宋_GB2312" w:eastAsia="仿宋_GB2312" w:cs="仿宋_GB2312"/>
          <w:color w:val="auto"/>
          <w:sz w:val="32"/>
          <w:szCs w:val="32"/>
          <w:highlight w:val="none"/>
          <w:lang w:val="en-US" w:eastAsia="zh-CN"/>
        </w:rPr>
        <w:t>16720</w:t>
      </w:r>
      <w:r>
        <w:rPr>
          <w:rFonts w:hint="eastAsia" w:ascii="仿宋_GB2312" w:hAnsi="仿宋_GB2312" w:eastAsia="仿宋_GB2312" w:cs="仿宋_GB2312"/>
          <w:color w:val="auto"/>
          <w:sz w:val="32"/>
          <w:szCs w:val="32"/>
          <w:highlight w:val="none"/>
        </w:rPr>
        <w:t>元，年均增长率</w:t>
      </w:r>
      <w:r>
        <w:rPr>
          <w:rFonts w:hint="eastAsia" w:ascii="仿宋_GB2312" w:hAnsi="仿宋_GB2312" w:eastAsia="仿宋_GB2312" w:cs="仿宋_GB2312"/>
          <w:color w:val="auto"/>
          <w:sz w:val="32"/>
          <w:szCs w:val="32"/>
          <w:highlight w:val="none"/>
          <w:lang w:val="en-US" w:eastAsia="zh-CN"/>
        </w:rPr>
        <w:t>8.36</w:t>
      </w:r>
      <w:r>
        <w:rPr>
          <w:rFonts w:hint="eastAsia" w:ascii="仿宋_GB2312" w:hAnsi="仿宋_GB2312" w:eastAsia="仿宋_GB2312" w:cs="仿宋_GB2312"/>
          <w:color w:val="auto"/>
          <w:sz w:val="32"/>
          <w:szCs w:val="32"/>
          <w:highlight w:val="none"/>
        </w:rPr>
        <w:t>%。三次产业比重</w:t>
      </w:r>
      <w:r>
        <w:rPr>
          <w:rFonts w:hint="eastAsia" w:ascii="仿宋_GB2312" w:hAnsi="仿宋_GB2312" w:eastAsia="仿宋_GB2312" w:cs="仿宋_GB2312"/>
          <w:color w:val="auto"/>
          <w:sz w:val="32"/>
          <w:szCs w:val="32"/>
          <w:highlight w:val="none"/>
          <w:lang w:eastAsia="zh-CN"/>
        </w:rPr>
        <w:t>从2015年的</w:t>
      </w:r>
      <w:r>
        <w:rPr>
          <w:rFonts w:hint="eastAsia" w:ascii="仿宋_GB2312" w:hAnsi="仿宋_GB2312" w:eastAsia="仿宋_GB2312" w:cs="仿宋_GB2312"/>
          <w:color w:val="auto"/>
          <w:sz w:val="32"/>
          <w:szCs w:val="32"/>
          <w:highlight w:val="none"/>
        </w:rPr>
        <w:t>44.2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11.6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44.2调整为2020年的37.6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10.2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52.2。</w:t>
      </w:r>
    </w:p>
    <w:p>
      <w:pPr>
        <w:pageBreakBefore w:val="0"/>
        <w:kinsoku/>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w:t>
      </w:r>
      <w:r>
        <w:rPr>
          <w:rFonts w:hint="eastAsia" w:ascii="楷体_GB2312" w:hAnsi="楷体_GB2312" w:eastAsia="楷体_GB2312" w:cs="楷体_GB2312"/>
          <w:b/>
          <w:bCs/>
          <w:color w:val="auto"/>
          <w:sz w:val="32"/>
          <w:szCs w:val="32"/>
          <w:highlight w:val="none"/>
          <w:lang w:eastAsia="zh-CN"/>
        </w:rPr>
        <w:t>深化改革开放取得新突破</w:t>
      </w:r>
    </w:p>
    <w:p>
      <w:pPr>
        <w:pStyle w:val="2"/>
        <w:pageBreakBefore w:val="0"/>
        <w:kinsoku/>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贯彻落实中央关于海南全面深化改革开放的指导意见，</w:t>
      </w:r>
      <w:r>
        <w:rPr>
          <w:rFonts w:hint="eastAsia" w:ascii="仿宋_GB2312" w:hAnsi="仿宋_GB2312" w:eastAsia="仿宋_GB2312" w:cs="仿宋_GB2312"/>
          <w:color w:val="auto"/>
          <w:sz w:val="32"/>
          <w:szCs w:val="32"/>
          <w:highlight w:val="none"/>
          <w:lang w:eastAsia="zh-CN"/>
        </w:rPr>
        <w:t>儋州牢记“全省一盘棋”的理念，全力以赴融入海南自由贸易港建设，主动作为，在党政机构、国资国企、国土、教育、医疗、人才、园区、农垦等方面取得了新突破。</w:t>
      </w:r>
      <w:r>
        <w:rPr>
          <w:rFonts w:hint="eastAsia" w:ascii="仿宋_GB2312" w:hAnsi="仿宋_GB2312" w:eastAsia="仿宋_GB2312" w:cs="仿宋_GB2312"/>
          <w:color w:val="auto"/>
          <w:sz w:val="32"/>
          <w:szCs w:val="32"/>
          <w:highlight w:val="none"/>
        </w:rPr>
        <w:t>制定出台《进一步优化法治营商环境的实施方案》《儋州市支持招商引资及产业发展政策》等一批制度创新文件。全面完成</w:t>
      </w:r>
      <w:r>
        <w:rPr>
          <w:rFonts w:hint="eastAsia" w:ascii="仿宋_GB2312" w:hAnsi="仿宋_GB2312" w:eastAsia="仿宋_GB2312" w:cs="仿宋_GB2312"/>
          <w:color w:val="auto"/>
          <w:sz w:val="32"/>
          <w:szCs w:val="32"/>
          <w:highlight w:val="none"/>
          <w:lang w:eastAsia="zh-CN"/>
        </w:rPr>
        <w:t>市级党政</w:t>
      </w:r>
      <w:r>
        <w:rPr>
          <w:rFonts w:hint="eastAsia" w:ascii="仿宋_GB2312" w:hAnsi="仿宋_GB2312" w:eastAsia="仿宋_GB2312" w:cs="仿宋_GB2312"/>
          <w:color w:val="auto"/>
          <w:sz w:val="32"/>
          <w:szCs w:val="32"/>
          <w:highlight w:val="none"/>
        </w:rPr>
        <w:t>机构改革。</w:t>
      </w:r>
      <w:r>
        <w:rPr>
          <w:rFonts w:hint="eastAsia" w:ascii="仿宋_GB2312" w:hAnsi="仿宋_GB2312" w:eastAsia="仿宋_GB2312" w:cs="仿宋_GB2312"/>
          <w:color w:val="auto"/>
          <w:sz w:val="32"/>
          <w:szCs w:val="32"/>
          <w:highlight w:val="none"/>
          <w:lang w:eastAsia="zh-CN"/>
        </w:rPr>
        <w:t>深化国资国企改革，整合资源成立各类平台公司，</w:t>
      </w:r>
      <w:r>
        <w:rPr>
          <w:rFonts w:hint="eastAsia" w:ascii="仿宋_GB2312" w:hAnsi="仿宋_GB2312" w:eastAsia="仿宋_GB2312" w:cs="仿宋_GB2312"/>
          <w:snapToGrid w:val="0"/>
          <w:color w:val="auto"/>
          <w:sz w:val="32"/>
          <w:szCs w:val="32"/>
          <w:highlight w:val="none"/>
          <w:shd w:val="clear" w:color="auto" w:fill="FFFFFF"/>
        </w:rPr>
        <w:t>关闭处置一批国有企业</w:t>
      </w:r>
      <w:r>
        <w:rPr>
          <w:rFonts w:hint="eastAsia" w:ascii="仿宋_GB2312" w:hAnsi="仿宋_GB2312" w:eastAsia="仿宋_GB2312" w:cs="仿宋_GB2312"/>
          <w:snapToGrid w:val="0"/>
          <w:color w:val="auto"/>
          <w:sz w:val="32"/>
          <w:szCs w:val="32"/>
          <w:highlight w:val="none"/>
          <w:shd w:val="clear" w:color="auto" w:fill="FFFFFF"/>
          <w:lang w:eastAsia="zh-CN"/>
        </w:rPr>
        <w:t>。推行环卫体制改革，实现</w:t>
      </w:r>
      <w:r>
        <w:rPr>
          <w:rFonts w:hint="eastAsia" w:ascii="仿宋_GB2312" w:hAnsi="仿宋_GB2312" w:eastAsia="仿宋_GB2312" w:cs="仿宋_GB2312"/>
          <w:color w:val="auto"/>
          <w:sz w:val="32"/>
          <w:szCs w:val="32"/>
          <w:highlight w:val="none"/>
          <w:lang w:eastAsia="zh-CN"/>
        </w:rPr>
        <w:t>城乡环境卫生一体化。全面落实推进省</w:t>
      </w:r>
      <w:r>
        <w:rPr>
          <w:rFonts w:hint="eastAsia" w:ascii="仿宋_GB2312" w:hAnsi="仿宋_GB2312" w:eastAsia="仿宋_GB2312" w:cs="仿宋_GB2312"/>
          <w:color w:val="auto"/>
          <w:sz w:val="32"/>
          <w:szCs w:val="32"/>
          <w:highlight w:val="none"/>
        </w:rPr>
        <w:t>“多规合一”</w:t>
      </w:r>
      <w:r>
        <w:rPr>
          <w:rFonts w:hint="eastAsia" w:ascii="仿宋_GB2312" w:hAnsi="仿宋_GB2312" w:eastAsia="仿宋_GB2312" w:cs="仿宋_GB2312"/>
          <w:color w:val="auto"/>
          <w:sz w:val="32"/>
          <w:szCs w:val="32"/>
          <w:highlight w:val="none"/>
          <w:lang w:eastAsia="zh-CN"/>
        </w:rPr>
        <w:t>改革、</w:t>
      </w:r>
      <w:r>
        <w:rPr>
          <w:rFonts w:hint="eastAsia" w:ascii="仿宋_GB2312" w:hAnsi="仿宋_GB2312" w:eastAsia="仿宋_GB2312" w:cs="仿宋_GB2312"/>
          <w:color w:val="auto"/>
          <w:sz w:val="32"/>
          <w:szCs w:val="32"/>
          <w:highlight w:val="none"/>
        </w:rPr>
        <w:t>农垦社会管理属地化改革</w:t>
      </w:r>
      <w:r>
        <w:rPr>
          <w:rFonts w:hint="eastAsia" w:ascii="仿宋_GB2312" w:hAnsi="仿宋_GB2312" w:eastAsia="仿宋_GB2312" w:cs="仿宋_GB2312"/>
          <w:color w:val="auto"/>
          <w:sz w:val="32"/>
          <w:szCs w:val="32"/>
          <w:highlight w:val="none"/>
          <w:lang w:eastAsia="zh-CN"/>
        </w:rPr>
        <w:t>、农村集体产权制度改革和工程建设项目审批制度改革</w:t>
      </w:r>
      <w:r>
        <w:rPr>
          <w:rFonts w:hint="eastAsia" w:ascii="仿宋_GB2312" w:hAnsi="仿宋_GB2312" w:eastAsia="仿宋_GB2312" w:cs="仿宋_GB2312"/>
          <w:color w:val="auto"/>
          <w:sz w:val="32"/>
          <w:szCs w:val="32"/>
          <w:highlight w:val="none"/>
        </w:rPr>
        <w:t>。创新盘活农村闲置农房资源，制定农村房屋使用权登记及流转管理办法；创新土地资源整合方式，成立</w:t>
      </w:r>
      <w:r>
        <w:rPr>
          <w:rFonts w:hint="eastAsia" w:ascii="仿宋_GB2312" w:hAnsi="仿宋_GB2312" w:eastAsia="仿宋_GB2312" w:cs="仿宋_GB2312"/>
          <w:color w:val="auto"/>
          <w:sz w:val="32"/>
          <w:szCs w:val="32"/>
          <w:highlight w:val="none"/>
          <w:lang w:eastAsia="zh-CN"/>
        </w:rPr>
        <w:t>乡村振兴投资</w:t>
      </w:r>
      <w:r>
        <w:rPr>
          <w:rFonts w:hint="eastAsia" w:ascii="仿宋_GB2312" w:hAnsi="仿宋_GB2312" w:eastAsia="仿宋_GB2312" w:cs="仿宋_GB2312"/>
          <w:color w:val="auto"/>
          <w:sz w:val="32"/>
          <w:szCs w:val="32"/>
          <w:highlight w:val="none"/>
        </w:rPr>
        <w:t>公司，整合和开发全市农村集体土地资源</w:t>
      </w:r>
      <w:r>
        <w:rPr>
          <w:rFonts w:hint="eastAsia" w:ascii="仿宋_GB2312" w:hAnsi="仿宋_GB2312" w:eastAsia="仿宋_GB2312" w:cs="仿宋_GB2312"/>
          <w:color w:val="auto"/>
          <w:sz w:val="32"/>
          <w:szCs w:val="32"/>
          <w:highlight w:val="none"/>
          <w:lang w:eastAsia="zh-CN"/>
        </w:rPr>
        <w:t>，推进乡村振兴投资</w:t>
      </w:r>
      <w:r>
        <w:rPr>
          <w:rFonts w:hint="eastAsia" w:ascii="仿宋_GB2312" w:hAnsi="仿宋_GB2312" w:eastAsia="仿宋_GB2312" w:cs="仿宋_GB2312"/>
          <w:color w:val="auto"/>
          <w:sz w:val="32"/>
          <w:szCs w:val="32"/>
          <w:highlight w:val="none"/>
        </w:rPr>
        <w:t>公司</w:t>
      </w:r>
      <w:r>
        <w:rPr>
          <w:rFonts w:hint="eastAsia" w:ascii="仿宋_GB2312" w:hAnsi="仿宋_GB2312" w:eastAsia="仿宋_GB2312" w:cs="仿宋_GB2312"/>
          <w:color w:val="auto"/>
          <w:sz w:val="32"/>
          <w:szCs w:val="32"/>
          <w:highlight w:val="none"/>
          <w:lang w:eastAsia="zh-CN"/>
        </w:rPr>
        <w:t>与侨植农场等四家地方国营农场重组整合；</w:t>
      </w:r>
      <w:r>
        <w:rPr>
          <w:rFonts w:hint="eastAsia" w:ascii="仿宋_GB2312" w:hAnsi="仿宋_GB2312" w:eastAsia="仿宋_GB2312" w:cs="仿宋_GB2312"/>
          <w:color w:val="auto"/>
          <w:sz w:val="32"/>
          <w:szCs w:val="32"/>
          <w:highlight w:val="none"/>
        </w:rPr>
        <w:t>探索国企开发、村集体和村民受益的</w:t>
      </w:r>
      <w:r>
        <w:rPr>
          <w:rFonts w:hint="eastAsia" w:ascii="仿宋_GB2312" w:hAnsi="仿宋_GB2312" w:eastAsia="仿宋_GB2312" w:cs="仿宋_GB2312"/>
          <w:color w:val="auto"/>
          <w:sz w:val="32"/>
          <w:szCs w:val="32"/>
          <w:highlight w:val="none"/>
          <w:lang w:eastAsia="zh-CN"/>
        </w:rPr>
        <w:t>“村企合作”</w:t>
      </w:r>
      <w:r>
        <w:rPr>
          <w:rFonts w:hint="eastAsia" w:ascii="仿宋_GB2312" w:hAnsi="仿宋_GB2312" w:eastAsia="仿宋_GB2312" w:cs="仿宋_GB2312"/>
          <w:color w:val="auto"/>
          <w:sz w:val="32"/>
          <w:szCs w:val="32"/>
          <w:highlight w:val="none"/>
        </w:rPr>
        <w:t>采砂新模式；</w:t>
      </w:r>
      <w:r>
        <w:rPr>
          <w:rFonts w:hint="eastAsia" w:ascii="仿宋_GB2312" w:hAnsi="仿宋_GB2312" w:eastAsia="仿宋_GB2312" w:cs="仿宋_GB2312"/>
          <w:color w:val="auto"/>
          <w:kern w:val="2"/>
          <w:sz w:val="32"/>
          <w:szCs w:val="32"/>
          <w:highlight w:val="none"/>
        </w:rPr>
        <w:t>创新投资管理体制，推</w:t>
      </w:r>
      <w:r>
        <w:rPr>
          <w:rFonts w:hint="eastAsia" w:ascii="仿宋_GB2312" w:hAnsi="仿宋_GB2312" w:eastAsia="仿宋_GB2312" w:cs="仿宋_GB2312"/>
          <w:color w:val="auto"/>
          <w:sz w:val="32"/>
          <w:szCs w:val="32"/>
          <w:highlight w:val="none"/>
          <w:lang w:eastAsia="zh-CN"/>
        </w:rPr>
        <w:t>行政府投资项目EPC建设和工程质量缺陷保险模式。创新医疗管理体制，</w:t>
      </w:r>
      <w:r>
        <w:rPr>
          <w:rFonts w:hint="default" w:ascii="仿宋_GB2312" w:hAnsi="仿宋_GB2312" w:eastAsia="仿宋_GB2312" w:cs="仿宋_GB2312"/>
          <w:color w:val="auto"/>
          <w:sz w:val="32"/>
          <w:szCs w:val="32"/>
          <w:highlight w:val="none"/>
          <w:lang w:eastAsia="zh-CN"/>
        </w:rPr>
        <w:t>促成海南西部中心医院与上海九院成功合作，建成全省首家紧密型医联体</w:t>
      </w:r>
      <w:r>
        <w:rPr>
          <w:rFonts w:hint="eastAsia" w:ascii="仿宋_GB2312" w:hAnsi="仿宋_GB2312" w:eastAsia="仿宋_GB2312" w:cs="仿宋_GB2312"/>
          <w:color w:val="auto"/>
          <w:sz w:val="32"/>
          <w:szCs w:val="32"/>
          <w:highlight w:val="none"/>
          <w:lang w:eastAsia="zh-CN"/>
        </w:rPr>
        <w:t>。创新教育管理体制，引进南开大学附中、襄阳五中与我市两所中学合作办学，引进企业投资兴办黄冈实验学校。创新园区管理方式，与深圳前海蛇口、盐田港集团、深圳综合开发研究院、深圳各行业协会等建立战略合作关系，推动深儋自贸合作区发展建设。</w:t>
      </w:r>
    </w:p>
    <w:p>
      <w:pPr>
        <w:pageBreakBefore w:val="0"/>
        <w:kinsoku/>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（四）西部中心城市建设初具规模</w:t>
      </w:r>
    </w:p>
    <w:p>
      <w:pPr>
        <w:pStyle w:val="2"/>
        <w:pageBreakBefore w:val="0"/>
        <w:kinsoku/>
        <w:overflowPunct/>
        <w:topLinePunct w:val="0"/>
        <w:bidi w:val="0"/>
        <w:snapToGrid/>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“五大中心”初步形成。</w:t>
      </w:r>
      <w:r>
        <w:rPr>
          <w:rFonts w:hint="eastAsia" w:ascii="仿宋_GB2312" w:hAnsi="仿宋_GB2312" w:eastAsia="仿宋_GB2312" w:cs="仿宋_GB2312"/>
          <w:b/>
          <w:bCs/>
          <w:color w:val="auto"/>
          <w:sz w:val="32"/>
          <w:szCs w:val="32"/>
          <w:highlight w:val="none"/>
          <w:lang w:val="en-US" w:eastAsia="zh-CN"/>
        </w:rPr>
        <w:t>教育中心。</w:t>
      </w:r>
      <w:r>
        <w:rPr>
          <w:rFonts w:hint="eastAsia" w:ascii="仿宋_GB2312" w:hAnsi="仿宋_GB2312" w:eastAsia="仿宋_GB2312" w:cs="仿宋_GB2312"/>
          <w:color w:val="auto"/>
          <w:sz w:val="32"/>
          <w:szCs w:val="32"/>
          <w:highlight w:val="none"/>
          <w:lang w:val="en-US" w:eastAsia="zh-CN"/>
        </w:rPr>
        <w:t>全市共有475所学校，其中，幼儿园214所、小学213所、初级中学22所、九年一贯制学校9所、完全中学11所、高级中学1所、十二年一贯制学校3所、特殊教育学校1所、中职学校1所；教师8828人，学生人数185455人。顺利通过全国义务教育发展基本均衡市评估认定，公办园就读幼儿比例和普惠性幼儿园覆盖率“两个比例”达标，高考本科上线率从2015年35.5%升至2020年68.6%。推动海南大学成立热带农林学院，引进海南电影学院。</w:t>
      </w:r>
      <w:r>
        <w:rPr>
          <w:rFonts w:hint="eastAsia" w:ascii="仿宋_GB2312" w:hAnsi="仿宋_GB2312" w:eastAsia="仿宋_GB2312" w:cs="仿宋_GB2312"/>
          <w:b/>
          <w:bCs/>
          <w:color w:val="auto"/>
          <w:sz w:val="32"/>
          <w:szCs w:val="32"/>
          <w:highlight w:val="none"/>
          <w:lang w:val="en-US" w:eastAsia="zh-CN"/>
        </w:rPr>
        <w:t>医疗中心。</w:t>
      </w:r>
      <w:r>
        <w:rPr>
          <w:rFonts w:hint="eastAsia" w:ascii="仿宋_GB2312" w:hAnsi="仿宋_GB2312" w:eastAsia="仿宋_GB2312" w:cs="仿宋_GB2312"/>
          <w:b w:val="0"/>
          <w:bCs w:val="0"/>
          <w:color w:val="auto"/>
          <w:sz w:val="32"/>
          <w:szCs w:val="32"/>
          <w:highlight w:val="none"/>
          <w:lang w:val="en-US" w:eastAsia="zh-CN"/>
        </w:rPr>
        <w:t>全市现有535家医疗机构，3965张床位，6912名医务人员。建成</w:t>
      </w:r>
      <w:r>
        <w:rPr>
          <w:rFonts w:hint="eastAsia" w:ascii="仿宋_GB2312" w:hAnsi="仿宋_GB2312" w:eastAsia="仿宋_GB2312" w:cs="仿宋_GB2312"/>
          <w:color w:val="auto"/>
          <w:sz w:val="32"/>
          <w:szCs w:val="32"/>
          <w:highlight w:val="none"/>
          <w:lang w:val="en-US" w:eastAsia="zh-CN"/>
        </w:rPr>
        <w:t>西部中心医院（一、二期），标准化改造75家基层医疗卫生机构，建设市妇幼保健院（妇女儿童医院）、市中医医院、滨海新区医院、市疾控中心，升级改造市人民医院。引进优质医疗资源，促成海南西部中心医院与上海九院成功合作，建成海南西部首个院士工作站、1个国家级诊治中心、6个省级诊治中心和两家三级甲等综合医院。</w:t>
      </w:r>
      <w:r>
        <w:rPr>
          <w:rFonts w:hint="eastAsia" w:ascii="仿宋_GB2312" w:hAnsi="仿宋_GB2312" w:eastAsia="仿宋_GB2312" w:cs="仿宋_GB2312"/>
          <w:b/>
          <w:bCs/>
          <w:color w:val="auto"/>
          <w:sz w:val="32"/>
          <w:szCs w:val="32"/>
          <w:highlight w:val="none"/>
          <w:lang w:val="en-US" w:eastAsia="zh-CN"/>
        </w:rPr>
        <w:t>文体中心。</w:t>
      </w:r>
      <w:r>
        <w:rPr>
          <w:rFonts w:hint="eastAsia" w:ascii="仿宋_GB2312" w:hAnsi="仿宋_GB2312" w:eastAsia="仿宋_GB2312" w:cs="仿宋_GB2312"/>
          <w:b w:val="0"/>
          <w:bCs w:val="0"/>
          <w:color w:val="auto"/>
          <w:sz w:val="32"/>
          <w:szCs w:val="32"/>
          <w:highlight w:val="none"/>
          <w:lang w:val="en-US" w:eastAsia="zh-CN"/>
        </w:rPr>
        <w:t>全市现有文体法人单位数量122个、个体工商户128个。儋州市图书馆评为国家三级图书馆；儋州市文化馆评为国家二级文化馆。全市拥有羽毛球、足球场、游泳馆(池)、跆拳道、拳击馆、健身房等56家经营性健身场所，建成运动健身中心（海花岛）。开工建设国家乙级标准的“一场两馆”。“三节两赛”的规模和影响力日益扩大，儋州国际马拉松赛获评中国田径协会金牌赛事。</w:t>
      </w:r>
      <w:r>
        <w:rPr>
          <w:rFonts w:hint="eastAsia" w:ascii="仿宋_GB2312" w:hAnsi="仿宋_GB2312" w:eastAsia="仿宋_GB2312" w:cs="仿宋_GB2312"/>
          <w:b/>
          <w:bCs/>
          <w:color w:val="auto"/>
          <w:sz w:val="32"/>
          <w:szCs w:val="32"/>
          <w:highlight w:val="none"/>
          <w:lang w:val="en-US" w:eastAsia="zh-CN"/>
        </w:rPr>
        <w:t>消费中心。</w:t>
      </w:r>
      <w:r>
        <w:rPr>
          <w:rFonts w:hint="eastAsia" w:ascii="仿宋_GB2312" w:hAnsi="仿宋_GB2312" w:eastAsia="仿宋_GB2312" w:cs="仿宋_GB2312"/>
          <w:color w:val="auto"/>
          <w:sz w:val="32"/>
          <w:szCs w:val="32"/>
          <w:highlight w:val="none"/>
          <w:lang w:val="en-US" w:eastAsia="zh-CN"/>
        </w:rPr>
        <w:t>开工建设望海国际商业广场、欧亚城综合体等一批项目。建成夏日广场-鼎尚广场-名都天街消费商圈。海花岛旅游产业园基本建成，即将开业五国温泉城、欧堡酒店、国际会议会展中心、婚纱摄影等一批消费场所。推动一批旅游设施建设和升级改造，莲花山文化景区获评国家4A级景区。出台一系列惠企惠民政策，体验式消费、夜间经济等经济新业态渐趋成熟，海鲜广场、夜市美食街等经济体不断涌现。</w:t>
      </w:r>
      <w:r>
        <w:rPr>
          <w:rFonts w:hint="eastAsia" w:ascii="仿宋_GB2312" w:hAnsi="仿宋_GB2312" w:eastAsia="仿宋_GB2312" w:cs="仿宋_GB2312"/>
          <w:b/>
          <w:bCs/>
          <w:color w:val="auto"/>
          <w:sz w:val="32"/>
          <w:szCs w:val="32"/>
          <w:highlight w:val="none"/>
          <w:lang w:val="en-US" w:eastAsia="zh-CN"/>
        </w:rPr>
        <w:t>服务中心。</w:t>
      </w:r>
      <w:r>
        <w:rPr>
          <w:rFonts w:hint="eastAsia" w:ascii="仿宋_GB2312" w:hAnsi="仿宋_GB2312" w:eastAsia="仿宋_GB2312" w:cs="仿宋_GB2312"/>
          <w:b w:val="0"/>
          <w:bCs w:val="0"/>
          <w:color w:val="auto"/>
          <w:sz w:val="32"/>
          <w:szCs w:val="32"/>
          <w:highlight w:val="none"/>
          <w:lang w:val="en-US" w:eastAsia="zh-CN"/>
        </w:rPr>
        <w:t>服务业快速发展，总量迅速扩大。2019年服务业增加值全省排名3，儋州</w:t>
      </w:r>
      <w:r>
        <w:rPr>
          <w:rFonts w:hint="eastAsia" w:ascii="仿宋_GB2312" w:hAnsi="仿宋_GB2312" w:eastAsia="仿宋_GB2312" w:cs="仿宋_GB2312"/>
          <w:color w:val="auto"/>
          <w:sz w:val="32"/>
          <w:szCs w:val="32"/>
          <w:highlight w:val="none"/>
          <w:lang w:val="en-US" w:eastAsia="zh-CN"/>
        </w:rPr>
        <w:t>服务业产值在西部地区占比约30%。</w:t>
      </w:r>
      <w:r>
        <w:rPr>
          <w:rFonts w:hint="eastAsia" w:ascii="仿宋_GB2312" w:hAnsi="仿宋_GB2312" w:eastAsia="仿宋_GB2312" w:cs="仿宋_GB2312"/>
          <w:b w:val="0"/>
          <w:bCs w:val="0"/>
          <w:color w:val="auto"/>
          <w:sz w:val="32"/>
          <w:szCs w:val="32"/>
          <w:highlight w:val="none"/>
          <w:lang w:val="en-US" w:eastAsia="zh-CN"/>
        </w:rPr>
        <w:t>全市现有服务业法人企业数2798个，个体经营户数21541个。服务业法人从业人员53571人，服务业个体经营户数45759人。滨海新区作为承接洋浦生产性和生活性服务业的条件日趋成熟。海花岛旅游产业园28种服务业态即将开业。</w:t>
      </w:r>
    </w:p>
    <w:p>
      <w:pPr>
        <w:pageBreakBefore w:val="0"/>
        <w:kinsoku/>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五</w:t>
      </w:r>
      <w:r>
        <w:rPr>
          <w:rFonts w:hint="eastAsia" w:ascii="楷体_GB2312" w:hAnsi="楷体_GB2312" w:eastAsia="楷体_GB2312" w:cs="楷体_GB2312"/>
          <w:b/>
          <w:bCs/>
          <w:color w:val="auto"/>
          <w:sz w:val="32"/>
          <w:szCs w:val="32"/>
          <w:highlight w:val="none"/>
        </w:rPr>
        <w:t>）城乡发展</w:t>
      </w:r>
      <w:r>
        <w:rPr>
          <w:rFonts w:hint="eastAsia" w:ascii="楷体_GB2312" w:hAnsi="楷体_GB2312" w:eastAsia="楷体_GB2312" w:cs="楷体_GB2312"/>
          <w:b/>
          <w:bCs/>
          <w:color w:val="auto"/>
          <w:sz w:val="32"/>
          <w:szCs w:val="32"/>
          <w:highlight w:val="none"/>
          <w:lang w:eastAsia="zh-CN"/>
        </w:rPr>
        <w:t>进一步</w:t>
      </w:r>
      <w:r>
        <w:rPr>
          <w:rFonts w:hint="eastAsia" w:ascii="楷体_GB2312" w:hAnsi="楷体_GB2312" w:eastAsia="楷体_GB2312" w:cs="楷体_GB2312"/>
          <w:b/>
          <w:bCs/>
          <w:color w:val="auto"/>
          <w:sz w:val="32"/>
          <w:szCs w:val="32"/>
          <w:highlight w:val="none"/>
        </w:rPr>
        <w:t>融合</w:t>
      </w:r>
    </w:p>
    <w:p>
      <w:pPr>
        <w:pStyle w:val="2"/>
        <w:pageBreakBefore w:val="0"/>
        <w:kinsoku/>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eastAsia="zh-CN"/>
        </w:rPr>
        <w:t>中心</w:t>
      </w:r>
      <w:r>
        <w:rPr>
          <w:rFonts w:hint="eastAsia" w:ascii="仿宋_GB2312" w:hAnsi="仿宋_GB2312" w:eastAsia="仿宋_GB2312" w:cs="仿宋_GB2312"/>
          <w:color w:val="auto"/>
          <w:kern w:val="2"/>
          <w:sz w:val="32"/>
          <w:szCs w:val="32"/>
          <w:highlight w:val="none"/>
        </w:rPr>
        <w:t>城区区域集群效应日趋凸显，</w:t>
      </w:r>
      <w:r>
        <w:rPr>
          <w:rFonts w:hint="eastAsia" w:ascii="仿宋_GB2312" w:hAnsi="仿宋_GB2312" w:eastAsia="仿宋_GB2312" w:cs="仿宋_GB2312"/>
          <w:color w:val="auto"/>
          <w:kern w:val="2"/>
          <w:sz w:val="32"/>
          <w:szCs w:val="32"/>
          <w:highlight w:val="none"/>
          <w:lang w:eastAsia="zh-CN"/>
        </w:rPr>
        <w:t>儋州</w:t>
      </w:r>
      <w:r>
        <w:rPr>
          <w:rFonts w:hint="eastAsia" w:ascii="仿宋_GB2312" w:hAnsi="仿宋_GB2312" w:eastAsia="仿宋_GB2312" w:cs="仿宋_GB2312"/>
          <w:color w:val="auto"/>
          <w:kern w:val="2"/>
          <w:sz w:val="32"/>
          <w:szCs w:val="32"/>
          <w:highlight w:val="none"/>
          <w:lang w:val="en-US" w:eastAsia="zh-CN"/>
        </w:rPr>
        <w:t>-洋浦“</w:t>
      </w:r>
      <w:r>
        <w:rPr>
          <w:rFonts w:hint="eastAsia" w:ascii="仿宋_GB2312" w:hAnsi="仿宋_GB2312" w:eastAsia="仿宋_GB2312" w:cs="仿宋_GB2312"/>
          <w:color w:val="auto"/>
          <w:kern w:val="2"/>
          <w:sz w:val="32"/>
          <w:szCs w:val="32"/>
          <w:highlight w:val="none"/>
          <w:lang w:eastAsia="zh-CN"/>
        </w:rPr>
        <w:t>环新英湾”港产城一体化发展有序推进</w:t>
      </w:r>
      <w:r>
        <w:rPr>
          <w:rFonts w:hint="eastAsia" w:ascii="仿宋_GB2312" w:hAnsi="仿宋_GB2312" w:eastAsia="仿宋_GB2312" w:cs="仿宋_GB2312"/>
          <w:color w:val="auto"/>
          <w:kern w:val="2"/>
          <w:sz w:val="32"/>
          <w:szCs w:val="32"/>
          <w:highlight w:val="none"/>
        </w:rPr>
        <w:t>。实施乡村振兴战略</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农村人居环境整治三年行动和厕所革命，稳步推进百镇千村工程</w:t>
      </w:r>
      <w:r>
        <w:rPr>
          <w:rFonts w:hint="eastAsia" w:ascii="仿宋_GB2312" w:hAnsi="仿宋_GB2312" w:eastAsia="仿宋_GB2312" w:cs="仿宋_GB2312"/>
          <w:color w:val="auto"/>
          <w:kern w:val="2"/>
          <w:sz w:val="32"/>
          <w:szCs w:val="32"/>
          <w:highlight w:val="none"/>
          <w:lang w:eastAsia="zh-CN"/>
        </w:rPr>
        <w:t>，累计建成</w:t>
      </w:r>
      <w:r>
        <w:rPr>
          <w:rFonts w:hint="eastAsia" w:ascii="仿宋_GB2312" w:hAnsi="仿宋_GB2312" w:eastAsia="仿宋_GB2312" w:cs="仿宋_GB2312"/>
          <w:color w:val="auto"/>
          <w:kern w:val="2"/>
          <w:sz w:val="32"/>
          <w:szCs w:val="32"/>
          <w:highlight w:val="none"/>
          <w:lang w:val="en-US" w:eastAsia="zh-CN"/>
        </w:rPr>
        <w:t>47个美丽乡村，已评星级27个</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城镇化率达53.5%</w:t>
      </w:r>
      <w:r>
        <w:rPr>
          <w:rFonts w:hint="eastAsia" w:ascii="仿宋_GB2312" w:hAnsi="仿宋_GB2312" w:eastAsia="仿宋_GB2312" w:cs="仿宋_GB2312"/>
          <w:color w:val="auto"/>
          <w:kern w:val="2"/>
          <w:sz w:val="32"/>
          <w:szCs w:val="32"/>
          <w:highlight w:val="none"/>
          <w:lang w:eastAsia="zh-CN"/>
        </w:rPr>
        <w:t>，比“十二五”末提高了了</w:t>
      </w:r>
      <w:r>
        <w:rPr>
          <w:rFonts w:hint="eastAsia" w:ascii="仿宋_GB2312" w:hAnsi="仿宋_GB2312" w:eastAsia="仿宋_GB2312" w:cs="仿宋_GB2312"/>
          <w:color w:val="auto"/>
          <w:kern w:val="2"/>
          <w:sz w:val="32"/>
          <w:szCs w:val="32"/>
          <w:highlight w:val="none"/>
          <w:lang w:val="en-US" w:eastAsia="zh-CN"/>
        </w:rPr>
        <w:t>5.6个百分点，</w:t>
      </w:r>
      <w:r>
        <w:rPr>
          <w:rFonts w:hint="eastAsia" w:ascii="仿宋_GB2312" w:hAnsi="仿宋_GB2312" w:eastAsia="仿宋_GB2312" w:cs="仿宋_GB2312"/>
          <w:color w:val="auto"/>
          <w:kern w:val="2"/>
          <w:sz w:val="32"/>
          <w:szCs w:val="32"/>
          <w:highlight w:val="none"/>
        </w:rPr>
        <w:t>基本取消城镇落户限制。</w:t>
      </w:r>
      <w:r>
        <w:rPr>
          <w:rFonts w:hint="eastAsia" w:ascii="仿宋_GB2312" w:hAnsi="仿宋_GB2312" w:eastAsia="仿宋_GB2312" w:cs="仿宋_GB2312"/>
          <w:color w:val="auto"/>
          <w:kern w:val="2"/>
          <w:sz w:val="32"/>
          <w:szCs w:val="32"/>
          <w:highlight w:val="none"/>
          <w:lang w:eastAsia="zh-CN"/>
        </w:rPr>
        <w:t>五网</w:t>
      </w:r>
      <w:r>
        <w:rPr>
          <w:rFonts w:hint="eastAsia" w:ascii="仿宋_GB2312" w:hAnsi="仿宋_GB2312" w:eastAsia="仿宋_GB2312" w:cs="仿宋_GB2312"/>
          <w:color w:val="auto"/>
          <w:kern w:val="2"/>
          <w:sz w:val="32"/>
          <w:szCs w:val="32"/>
          <w:highlight w:val="none"/>
        </w:rPr>
        <w:t>基础设施建设</w:t>
      </w:r>
      <w:r>
        <w:rPr>
          <w:rFonts w:hint="eastAsia" w:ascii="仿宋_GB2312" w:hAnsi="仿宋_GB2312" w:eastAsia="仿宋_GB2312" w:cs="仿宋_GB2312"/>
          <w:color w:val="auto"/>
          <w:kern w:val="2"/>
          <w:sz w:val="32"/>
          <w:szCs w:val="32"/>
          <w:highlight w:val="none"/>
          <w:lang w:eastAsia="zh-CN"/>
        </w:rPr>
        <w:t>提质升级。综合交通体系初步形成，农村公路六大工程顺利推进。</w:t>
      </w:r>
      <w:r>
        <w:rPr>
          <w:rFonts w:hint="eastAsia" w:ascii="仿宋_GB2312" w:hAnsi="仿宋_GB2312" w:eastAsia="仿宋_GB2312" w:cs="仿宋_GB2312"/>
          <w:color w:val="auto"/>
          <w:sz w:val="32"/>
          <w:szCs w:val="32"/>
          <w:highlight w:val="none"/>
        </w:rPr>
        <w:t>超额完成行政村光纤网络及4G网络100%的建设任务。</w:t>
      </w:r>
      <w:r>
        <w:rPr>
          <w:rFonts w:hint="eastAsia" w:ascii="仿宋_GB2312" w:hAnsi="仿宋_GB2312" w:eastAsia="仿宋_GB2312" w:cs="仿宋_GB2312"/>
          <w:color w:val="auto"/>
          <w:sz w:val="32"/>
          <w:szCs w:val="32"/>
          <w:highlight w:val="none"/>
          <w:lang w:eastAsia="zh-CN"/>
        </w:rPr>
        <w:t>水资源配置工程建设取得新突破，建成滨海新区供水污水等一批项目，开工建设天角潭水利枢纽、</w:t>
      </w:r>
      <w:r>
        <w:rPr>
          <w:rFonts w:hint="eastAsia" w:ascii="仿宋" w:hAnsi="仿宋" w:eastAsia="仿宋" w:cs="仿宋"/>
          <w:color w:val="auto"/>
          <w:sz w:val="32"/>
          <w:szCs w:val="32"/>
          <w:highlight w:val="none"/>
          <w:lang w:val="en-US" w:eastAsia="zh-CN"/>
        </w:rPr>
        <w:t>春江水厂和</w:t>
      </w:r>
      <w:r>
        <w:rPr>
          <w:rFonts w:hint="eastAsia" w:ascii="仿宋_GB2312" w:hAnsi="仿宋_GB2312" w:eastAsia="仿宋_GB2312" w:cs="仿宋_GB2312"/>
          <w:color w:val="auto"/>
          <w:sz w:val="32"/>
          <w:szCs w:val="32"/>
          <w:highlight w:val="none"/>
          <w:lang w:eastAsia="zh-CN"/>
        </w:rPr>
        <w:t>城乡污水</w:t>
      </w:r>
      <w:r>
        <w:rPr>
          <w:rFonts w:hint="eastAsia" w:ascii="仿宋" w:hAnsi="仿宋" w:eastAsia="仿宋" w:cs="仿宋"/>
          <w:color w:val="auto"/>
          <w:sz w:val="32"/>
          <w:szCs w:val="32"/>
          <w:highlight w:val="none"/>
          <w:lang w:val="en-US" w:eastAsia="zh-CN"/>
        </w:rPr>
        <w:t>处理等21宗工程。供电质量和安全有效提升，</w:t>
      </w:r>
      <w:r>
        <w:rPr>
          <w:rFonts w:hint="eastAsia" w:ascii="仿宋_GB2312" w:hAnsi="仿宋_GB2312" w:eastAsia="仿宋_GB2312" w:cs="仿宋_GB2312"/>
          <w:color w:val="auto"/>
          <w:sz w:val="32"/>
          <w:szCs w:val="32"/>
          <w:highlight w:val="none"/>
        </w:rPr>
        <w:t>建成35千伏及以上主网基建项目5个、10千伏及以下电网基建项目829个，完成儋州110千伏垃圾发电厂送出线路、220千伏洛基至头铺线路新建工程等项目。</w:t>
      </w:r>
      <w:r>
        <w:rPr>
          <w:rFonts w:hint="eastAsia" w:ascii="仿宋_GB2312" w:hAnsi="仿宋_GB2312" w:eastAsia="仿宋_GB2312" w:cs="仿宋_GB2312"/>
          <w:color w:val="auto"/>
          <w:sz w:val="32"/>
          <w:szCs w:val="32"/>
          <w:highlight w:val="none"/>
          <w:lang w:eastAsia="zh-CN"/>
        </w:rPr>
        <w:t>实施“气代柴薪”工程，</w:t>
      </w:r>
      <w:r>
        <w:rPr>
          <w:rFonts w:hint="eastAsia" w:ascii="仿宋_GB2312" w:hAnsi="仿宋_GB2312" w:eastAsia="仿宋_GB2312" w:cs="仿宋_GB2312"/>
          <w:b w:val="0"/>
          <w:bCs w:val="0"/>
          <w:color w:val="auto"/>
          <w:sz w:val="32"/>
          <w:szCs w:val="32"/>
          <w:highlight w:val="none"/>
          <w:lang w:val="en-US" w:eastAsia="zh-CN"/>
        </w:rPr>
        <w:t>燃气管网总长达249.5公里，居民用户总数达6.54万户，工商业用户总数达162家。</w:t>
      </w:r>
    </w:p>
    <w:p>
      <w:pPr>
        <w:pageBreakBefore w:val="0"/>
        <w:kinsoku/>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六</w:t>
      </w:r>
      <w:r>
        <w:rPr>
          <w:rFonts w:hint="eastAsia" w:ascii="楷体_GB2312" w:hAnsi="楷体_GB2312" w:eastAsia="楷体_GB2312" w:cs="楷体_GB2312"/>
          <w:b/>
          <w:bCs/>
          <w:color w:val="auto"/>
          <w:sz w:val="32"/>
          <w:szCs w:val="32"/>
          <w:highlight w:val="none"/>
        </w:rPr>
        <w:t>）生态</w:t>
      </w:r>
      <w:r>
        <w:rPr>
          <w:rFonts w:hint="eastAsia" w:ascii="楷体_GB2312" w:hAnsi="楷体_GB2312" w:eastAsia="楷体_GB2312" w:cs="楷体_GB2312"/>
          <w:b/>
          <w:bCs/>
          <w:color w:val="auto"/>
          <w:sz w:val="32"/>
          <w:szCs w:val="32"/>
          <w:highlight w:val="none"/>
          <w:lang w:eastAsia="zh-CN"/>
        </w:rPr>
        <w:t>文明</w:t>
      </w:r>
      <w:r>
        <w:rPr>
          <w:rFonts w:hint="eastAsia" w:ascii="楷体_GB2312" w:hAnsi="楷体_GB2312" w:eastAsia="楷体_GB2312" w:cs="楷体_GB2312"/>
          <w:b/>
          <w:bCs/>
          <w:color w:val="auto"/>
          <w:sz w:val="32"/>
          <w:szCs w:val="32"/>
          <w:highlight w:val="none"/>
        </w:rPr>
        <w:t>建设再上新台阶</w:t>
      </w:r>
    </w:p>
    <w:p>
      <w:pPr>
        <w:pageBreakBefore w:val="0"/>
        <w:kinsoku/>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snapToGrid w:val="0"/>
          <w:color w:val="auto"/>
          <w:sz w:val="32"/>
          <w:szCs w:val="32"/>
          <w:highlight w:val="none"/>
          <w:shd w:val="clear" w:color="auto" w:fill="FFFFFF"/>
          <w:lang w:eastAsia="zh-CN"/>
        </w:rPr>
        <w:t>争创国家生态文明示范市建设迈出坚实步伐，生态环境六大专项整治和环保督察反馈问题整改工作持续推进，生态文明建设取得新成效。生态环境持续优良，环境基础设施逐步完善。儋州市空气质量及地表水环境质量总体优良，2020年1-11月，环境空气质量优良率为100%，地表水国控、省控断面优良率91.7%，城市集中式饮用水源地水质达标率100%；2020年春季和夏季近岸海域水质优良率100%。“十三五”以来投入30亿元开展56个环境工程项目，完成市污水处理一、二厂扩建与提标改造，建成滨海新区污水处理厂、市污水处理三厂和中和镇污水处理厂，累计完成</w:t>
      </w:r>
      <w:r>
        <w:rPr>
          <w:rFonts w:hint="eastAsia" w:ascii="仿宋_GB2312" w:hAnsi="仿宋_GB2312" w:eastAsia="仿宋_GB2312" w:cs="仿宋_GB2312"/>
          <w:snapToGrid w:val="0"/>
          <w:color w:val="auto"/>
          <w:sz w:val="32"/>
          <w:szCs w:val="32"/>
          <w:highlight w:val="none"/>
          <w:shd w:val="clear" w:color="auto" w:fill="FFFFFF"/>
          <w:lang w:val="en-US" w:eastAsia="zh-CN"/>
        </w:rPr>
        <w:t>79个行政村、260个自然村污水处理设施建设。</w:t>
      </w:r>
      <w:r>
        <w:rPr>
          <w:rFonts w:hint="eastAsia" w:ascii="仿宋_GB2312" w:hAnsi="仿宋_GB2312" w:eastAsia="仿宋_GB2312" w:cs="仿宋_GB2312"/>
          <w:snapToGrid w:val="0"/>
          <w:color w:val="auto"/>
          <w:sz w:val="32"/>
          <w:szCs w:val="32"/>
          <w:highlight w:val="none"/>
          <w:shd w:val="clear" w:color="auto" w:fill="FFFFFF"/>
          <w:lang w:eastAsia="zh-CN"/>
        </w:rPr>
        <w:t>完成海头等</w:t>
      </w:r>
      <w:r>
        <w:rPr>
          <w:rFonts w:hint="eastAsia" w:ascii="仿宋_GB2312" w:hAnsi="仿宋_GB2312" w:eastAsia="仿宋_GB2312" w:cs="仿宋_GB2312"/>
          <w:snapToGrid w:val="0"/>
          <w:color w:val="auto"/>
          <w:sz w:val="32"/>
          <w:szCs w:val="32"/>
          <w:highlight w:val="none"/>
          <w:shd w:val="clear" w:color="auto" w:fill="FFFFFF"/>
          <w:lang w:val="en-US" w:eastAsia="zh-CN"/>
        </w:rPr>
        <w:t>5个片区生活垃圾转运站，建设雅星等5个镇生活垃圾收集站。</w:t>
      </w:r>
      <w:r>
        <w:rPr>
          <w:rFonts w:hint="eastAsia" w:ascii="仿宋_GB2312" w:hAnsi="仿宋_GB2312" w:eastAsia="仿宋_GB2312" w:cs="仿宋_GB2312"/>
          <w:snapToGrid w:val="0"/>
          <w:color w:val="auto"/>
          <w:sz w:val="32"/>
          <w:szCs w:val="32"/>
          <w:highlight w:val="none"/>
          <w:shd w:val="clear" w:color="auto" w:fill="FFFFFF"/>
          <w:lang w:eastAsia="zh-CN"/>
        </w:rPr>
        <w:t>引进中国光大环境(集团)有限公司建设</w:t>
      </w:r>
      <w:r>
        <w:rPr>
          <w:rFonts w:hint="eastAsia" w:eastAsia="仿宋_GB2312"/>
          <w:color w:val="auto"/>
          <w:sz w:val="32"/>
          <w:szCs w:val="32"/>
          <w:highlight w:val="none"/>
          <w:lang w:eastAsia="zh-CN"/>
        </w:rPr>
        <w:t>固体</w:t>
      </w:r>
      <w:r>
        <w:rPr>
          <w:rFonts w:hint="eastAsia" w:ascii="仿宋_GB2312" w:hAnsi="仿宋_GB2312" w:eastAsia="仿宋_GB2312" w:cs="仿宋_GB2312"/>
          <w:snapToGrid w:val="0"/>
          <w:color w:val="auto"/>
          <w:sz w:val="32"/>
          <w:szCs w:val="32"/>
          <w:highlight w:val="none"/>
          <w:shd w:val="clear" w:color="auto" w:fill="FFFFFF"/>
          <w:lang w:eastAsia="zh-CN"/>
        </w:rPr>
        <w:t>废弃物资源化利用中心，建成运营国内一流的生活垃圾焚烧发电厂，城镇生活垃圾无害化处理率达</w:t>
      </w:r>
      <w:r>
        <w:rPr>
          <w:rFonts w:hint="eastAsia" w:ascii="仿宋_GB2312" w:hAnsi="仿宋_GB2312" w:eastAsia="仿宋_GB2312" w:cs="仿宋_GB2312"/>
          <w:snapToGrid w:val="0"/>
          <w:color w:val="auto"/>
          <w:sz w:val="32"/>
          <w:szCs w:val="32"/>
          <w:highlight w:val="none"/>
          <w:shd w:val="clear" w:color="auto" w:fill="FFFFFF"/>
          <w:lang w:val="en-US" w:eastAsia="zh-CN"/>
        </w:rPr>
        <w:t>100%</w:t>
      </w:r>
      <w:r>
        <w:rPr>
          <w:rFonts w:hint="eastAsia" w:ascii="仿宋_GB2312" w:hAnsi="仿宋_GB2312" w:eastAsia="仿宋_GB2312" w:cs="仿宋_GB2312"/>
          <w:snapToGrid w:val="0"/>
          <w:color w:val="auto"/>
          <w:sz w:val="32"/>
          <w:szCs w:val="32"/>
          <w:highlight w:val="none"/>
          <w:shd w:val="clear" w:color="auto" w:fill="FFFFFF"/>
          <w:lang w:eastAsia="zh-CN"/>
        </w:rPr>
        <w:t>。建成区绿地面积达</w:t>
      </w:r>
      <w:r>
        <w:rPr>
          <w:rFonts w:hint="eastAsia" w:ascii="仿宋_GB2312" w:hAnsi="仿宋_GB2312" w:eastAsia="仿宋_GB2312" w:cs="仿宋_GB2312"/>
          <w:snapToGrid w:val="0"/>
          <w:color w:val="auto"/>
          <w:sz w:val="32"/>
          <w:szCs w:val="32"/>
          <w:highlight w:val="none"/>
          <w:shd w:val="clear" w:color="auto" w:fill="FFFFFF"/>
          <w:lang w:val="en-US" w:eastAsia="zh-CN"/>
        </w:rPr>
        <w:t>1208.52公顷以上，</w:t>
      </w:r>
      <w:r>
        <w:rPr>
          <w:rFonts w:hint="eastAsia" w:ascii="仿宋_GB2312" w:hAnsi="仿宋_GB2312" w:eastAsia="仿宋_GB2312" w:cs="仿宋_GB2312"/>
          <w:snapToGrid w:val="0"/>
          <w:color w:val="auto"/>
          <w:sz w:val="32"/>
          <w:szCs w:val="32"/>
          <w:highlight w:val="none"/>
          <w:shd w:val="clear" w:color="auto" w:fill="FFFFFF"/>
          <w:lang w:eastAsia="zh-CN"/>
        </w:rPr>
        <w:t>全市森林覆盖率保持在</w:t>
      </w:r>
      <w:r>
        <w:rPr>
          <w:rFonts w:hint="eastAsia" w:ascii="仿宋_GB2312" w:hAnsi="仿宋_GB2312" w:eastAsia="仿宋_GB2312" w:cs="仿宋_GB2312"/>
          <w:snapToGrid w:val="0"/>
          <w:color w:val="auto"/>
          <w:sz w:val="32"/>
          <w:szCs w:val="32"/>
          <w:highlight w:val="none"/>
          <w:shd w:val="clear" w:color="auto" w:fill="FFFFFF"/>
          <w:lang w:val="en-US" w:eastAsia="zh-CN"/>
        </w:rPr>
        <w:t>54.8%以上。</w:t>
      </w:r>
      <w:r>
        <w:rPr>
          <w:rFonts w:hint="default" w:ascii="仿宋_GB2312" w:hAnsi="仿宋_GB2312" w:eastAsia="仿宋_GB2312" w:cs="仿宋_GB2312"/>
          <w:snapToGrid w:val="0"/>
          <w:color w:val="auto"/>
          <w:sz w:val="32"/>
          <w:szCs w:val="32"/>
          <w:highlight w:val="none"/>
          <w:shd w:val="clear" w:color="auto" w:fill="FFFFFF"/>
          <w:lang w:eastAsia="zh-CN"/>
        </w:rPr>
        <w:t>“一创两建”取得阶段性成绩</w:t>
      </w:r>
      <w:r>
        <w:rPr>
          <w:rFonts w:hint="eastAsia" w:ascii="仿宋_GB2312" w:hAnsi="仿宋_GB2312" w:eastAsia="仿宋_GB2312" w:cs="仿宋_GB2312"/>
          <w:snapToGrid w:val="0"/>
          <w:color w:val="auto"/>
          <w:sz w:val="32"/>
          <w:szCs w:val="32"/>
          <w:highlight w:val="none"/>
          <w:shd w:val="clear" w:color="auto" w:fill="FFFFFF"/>
          <w:lang w:val="en-US" w:eastAsia="zh-CN"/>
        </w:rPr>
        <w:t>，</w:t>
      </w:r>
      <w:r>
        <w:rPr>
          <w:rFonts w:hint="default" w:ascii="仿宋_GB2312" w:hAnsi="仿宋_GB2312" w:eastAsia="仿宋_GB2312" w:cs="仿宋_GB2312"/>
          <w:snapToGrid w:val="0"/>
          <w:color w:val="auto"/>
          <w:sz w:val="32"/>
          <w:szCs w:val="32"/>
          <w:highlight w:val="none"/>
          <w:shd w:val="clear" w:color="auto" w:fill="FFFFFF"/>
          <w:lang w:eastAsia="zh-CN"/>
        </w:rPr>
        <w:t>获得“国家园林城市”</w:t>
      </w:r>
      <w:r>
        <w:rPr>
          <w:rFonts w:hint="eastAsia" w:ascii="仿宋_GB2312" w:hAnsi="仿宋_GB2312" w:eastAsia="仿宋_GB2312" w:cs="仿宋_GB2312"/>
          <w:snapToGrid w:val="0"/>
          <w:color w:val="auto"/>
          <w:sz w:val="32"/>
          <w:szCs w:val="32"/>
          <w:highlight w:val="none"/>
          <w:shd w:val="clear" w:color="auto" w:fill="FFFFFF"/>
          <w:lang w:eastAsia="zh-CN"/>
        </w:rPr>
        <w:t>和“</w:t>
      </w:r>
      <w:r>
        <w:rPr>
          <w:rFonts w:hint="default" w:ascii="仿宋_GB2312" w:hAnsi="仿宋_GB2312" w:eastAsia="仿宋_GB2312" w:cs="仿宋_GB2312"/>
          <w:snapToGrid w:val="0"/>
          <w:color w:val="auto"/>
          <w:sz w:val="32"/>
          <w:szCs w:val="32"/>
          <w:highlight w:val="none"/>
          <w:shd w:val="clear" w:color="auto" w:fill="FFFFFF"/>
          <w:lang w:eastAsia="zh-CN"/>
        </w:rPr>
        <w:t>国家卫生城市</w:t>
      </w:r>
      <w:r>
        <w:rPr>
          <w:rFonts w:hint="eastAsia" w:ascii="仿宋_GB2312" w:hAnsi="仿宋_GB2312" w:eastAsia="仿宋_GB2312" w:cs="仿宋_GB2312"/>
          <w:snapToGrid w:val="0"/>
          <w:color w:val="auto"/>
          <w:sz w:val="32"/>
          <w:szCs w:val="32"/>
          <w:highlight w:val="none"/>
          <w:shd w:val="clear" w:color="auto" w:fill="FFFFFF"/>
          <w:lang w:eastAsia="zh-CN"/>
        </w:rPr>
        <w:t>”</w:t>
      </w:r>
      <w:r>
        <w:rPr>
          <w:rFonts w:hint="default" w:ascii="仿宋_GB2312" w:hAnsi="仿宋_GB2312" w:eastAsia="仿宋_GB2312" w:cs="仿宋_GB2312"/>
          <w:snapToGrid w:val="0"/>
          <w:color w:val="auto"/>
          <w:sz w:val="32"/>
          <w:szCs w:val="32"/>
          <w:highlight w:val="none"/>
          <w:shd w:val="clear" w:color="auto" w:fill="FFFFFF"/>
          <w:lang w:eastAsia="zh-CN"/>
        </w:rPr>
        <w:t>称号。</w:t>
      </w:r>
    </w:p>
    <w:p>
      <w:pPr>
        <w:pageBreakBefore w:val="0"/>
        <w:kinsoku/>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七</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社会事业和治理取得长足进步</w:t>
      </w:r>
    </w:p>
    <w:p>
      <w:pPr>
        <w:pageBreakBefore w:val="0"/>
        <w:widowControl/>
        <w:kinsoku/>
        <w:wordWrap w:val="0"/>
        <w:overflowPunct/>
        <w:topLinePunct w:val="0"/>
        <w:bidi w:val="0"/>
        <w:snapToGrid/>
        <w:spacing w:line="560" w:lineRule="exact"/>
        <w:ind w:firstLine="640" w:firstLineChars="200"/>
        <w:textAlignment w:val="auto"/>
        <w:rPr>
          <w:rFonts w:hint="default" w:eastAsia="仿宋_GB2312"/>
          <w:color w:val="auto"/>
          <w:kern w:val="0"/>
          <w:sz w:val="32"/>
          <w:szCs w:val="32"/>
          <w:highlight w:val="none"/>
          <w:shd w:val="clear" w:color="auto" w:fill="FFFFFF"/>
          <w:lang w:val="en-US" w:eastAsia="zh-CN"/>
        </w:rPr>
      </w:pPr>
      <w:r>
        <w:rPr>
          <w:rFonts w:hint="eastAsia" w:ascii="仿宋_GB2312" w:hAnsi="仿宋_GB2312" w:eastAsia="仿宋_GB2312" w:cs="仿宋_GB2312"/>
          <w:snapToGrid w:val="0"/>
          <w:color w:val="auto"/>
          <w:sz w:val="32"/>
          <w:szCs w:val="32"/>
          <w:highlight w:val="none"/>
          <w:shd w:val="clear" w:color="auto" w:fill="FFFFFF"/>
        </w:rPr>
        <w:t>脱贫攻坚成效显著，6.96万建档立卡贫困人口全部脱贫退出，36个贫困村全部脱贫出列，全市贫困发生率从2015年底的10.09%下降到零。</w:t>
      </w:r>
      <w:r>
        <w:rPr>
          <w:rFonts w:hint="eastAsia" w:ascii="仿宋_GB2312" w:hAnsi="仿宋_GB2312" w:eastAsia="仿宋_GB2312" w:cs="仿宋_GB2312"/>
          <w:color w:val="auto"/>
          <w:sz w:val="32"/>
          <w:szCs w:val="32"/>
          <w:highlight w:val="none"/>
          <w:lang w:val="en-US" w:eastAsia="zh-CN"/>
        </w:rPr>
        <w:t>成功应对新冠肺炎疫情冲击，经济复苏指数排名全国第一。</w:t>
      </w:r>
      <w:r>
        <w:rPr>
          <w:rFonts w:hint="eastAsia" w:eastAsia="仿宋_GB2312"/>
          <w:color w:val="auto"/>
          <w:sz w:val="32"/>
          <w:szCs w:val="32"/>
          <w:highlight w:val="none"/>
          <w:lang w:eastAsia="zh-CN"/>
        </w:rPr>
        <w:t>顺利通过全国教育发展基本均衡市评估认定，公办幼儿园就读幼儿比例和普惠性幼儿园覆盖率“两个比例”达标。开工建设</w:t>
      </w:r>
      <w:r>
        <w:rPr>
          <w:rFonts w:hint="eastAsia" w:eastAsia="仿宋_GB2312"/>
          <w:color w:val="auto"/>
          <w:sz w:val="32"/>
          <w:szCs w:val="32"/>
          <w:highlight w:val="none"/>
          <w:lang w:val="en-US" w:eastAsia="zh-CN"/>
        </w:rPr>
        <w:t>32所公立幼儿园，投入使用22所。</w:t>
      </w:r>
      <w:r>
        <w:rPr>
          <w:rFonts w:hint="eastAsia" w:ascii="仿宋_GB2312" w:hAnsi="仿宋_GB2312" w:eastAsia="仿宋_GB2312" w:cs="仿宋_GB2312"/>
          <w:b w:val="0"/>
          <w:bCs w:val="0"/>
          <w:color w:val="auto"/>
          <w:sz w:val="32"/>
          <w:szCs w:val="32"/>
          <w:highlight w:val="none"/>
          <w:lang w:val="en-US" w:eastAsia="zh-CN"/>
        </w:rPr>
        <w:t>推进“一市（县）两校一园”教育工程。</w:t>
      </w:r>
      <w:r>
        <w:rPr>
          <w:rFonts w:hint="eastAsia" w:ascii="仿宋_GB2312" w:hAnsi="仿宋_GB2312" w:eastAsia="仿宋_GB2312" w:cs="仿宋_GB2312"/>
          <w:color w:val="auto"/>
          <w:sz w:val="32"/>
          <w:szCs w:val="32"/>
          <w:highlight w:val="none"/>
          <w:lang w:val="en-US" w:eastAsia="zh-CN"/>
        </w:rPr>
        <w:t>新建儋耳实验学校、黄冈实验学校等3所，改扩建儋州市第二中学、儋州市第五中学等 176 所，新增学位12176个。医疗服务能力不断提升。建成西部中心医院，实施基层卫生医疗机构标准化工程，新建市妇幼医院等4所市级医院。</w:t>
      </w:r>
      <w:r>
        <w:rPr>
          <w:rFonts w:eastAsia="仿宋_GB2312"/>
          <w:color w:val="auto"/>
          <w:sz w:val="32"/>
          <w:szCs w:val="32"/>
          <w:highlight w:val="none"/>
        </w:rPr>
        <w:t>市人民医院</w:t>
      </w:r>
      <w:r>
        <w:rPr>
          <w:rFonts w:hint="eastAsia" w:eastAsia="仿宋_GB2312"/>
          <w:color w:val="auto"/>
          <w:sz w:val="32"/>
          <w:szCs w:val="32"/>
          <w:highlight w:val="none"/>
          <w:lang w:eastAsia="zh-CN"/>
        </w:rPr>
        <w:t>、海南西部中心医院创建三级甲等综合医院</w:t>
      </w:r>
      <w:r>
        <w:rPr>
          <w:rFonts w:eastAsia="仿宋_GB2312"/>
          <w:color w:val="auto"/>
          <w:sz w:val="32"/>
          <w:szCs w:val="32"/>
          <w:highlight w:val="none"/>
        </w:rPr>
        <w:t>。</w:t>
      </w:r>
      <w:r>
        <w:rPr>
          <w:rFonts w:eastAsia="仿宋_GB2312"/>
          <w:snapToGrid w:val="0"/>
          <w:color w:val="auto"/>
          <w:sz w:val="32"/>
          <w:szCs w:val="32"/>
          <w:highlight w:val="none"/>
        </w:rPr>
        <w:t>养老、医疗、失业、工伤、生育保险</w:t>
      </w:r>
      <w:r>
        <w:rPr>
          <w:rFonts w:hint="eastAsia" w:eastAsia="仿宋_GB2312"/>
          <w:snapToGrid w:val="0"/>
          <w:color w:val="auto"/>
          <w:sz w:val="32"/>
          <w:szCs w:val="32"/>
          <w:highlight w:val="none"/>
          <w:lang w:eastAsia="zh-CN"/>
        </w:rPr>
        <w:t>参保人数持续增加，兜底保障能力不断提升</w:t>
      </w:r>
      <w:r>
        <w:rPr>
          <w:rFonts w:eastAsia="仿宋_GB2312"/>
          <w:snapToGrid w:val="0"/>
          <w:color w:val="auto"/>
          <w:sz w:val="32"/>
          <w:szCs w:val="32"/>
          <w:highlight w:val="none"/>
        </w:rPr>
        <w:t>。全市</w:t>
      </w:r>
      <w:r>
        <w:rPr>
          <w:rFonts w:eastAsia="仿宋_GB2312"/>
          <w:color w:val="auto"/>
          <w:kern w:val="0"/>
          <w:sz w:val="32"/>
          <w:szCs w:val="32"/>
          <w:highlight w:val="none"/>
          <w:shd w:val="clear" w:color="auto" w:fill="FFFFFF"/>
        </w:rPr>
        <w:t>新型农村合作医疗参合率达</w:t>
      </w:r>
      <w:r>
        <w:rPr>
          <w:rFonts w:hint="eastAsia" w:ascii="仿宋_GB2312" w:hAnsi="仿宋_GB2312" w:eastAsia="仿宋_GB2312" w:cs="仿宋_GB2312"/>
          <w:color w:val="auto"/>
          <w:kern w:val="0"/>
          <w:sz w:val="32"/>
          <w:szCs w:val="32"/>
          <w:highlight w:val="none"/>
          <w:shd w:val="clear" w:color="auto" w:fill="FFFFFF"/>
        </w:rPr>
        <w:t>到100%</w:t>
      </w:r>
      <w:r>
        <w:rPr>
          <w:rFonts w:hint="eastAsia" w:ascii="仿宋_GB2312" w:hAnsi="仿宋_GB2312" w:eastAsia="仿宋_GB2312" w:cs="仿宋_GB2312"/>
          <w:color w:val="auto"/>
          <w:sz w:val="32"/>
          <w:szCs w:val="32"/>
          <w:highlight w:val="none"/>
        </w:rPr>
        <w:t>，</w:t>
      </w:r>
      <w:r>
        <w:rPr>
          <w:rFonts w:eastAsia="仿宋_GB2312"/>
          <w:color w:val="auto"/>
          <w:sz w:val="32"/>
          <w:szCs w:val="32"/>
          <w:highlight w:val="none"/>
        </w:rPr>
        <w:t>城乡居民大病保险制度实现全覆盖</w:t>
      </w:r>
      <w:r>
        <w:rPr>
          <w:rFonts w:eastAsia="仿宋_GB2312"/>
          <w:b/>
          <w:color w:val="auto"/>
          <w:sz w:val="32"/>
          <w:szCs w:val="32"/>
          <w:highlight w:val="none"/>
        </w:rPr>
        <w:t>。</w:t>
      </w:r>
      <w:r>
        <w:rPr>
          <w:rFonts w:eastAsia="仿宋_GB2312"/>
          <w:color w:val="auto"/>
          <w:sz w:val="32"/>
          <w:szCs w:val="32"/>
          <w:highlight w:val="none"/>
          <w:shd w:val="clear" w:color="auto" w:fill="FFFFFF"/>
        </w:rPr>
        <w:t>城镇新增就业人数</w:t>
      </w:r>
      <w:r>
        <w:rPr>
          <w:rFonts w:hint="eastAsia" w:ascii="仿宋_GB2312" w:hAnsi="仿宋_GB2312" w:eastAsia="仿宋_GB2312" w:cs="仿宋_GB2312"/>
          <w:color w:val="auto"/>
          <w:sz w:val="32"/>
          <w:szCs w:val="32"/>
          <w:highlight w:val="none"/>
          <w:shd w:val="clear" w:color="auto" w:fill="FFFFFF"/>
        </w:rPr>
        <w:t>4.37万人，</w:t>
      </w:r>
      <w:r>
        <w:rPr>
          <w:rFonts w:hint="eastAsia" w:ascii="仿宋_GB2312" w:hAnsi="仿宋_GB2312" w:eastAsia="仿宋_GB2312" w:cs="仿宋_GB2312"/>
          <w:color w:val="auto"/>
          <w:kern w:val="0"/>
          <w:sz w:val="32"/>
          <w:szCs w:val="32"/>
          <w:highlight w:val="none"/>
          <w:shd w:val="clear" w:color="auto" w:fill="FFFFFF"/>
        </w:rPr>
        <w:t>城镇登记失业率控制在3%以</w:t>
      </w:r>
      <w:r>
        <w:rPr>
          <w:rFonts w:eastAsia="仿宋_GB2312"/>
          <w:color w:val="auto"/>
          <w:kern w:val="0"/>
          <w:sz w:val="32"/>
          <w:szCs w:val="32"/>
          <w:highlight w:val="none"/>
          <w:shd w:val="clear" w:color="auto" w:fill="FFFFFF"/>
        </w:rPr>
        <w:t>内。</w:t>
      </w:r>
      <w:r>
        <w:rPr>
          <w:rFonts w:hint="eastAsia" w:eastAsia="仿宋_GB2312"/>
          <w:color w:val="auto"/>
          <w:kern w:val="0"/>
          <w:sz w:val="32"/>
          <w:szCs w:val="32"/>
          <w:highlight w:val="none"/>
          <w:shd w:val="clear" w:color="auto" w:fill="FFFFFF"/>
          <w:lang w:eastAsia="zh-CN"/>
        </w:rPr>
        <w:t>多层次住房供应保障体系初步建立，建成怡心花园、佳华小区等保障性住房。</w:t>
      </w:r>
      <w:r>
        <w:rPr>
          <w:rFonts w:hint="eastAsia" w:eastAsia="仿宋_GB2312"/>
          <w:color w:val="auto"/>
          <w:kern w:val="0"/>
          <w:sz w:val="32"/>
          <w:szCs w:val="32"/>
          <w:highlight w:val="none"/>
          <w:shd w:val="clear" w:color="auto" w:fill="FFFFFF"/>
        </w:rPr>
        <w:t>物价总体保持稳定。</w:t>
      </w:r>
      <w:r>
        <w:rPr>
          <w:rFonts w:hint="eastAsia" w:eastAsia="仿宋_GB2312"/>
          <w:color w:val="auto"/>
          <w:kern w:val="0"/>
          <w:sz w:val="32"/>
          <w:szCs w:val="32"/>
          <w:highlight w:val="none"/>
          <w:shd w:val="clear" w:color="auto" w:fill="FFFFFF"/>
          <w:lang w:eastAsia="zh-CN"/>
        </w:rPr>
        <w:t>民主法治、公共安全、基层治理取得重要进展。</w:t>
      </w:r>
      <w:r>
        <w:rPr>
          <w:rFonts w:hint="eastAsia" w:ascii="仿宋_GB2312" w:hAnsi="仿宋_GB2312" w:eastAsia="仿宋_GB2312" w:cs="仿宋_GB2312"/>
          <w:snapToGrid w:val="0"/>
          <w:color w:val="auto"/>
          <w:sz w:val="32"/>
          <w:szCs w:val="32"/>
          <w:highlight w:val="none"/>
          <w:shd w:val="clear" w:color="auto" w:fill="FFFFFF"/>
          <w:lang w:eastAsia="zh-CN"/>
        </w:rPr>
        <w:t>获得“全国双拥模范城”称号。</w:t>
      </w:r>
    </w:p>
    <w:p>
      <w:pPr>
        <w:pStyle w:val="4"/>
        <w:pageBreakBefore w:val="0"/>
        <w:kinsoku/>
        <w:overflowPunct/>
        <w:topLinePunct w:val="0"/>
        <w:bidi w:val="0"/>
        <w:snapToGrid/>
        <w:spacing w:line="560" w:lineRule="exact"/>
        <w:jc w:val="center"/>
        <w:textAlignment w:val="auto"/>
        <w:rPr>
          <w:rFonts w:ascii="Times New Roman" w:hAnsi="Times New Roman" w:eastAsia="楷体_GB2312"/>
          <w:bCs w:val="0"/>
          <w:color w:val="auto"/>
          <w:highlight w:val="none"/>
        </w:rPr>
      </w:pPr>
      <w:bookmarkStart w:id="59" w:name="_Toc2760_WPSOffice_Level2"/>
      <w:bookmarkStart w:id="60" w:name="_Toc9191_WPSOffice_Level2"/>
      <w:bookmarkStart w:id="61" w:name="_Toc32676_WPSOffice_Level2"/>
      <w:r>
        <w:rPr>
          <w:rFonts w:hint="eastAsia" w:ascii="楷体_GB2312" w:hAnsi="楷体_GB2312" w:eastAsia="楷体_GB2312" w:cs="楷体_GB2312"/>
          <w:color w:val="auto"/>
          <w:highlight w:val="none"/>
        </w:rPr>
        <w:t>第二节 “十四五”时期的发展环境</w:t>
      </w:r>
      <w:bookmarkEnd w:id="49"/>
      <w:bookmarkEnd w:id="59"/>
      <w:bookmarkEnd w:id="60"/>
      <w:bookmarkEnd w:id="61"/>
    </w:p>
    <w:p>
      <w:pPr>
        <w:pStyle w:val="2"/>
        <w:pageBreakBefore w:val="0"/>
        <w:kinsoku/>
        <w:overflowPunct/>
        <w:topLinePunct w:val="0"/>
        <w:bidi w:val="0"/>
        <w:snapToGrid/>
        <w:spacing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“十四五”是海南发展史上具有里程碑意义的时期，也是儋州主动参与海南自由贸易港建设、实现跨越式腾飞发展的关键时期，机遇和挑战共存共生、前所未有。</w:t>
      </w:r>
    </w:p>
    <w:p>
      <w:pPr>
        <w:pageBreakBefore w:val="0"/>
        <w:kinsoku/>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（一）发展机遇</w:t>
      </w:r>
    </w:p>
    <w:p>
      <w:pPr>
        <w:pStyle w:val="2"/>
        <w:keepNext w:val="0"/>
        <w:keepLines w:val="0"/>
        <w:pageBreakBefore w:val="0"/>
        <w:widowControl w:val="0"/>
        <w:kinsoku/>
        <w:wordWrap/>
        <w:overflowPunct/>
        <w:topLinePunct w:val="0"/>
        <w:bidi w:val="0"/>
        <w:snapToGrid/>
        <w:spacing w:line="58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我国进入高质量发展阶段，</w:t>
      </w:r>
      <w:r>
        <w:rPr>
          <w:rFonts w:hint="eastAsia" w:ascii="仿宋_GB2312" w:hAnsi="仿宋_GB2312" w:eastAsia="仿宋_GB2312" w:cs="仿宋_GB2312"/>
          <w:color w:val="auto"/>
          <w:sz w:val="32"/>
          <w:szCs w:val="32"/>
          <w:highlight w:val="none"/>
        </w:rPr>
        <w:t>正在形成以国内大循环为主体、国内国际双循环相互促进的新发展格局</w:t>
      </w:r>
      <w:r>
        <w:rPr>
          <w:rFonts w:hint="eastAsia" w:ascii="仿宋_GB2312" w:hAnsi="仿宋_GB2312" w:eastAsia="仿宋_GB2312" w:cs="仿宋_GB2312"/>
          <w:color w:val="auto"/>
          <w:sz w:val="32"/>
          <w:szCs w:val="32"/>
          <w:highlight w:val="none"/>
          <w:lang w:eastAsia="zh-CN"/>
        </w:rPr>
        <w:t>，中央赋予海南自由贸易港建设的伟大使命，全面深化改革开放“</w:t>
      </w:r>
      <w:r>
        <w:rPr>
          <w:rFonts w:hint="eastAsia" w:ascii="仿宋_GB2312" w:hAnsi="仿宋_GB2312" w:eastAsia="仿宋_GB2312" w:cs="仿宋_GB2312"/>
          <w:color w:val="auto"/>
          <w:sz w:val="32"/>
          <w:szCs w:val="32"/>
          <w:highlight w:val="none"/>
          <w:lang w:val="en-US" w:eastAsia="zh-CN"/>
        </w:rPr>
        <w:t>1+N”政策体系逐步落实。</w:t>
      </w:r>
      <w:r>
        <w:rPr>
          <w:rFonts w:hint="eastAsia" w:ascii="仿宋_GB2312" w:hAnsi="仿宋_GB2312" w:eastAsia="仿宋_GB2312" w:cs="仿宋_GB2312"/>
          <w:color w:val="auto"/>
          <w:sz w:val="32"/>
          <w:szCs w:val="32"/>
          <w:highlight w:val="none"/>
          <w:lang w:eastAsia="zh-CN"/>
        </w:rPr>
        <w:t>省委“十四五”规划建议中明确</w:t>
      </w:r>
      <w:r>
        <w:rPr>
          <w:rFonts w:hint="eastAsia" w:ascii="仿宋_GB2312" w:hAnsi="仿宋_GB2312" w:eastAsia="仿宋_GB2312" w:cs="仿宋_GB2312"/>
          <w:b/>
          <w:bCs/>
          <w:color w:val="auto"/>
          <w:sz w:val="32"/>
          <w:szCs w:val="32"/>
          <w:highlight w:val="none"/>
          <w:lang w:eastAsia="zh-CN"/>
        </w:rPr>
        <w:t>“支持儋州建设海南西部中心城市，加快儋州</w:t>
      </w:r>
      <w:r>
        <w:rPr>
          <w:rFonts w:hint="eastAsia" w:ascii="仿宋_GB2312" w:hAnsi="仿宋_GB2312" w:eastAsia="仿宋_GB2312" w:cs="仿宋_GB2312"/>
          <w:b/>
          <w:bCs/>
          <w:color w:val="auto"/>
          <w:sz w:val="32"/>
          <w:szCs w:val="32"/>
          <w:highlight w:val="none"/>
          <w:lang w:val="en-US" w:eastAsia="zh-CN"/>
        </w:rPr>
        <w:t>-洋浦‘环新英湾’港产城一体化发展，打造</w:t>
      </w:r>
      <w:r>
        <w:rPr>
          <w:rFonts w:hint="eastAsia" w:ascii="仿宋_GB2312" w:hAnsi="仿宋_GB2312" w:eastAsia="仿宋_GB2312" w:cs="仿宋_GB2312"/>
          <w:b/>
          <w:bCs/>
          <w:color w:val="auto"/>
          <w:sz w:val="32"/>
          <w:szCs w:val="32"/>
          <w:highlight w:val="none"/>
          <w:lang w:eastAsia="zh-CN"/>
        </w:rPr>
        <w:t>‘儋州</w:t>
      </w:r>
      <w:r>
        <w:rPr>
          <w:rFonts w:hint="eastAsia" w:ascii="仿宋_GB2312" w:hAnsi="仿宋_GB2312" w:eastAsia="仿宋_GB2312" w:cs="仿宋_GB2312"/>
          <w:b/>
          <w:bCs/>
          <w:color w:val="auto"/>
          <w:sz w:val="32"/>
          <w:szCs w:val="32"/>
          <w:highlight w:val="none"/>
          <w:lang w:val="en-US" w:eastAsia="zh-CN"/>
        </w:rPr>
        <w:t>-洋浦-临高-昌江-东方’临港产业发展新优势”</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十三五”期间，我市在城市建设、农村改革、产业发展、基础设施、社会治理等方面打下了坚实的基础，为儋州在“十四五”期间扎实推进经济社会高质高效发展，高品质建设西部中心城市，打造海南自贸港重要增长极提供了千载难逢的机遇</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bidi w:val="0"/>
        <w:snapToGrid/>
        <w:spacing w:line="58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（二）面临挑战</w:t>
      </w:r>
    </w:p>
    <w:p>
      <w:pPr>
        <w:pStyle w:val="2"/>
        <w:keepNext w:val="0"/>
        <w:keepLines w:val="0"/>
        <w:pageBreakBefore w:val="0"/>
        <w:widowControl w:val="0"/>
        <w:kinsoku/>
        <w:wordWrap/>
        <w:overflowPunct/>
        <w:topLinePunct w:val="0"/>
        <w:bidi w:val="0"/>
        <w:snapToGrid/>
        <w:spacing w:line="58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当前和今后一段时期，我们还面临诸多挑战和短板。在</w:t>
      </w:r>
      <w:r>
        <w:rPr>
          <w:rFonts w:hint="eastAsia" w:ascii="仿宋_GB2312" w:hAnsi="仿宋_GB2312" w:eastAsia="仿宋_GB2312" w:cs="仿宋_GB2312"/>
          <w:color w:val="auto"/>
          <w:sz w:val="32"/>
          <w:szCs w:val="32"/>
          <w:highlight w:val="none"/>
          <w:lang w:val="en-US" w:eastAsia="zh-CN"/>
        </w:rPr>
        <w:t>干部队伍建设</w:t>
      </w:r>
      <w:r>
        <w:rPr>
          <w:rFonts w:hint="eastAsia" w:ascii="仿宋_GB2312" w:hAnsi="仿宋_GB2312" w:eastAsia="仿宋_GB2312" w:cs="仿宋_GB2312"/>
          <w:color w:val="auto"/>
          <w:sz w:val="32"/>
          <w:szCs w:val="32"/>
          <w:highlight w:val="none"/>
          <w:lang w:eastAsia="zh-CN"/>
        </w:rPr>
        <w:t>方面，存在思想不够解放、创新能力不足、成事本领不强、执行效率不高、工作作风不实的问题；在经济发展方面，存在经济总量不大、主导产业不突出、基础设施不完善、产业结构不合理、科技创新能力不强等短板；在社会治理方面，存在公共服务欠账多、民生短板突出、营商环境欠优、人才基础较薄弱、信息化水平不高等问题。需要全市上下切实增强机遇意识和风险意识，立足省委赋予儋州的职责使命，找准发展定位，善于在危机中育先机、于变局中开新局，全面完成“十四五”时期的各项目标任务。</w:t>
      </w:r>
    </w:p>
    <w:p>
      <w:pPr>
        <w:pStyle w:val="4"/>
        <w:pageBreakBefore w:val="0"/>
        <w:kinsoku/>
        <w:overflowPunct/>
        <w:topLinePunct w:val="0"/>
        <w:bidi w:val="0"/>
        <w:snapToGrid/>
        <w:spacing w:line="560" w:lineRule="exact"/>
        <w:jc w:val="center"/>
        <w:textAlignment w:val="auto"/>
        <w:rPr>
          <w:rFonts w:hint="eastAsia" w:ascii="楷体_GB2312" w:hAnsi="楷体_GB2312" w:eastAsia="楷体_GB2312" w:cs="楷体_GB2312"/>
          <w:color w:val="auto"/>
          <w:highlight w:val="none"/>
        </w:rPr>
      </w:pPr>
      <w:bookmarkStart w:id="62" w:name="_Toc57914182"/>
      <w:bookmarkStart w:id="63" w:name="_Toc20561_WPSOffice_Level2"/>
      <w:bookmarkStart w:id="64" w:name="_Toc28715_WPSOffice_Level2"/>
      <w:bookmarkStart w:id="65" w:name="_Toc23017_WPSOffice_Level2"/>
      <w:r>
        <w:rPr>
          <w:rFonts w:hint="eastAsia" w:ascii="楷体_GB2312" w:hAnsi="楷体_GB2312" w:eastAsia="楷体_GB2312" w:cs="楷体_GB2312"/>
          <w:color w:val="auto"/>
          <w:highlight w:val="none"/>
        </w:rPr>
        <w:t>第三节 “十四五”发展的总体要求</w:t>
      </w:r>
      <w:bookmarkEnd w:id="62"/>
      <w:bookmarkEnd w:id="63"/>
      <w:bookmarkEnd w:id="64"/>
      <w:bookmarkEnd w:id="65"/>
    </w:p>
    <w:p>
      <w:pPr>
        <w:pStyle w:val="2"/>
        <w:pageBreakBefore w:val="0"/>
        <w:kinsoku/>
        <w:overflowPunct/>
        <w:topLinePunct w:val="0"/>
        <w:bidi w:val="0"/>
        <w:snapToGrid/>
        <w:spacing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以建设自贸港重要增长极为目标，高起点谋划，大视野布局，努力在自贸港建设中做先锋、挑重担、创佳绩。</w:t>
      </w:r>
    </w:p>
    <w:p>
      <w:pPr>
        <w:pageBreakBefore w:val="0"/>
        <w:kinsoku/>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（一）指导思想</w:t>
      </w:r>
    </w:p>
    <w:p>
      <w:pPr>
        <w:pStyle w:val="2"/>
        <w:pageBreakBefore w:val="0"/>
        <w:kinsoku/>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统筹推进“五位一体”总体布局，协调推进“四个全面”战略布局，坚持稳中求进工作总基调，坚定不移贯彻新发展理念，坚持“全省一盘棋、全岛同城化”理念，紧紧围绕省委赋予儋州在海南自由贸易港建设中的重大职责使命，以推动高质量发展为主题，以深化供给侧结构性改革为主线，积极融入以国内大循环为主体、国内国际双循环相互促进的新发展格局，大力实施联动发展，加快发展现代产业体系，推动经济体系优化升级，打造一流生态环境和营商环境，推动社会治理体系和治理能力现代化，高质量建成海南西部中心城市，为加快推进海南自由贸易港建设作出儋州贡献。</w:t>
      </w:r>
    </w:p>
    <w:p>
      <w:pPr>
        <w:pageBreakBefore w:val="0"/>
        <w:kinsoku/>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（二）遵循原则</w:t>
      </w:r>
    </w:p>
    <w:p>
      <w:pPr>
        <w:pStyle w:val="2"/>
        <w:pageBreakBefore w:val="0"/>
        <w:kinsoku/>
        <w:overflowPunct/>
        <w:topLinePunct w:val="0"/>
        <w:bidi w:val="0"/>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——坚持党的全面领导。</w:t>
      </w:r>
      <w:r>
        <w:rPr>
          <w:rFonts w:hint="eastAsia" w:ascii="仿宋_GB2312" w:hAnsi="仿宋_GB2312" w:eastAsia="仿宋_GB2312" w:cs="仿宋_GB2312"/>
          <w:color w:val="auto"/>
          <w:sz w:val="32"/>
          <w:szCs w:val="32"/>
          <w:highlight w:val="none"/>
          <w:lang w:eastAsia="zh-CN"/>
        </w:rPr>
        <w:t>坚持和完善党领导经济社会发展的体制机制，充分发挥上下一盘棋和集中力量办大事的制度优势，不断提高贯彻新发展理念、构建新发展格局能力和水平，为实现高质量发展提供根本保证。</w:t>
      </w:r>
    </w:p>
    <w:p>
      <w:pPr>
        <w:pStyle w:val="2"/>
        <w:pageBreakBefore w:val="0"/>
        <w:kinsoku/>
        <w:overflowPunct/>
        <w:topLinePunct w:val="0"/>
        <w:bidi w:val="0"/>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——坚持以人民为中心。</w:t>
      </w:r>
      <w:r>
        <w:rPr>
          <w:rFonts w:hint="eastAsia" w:ascii="仿宋_GB2312" w:hAnsi="仿宋_GB2312" w:eastAsia="仿宋_GB2312" w:cs="仿宋_GB2312"/>
          <w:color w:val="auto"/>
          <w:sz w:val="32"/>
          <w:szCs w:val="32"/>
          <w:highlight w:val="none"/>
          <w:lang w:eastAsia="zh-CN"/>
        </w:rPr>
        <w:t>坚持人民主体地位，推动全市人民共同富裕，在自由贸易港建设中始终做到发展为了人民、发展依靠人民、发展成果由人民共享，充分激发人民积极性、主动性、创造性，不断实现人民对美好生活的向往。</w:t>
      </w:r>
    </w:p>
    <w:p>
      <w:pPr>
        <w:pStyle w:val="2"/>
        <w:pageBreakBefore w:val="0"/>
        <w:kinsoku/>
        <w:overflowPunct/>
        <w:topLinePunct w:val="0"/>
        <w:bidi w:val="0"/>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——坚持新发展理念。</w:t>
      </w:r>
      <w:r>
        <w:rPr>
          <w:rFonts w:hint="eastAsia" w:ascii="仿宋_GB2312" w:hAnsi="仿宋_GB2312" w:eastAsia="仿宋_GB2312" w:cs="仿宋_GB2312"/>
          <w:color w:val="auto"/>
          <w:sz w:val="32"/>
          <w:szCs w:val="32"/>
          <w:highlight w:val="none"/>
          <w:lang w:eastAsia="zh-CN"/>
        </w:rPr>
        <w:t>把新发展理念贯穿海南西部中心城市建设全过程和各领域，坚持创新、协调、绿色、开放、共享发展，实现更高质量、更有效率、更加公平、更可持续、更为安全的发展。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560" w:lineRule="exact"/>
        <w:ind w:left="0" w:right="0" w:firstLine="643" w:firstLineChars="200"/>
        <w:jc w:val="left"/>
        <w:textAlignment w:val="auto"/>
        <w:rPr>
          <w:rFonts w:hint="eastAsia" w:ascii="宋体" w:hAnsi="宋体" w:eastAsia="宋体" w:cs="宋体"/>
          <w:i w:val="0"/>
          <w:color w:val="auto"/>
          <w:sz w:val="24"/>
          <w:szCs w:val="24"/>
          <w:highlight w:val="none"/>
          <w:lang w:eastAsia="zh-CN"/>
        </w:rPr>
      </w:pPr>
      <w:r>
        <w:rPr>
          <w:rFonts w:hint="eastAsia" w:ascii="仿宋_GB2312" w:hAnsi="仿宋_GB2312" w:eastAsia="仿宋_GB2312" w:cs="仿宋_GB2312"/>
          <w:b/>
          <w:bCs/>
          <w:color w:val="auto"/>
          <w:sz w:val="32"/>
          <w:szCs w:val="32"/>
          <w:highlight w:val="none"/>
          <w:lang w:val="en-US" w:eastAsia="zh-CN"/>
        </w:rPr>
        <w:t>——坚持解放思想。</w:t>
      </w:r>
      <w:r>
        <w:rPr>
          <w:rFonts w:hint="eastAsia" w:ascii="仿宋_GB2312" w:hAnsi="仿宋_GB2312" w:eastAsia="仿宋_GB2312" w:cs="仿宋_GB2312"/>
          <w:color w:val="auto"/>
          <w:kern w:val="0"/>
          <w:sz w:val="32"/>
          <w:szCs w:val="32"/>
          <w:highlight w:val="none"/>
          <w:lang w:val="en-US" w:eastAsia="zh-CN" w:bidi="ar-SA"/>
        </w:rPr>
        <w:t>树立解放思想、敢闯敢试、大胆创新的理念，发扬特区精神和椰树精神，着重解决高质量发展和自贸港建设中遇到的实际问题，加强统筹谋划，推动创造型、引领型改革，让儋州在自贸港建设中走在前列。</w:t>
      </w:r>
    </w:p>
    <w:p>
      <w:pPr>
        <w:pStyle w:val="2"/>
        <w:pageBreakBefore w:val="0"/>
        <w:kinsoku/>
        <w:overflowPunct/>
        <w:topLinePunct w:val="0"/>
        <w:bidi w:val="0"/>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——坚持深化改革开放。</w:t>
      </w:r>
      <w:r>
        <w:rPr>
          <w:rFonts w:hint="eastAsia" w:ascii="仿宋_GB2312" w:hAnsi="仿宋_GB2312" w:eastAsia="仿宋_GB2312" w:cs="仿宋_GB2312"/>
          <w:color w:val="auto"/>
          <w:sz w:val="32"/>
          <w:szCs w:val="32"/>
          <w:highlight w:val="none"/>
          <w:lang w:eastAsia="zh-CN"/>
        </w:rPr>
        <w:t>坚持推进深化改革开放和制度集成创新，充分发挥市场在资源配置中的决定性作用，落实好“制度创新+优惠政策+法治规则”的重要安排，以高水平开放带动改革全面深化。</w:t>
      </w:r>
    </w:p>
    <w:p>
      <w:pPr>
        <w:pStyle w:val="2"/>
        <w:pageBreakBefore w:val="0"/>
        <w:kinsoku/>
        <w:overflowPunct/>
        <w:topLinePunct w:val="0"/>
        <w:bidi w:val="0"/>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——坚持系统观念。</w:t>
      </w:r>
      <w:r>
        <w:rPr>
          <w:rFonts w:hint="eastAsia" w:ascii="仿宋_GB2312" w:hAnsi="仿宋_GB2312" w:eastAsia="仿宋_GB2312" w:cs="仿宋_GB2312"/>
          <w:color w:val="auto"/>
          <w:sz w:val="32"/>
          <w:szCs w:val="32"/>
          <w:highlight w:val="none"/>
          <w:lang w:eastAsia="zh-CN"/>
        </w:rPr>
        <w:t>坚持“全省一盘棋、全岛同城化”，坚持城乡统筹、联动协作，促进区域协调发展，着力打基础、补短板、扬优势，注重防范化解重大风险挑战，实现发展质量、结构、规模、速度、效益、安全相统一。</w:t>
      </w:r>
    </w:p>
    <w:p>
      <w:pPr>
        <w:pageBreakBefore w:val="0"/>
        <w:numPr>
          <w:ilvl w:val="0"/>
          <w:numId w:val="2"/>
        </w:numPr>
        <w:kinsoku/>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发展目标</w:t>
      </w:r>
    </w:p>
    <w:p>
      <w:pPr>
        <w:pStyle w:val="2"/>
        <w:pageBreakBefore w:val="0"/>
        <w:kinsoku/>
        <w:overflowPunct/>
        <w:topLinePunct w:val="0"/>
        <w:bidi w:val="0"/>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eastAsia="zh-CN"/>
        </w:rPr>
        <w:t>二〇三五年远景目标。</w:t>
      </w:r>
      <w:r>
        <w:rPr>
          <w:rFonts w:hint="default" w:ascii="仿宋_GB2312" w:hAnsi="仿宋_GB2312" w:eastAsia="仿宋_GB2312" w:cs="仿宋_GB2312"/>
          <w:color w:val="auto"/>
          <w:sz w:val="32"/>
          <w:szCs w:val="32"/>
          <w:highlight w:val="none"/>
          <w:lang w:eastAsia="zh-CN"/>
        </w:rPr>
        <w:t>展望2035年，儋州在社会主义现代化进程上走在全省前列，提前实现社会主义现代化；儋州—洋浦“环新英湾”港产城一体化发展成效明显，成为海南自由贸易港的重要增长极；海南西部中心城市集聚辐射带动作用更加凸显；营商环境达到国际一流；经济总量和城乡居民人均收入大幅跃升，全体人民共同富裕迈出坚实步伐；优质公共服务水平和创新创业环境达到国际先进水平；基本实现新型工业化、信息化、城镇化、农业现代化，建成现代化经济体系；生态环境更加优化，资源利用率更高，实现人与自然和谐共生；全民素质和社会文明程度达到新高度；风险防控体系更加严密，现代社会治理格局基本形成，社会秩序长期和谐有序又充满活力，人民生活更加美好。</w:t>
      </w:r>
    </w:p>
    <w:p>
      <w:pPr>
        <w:pStyle w:val="2"/>
        <w:pageBreakBefore w:val="0"/>
        <w:kinsoku/>
        <w:overflowPunct/>
        <w:topLinePunct w:val="0"/>
        <w:bidi w:val="0"/>
        <w:snapToGrid/>
        <w:spacing w:line="560" w:lineRule="exact"/>
        <w:ind w:firstLine="643" w:firstLineChars="200"/>
        <w:jc w:val="both"/>
        <w:textAlignment w:val="auto"/>
        <w:rPr>
          <w:rFonts w:hint="default"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“十四五”目标。锚定</w:t>
      </w:r>
      <w:r>
        <w:rPr>
          <w:rFonts w:hint="default" w:ascii="仿宋_GB2312" w:hAnsi="仿宋_GB2312" w:eastAsia="仿宋_GB2312" w:cs="仿宋_GB2312"/>
          <w:b/>
          <w:bCs/>
          <w:color w:val="auto"/>
          <w:sz w:val="32"/>
          <w:szCs w:val="32"/>
          <w:highlight w:val="none"/>
          <w:lang w:eastAsia="zh-CN"/>
        </w:rPr>
        <w:t>二〇三五年远景目标</w:t>
      </w:r>
      <w:r>
        <w:rPr>
          <w:rFonts w:hint="eastAsia" w:ascii="仿宋_GB2312" w:hAnsi="仿宋_GB2312" w:eastAsia="仿宋_GB2312" w:cs="仿宋_GB2312"/>
          <w:b/>
          <w:bCs/>
          <w:color w:val="auto"/>
          <w:sz w:val="32"/>
          <w:szCs w:val="32"/>
          <w:highlight w:val="none"/>
          <w:lang w:eastAsia="zh-CN"/>
        </w:rPr>
        <w:t>，综合考虑发展基础和发展趋势，坚持守正和创新相统一，到</w:t>
      </w:r>
      <w:r>
        <w:rPr>
          <w:rFonts w:hint="eastAsia" w:ascii="仿宋_GB2312" w:hAnsi="仿宋_GB2312" w:eastAsia="仿宋_GB2312" w:cs="仿宋_GB2312"/>
          <w:b/>
          <w:bCs/>
          <w:color w:val="auto"/>
          <w:sz w:val="32"/>
          <w:szCs w:val="32"/>
          <w:highlight w:val="none"/>
          <w:lang w:val="en-US" w:eastAsia="zh-CN"/>
        </w:rPr>
        <w:t>2025年：</w:t>
      </w:r>
    </w:p>
    <w:p>
      <w:pPr>
        <w:pStyle w:val="2"/>
        <w:pageBreakBefore w:val="0"/>
        <w:kinsoku/>
        <w:overflowPunct/>
        <w:topLinePunct w:val="0"/>
        <w:bidi w:val="0"/>
        <w:snapToGrid/>
        <w:spacing w:line="560" w:lineRule="exact"/>
        <w:ind w:firstLine="643"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——高效率推动自由贸易港政策落地见效。</w:t>
      </w:r>
      <w:r>
        <w:rPr>
          <w:rFonts w:hint="eastAsia" w:ascii="仿宋_GB2312" w:hAnsi="仿宋_GB2312" w:eastAsia="仿宋_GB2312" w:cs="仿宋_GB2312"/>
          <w:b w:val="0"/>
          <w:bCs/>
          <w:color w:val="auto"/>
          <w:sz w:val="32"/>
          <w:szCs w:val="32"/>
          <w:highlight w:val="none"/>
          <w:lang w:val="en-US" w:eastAsia="zh-CN"/>
        </w:rPr>
        <w:t>深入落实以贸易自由便利和投资自由便利为重点的自由贸易港政策制度，营商环境总体达到国内一流水平，各类要素流动便利、渠道畅通，全流程监管更加高效，风险防控细致周全，儋州—洋浦“环新英湾”港产城一体化发展引擎作用进一步凸显，适应自由贸易港建设和儋州发展需要的制度体系更加完备。</w:t>
      </w:r>
    </w:p>
    <w:p>
      <w:pPr>
        <w:pStyle w:val="2"/>
        <w:pageBreakBefore w:val="0"/>
        <w:kinsoku/>
        <w:overflowPunct/>
        <w:topLinePunct w:val="0"/>
        <w:bidi w:val="0"/>
        <w:snapToGrid/>
        <w:spacing w:line="560" w:lineRule="exact"/>
        <w:ind w:firstLine="643"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——经济实现高质量发展。</w:t>
      </w:r>
      <w:r>
        <w:rPr>
          <w:rFonts w:hint="eastAsia" w:ascii="仿宋_GB2312" w:hAnsi="仿宋_GB2312" w:eastAsia="仿宋_GB2312" w:cs="仿宋_GB2312"/>
          <w:b w:val="0"/>
          <w:bCs/>
          <w:color w:val="auto"/>
          <w:sz w:val="32"/>
          <w:szCs w:val="32"/>
          <w:highlight w:val="none"/>
          <w:lang w:val="en-US" w:eastAsia="zh-CN"/>
        </w:rPr>
        <w:t>经济总量迅速做大，发展质量大幅提升，经济增长速度全省领先，使全市主要经济指标在全省的占比与儋州的人口、土地、资源份额相匹配。地区生产总值实现年均增长10%以上，争取翻一番。旅游业、现代服务业、热带特色高效农业、高新技术产业进一步培育壮大，新型工业化实现新突破，市场主体持续大幅增长，产业整体水平和竞争力显著提升，经济结构更加优化，现代化经济体系初步建立。</w:t>
      </w:r>
    </w:p>
    <w:p>
      <w:pPr>
        <w:pStyle w:val="2"/>
        <w:pageBreakBefore w:val="0"/>
        <w:kinsoku/>
        <w:overflowPunct/>
        <w:topLinePunct w:val="0"/>
        <w:bidi w:val="0"/>
        <w:snapToGrid/>
        <w:spacing w:line="560" w:lineRule="exact"/>
        <w:ind w:firstLine="643"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——高品质建成海南西部中心城市。</w:t>
      </w:r>
      <w:r>
        <w:rPr>
          <w:rFonts w:hint="eastAsia" w:ascii="仿宋_GB2312" w:hAnsi="仿宋_GB2312" w:eastAsia="仿宋_GB2312" w:cs="仿宋_GB2312"/>
          <w:b w:val="0"/>
          <w:bCs/>
          <w:color w:val="auto"/>
          <w:sz w:val="32"/>
          <w:szCs w:val="32"/>
          <w:highlight w:val="none"/>
          <w:lang w:val="en-US" w:eastAsia="zh-CN"/>
        </w:rPr>
        <w:t>教育、医疗、文体、消费、服务“五大中心”辐射服务海南西部的能力越来越强，基础设施越来越完善，现代综合交通运输体系建设取得重大进展，城市公共服务功能更加强化，城市品质明显提升，海南西部中心城市的集聚辐射带动作用更加突出。</w:t>
      </w:r>
    </w:p>
    <w:p>
      <w:pPr>
        <w:pStyle w:val="2"/>
        <w:pageBreakBefore w:val="0"/>
        <w:kinsoku/>
        <w:overflowPunct/>
        <w:topLinePunct w:val="0"/>
        <w:bidi w:val="0"/>
        <w:snapToGrid/>
        <w:spacing w:line="560" w:lineRule="exact"/>
        <w:ind w:firstLine="643"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——高标准建成国家生态文明建设示范市。</w:t>
      </w:r>
      <w:r>
        <w:rPr>
          <w:rFonts w:hint="eastAsia" w:ascii="仿宋_GB2312" w:hAnsi="仿宋_GB2312" w:eastAsia="仿宋_GB2312" w:cs="仿宋_GB2312"/>
          <w:b w:val="0"/>
          <w:bCs/>
          <w:color w:val="auto"/>
          <w:sz w:val="32"/>
          <w:szCs w:val="32"/>
          <w:highlight w:val="none"/>
          <w:lang w:val="en-US" w:eastAsia="zh-CN"/>
        </w:rPr>
        <w:t>生态文明制度体系更加完善，国土空间开发保护格局进一步优化，生态环境基础设施建设全面加强，生态环境治理能力显著提高，绿色低碳生产生活方式加快形成，城乡人居环境明显改善，全市生态环境质量继续保持全国领先水平。</w:t>
      </w:r>
    </w:p>
    <w:p>
      <w:pPr>
        <w:pStyle w:val="2"/>
        <w:pageBreakBefore w:val="0"/>
        <w:kinsoku/>
        <w:overflowPunct/>
        <w:topLinePunct w:val="0"/>
        <w:bidi w:val="0"/>
        <w:snapToGrid/>
        <w:spacing w:line="560" w:lineRule="exact"/>
        <w:ind w:firstLine="643"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——民生福祉达到新水平。</w:t>
      </w:r>
      <w:r>
        <w:rPr>
          <w:rFonts w:hint="eastAsia" w:ascii="仿宋_GB2312" w:hAnsi="仿宋_GB2312" w:eastAsia="仿宋_GB2312" w:cs="仿宋_GB2312"/>
          <w:b w:val="0"/>
          <w:bCs/>
          <w:color w:val="auto"/>
          <w:sz w:val="32"/>
          <w:szCs w:val="32"/>
          <w:highlight w:val="none"/>
          <w:lang w:val="en-US" w:eastAsia="zh-CN"/>
        </w:rPr>
        <w:t>实现更加充分更高质量就业，人均预期寿命稳步提升，城乡居民人均收入达到全国中上等水平，基本公共服务更加优质、均等，人民精神文化生活日益丰富，全民受教育程度大幅提高，多层次社会保障体系更加健全，卫生健康体系更加完善，脱贫攻坚成果巩固拓展，乡村振兴取得重要进展，人民获得感、幸福感明显增强。</w:t>
      </w:r>
    </w:p>
    <w:p>
      <w:pPr>
        <w:pStyle w:val="2"/>
        <w:keepNext w:val="0"/>
        <w:keepLines w:val="0"/>
        <w:pageBreakBefore w:val="0"/>
        <w:widowControl w:val="0"/>
        <w:kinsoku/>
        <w:wordWrap/>
        <w:overflowPunct/>
        <w:topLinePunct w:val="0"/>
        <w:autoSpaceDE w:val="0"/>
        <w:autoSpaceDN w:val="0"/>
        <w:bidi w:val="0"/>
        <w:adjustRightInd w:val="0"/>
        <w:snapToGrid/>
        <w:spacing w:after="161" w:afterLines="50" w:line="560" w:lineRule="exact"/>
        <w:ind w:firstLine="643"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——社会治理效能得到新提升。</w:t>
      </w:r>
      <w:r>
        <w:rPr>
          <w:rFonts w:hint="eastAsia" w:ascii="仿宋_GB2312" w:hAnsi="仿宋_GB2312" w:eastAsia="仿宋_GB2312" w:cs="仿宋_GB2312"/>
          <w:b w:val="0"/>
          <w:bCs/>
          <w:color w:val="auto"/>
          <w:sz w:val="32"/>
          <w:szCs w:val="32"/>
          <w:highlight w:val="none"/>
          <w:lang w:val="en-US" w:eastAsia="zh-CN"/>
        </w:rPr>
        <w:t>适应自由贸易港建设的法律法规有效实施，行政效率和政府公信力显著提升，法治儋州、平安儋州建设取得显著成效，突发公共事件应急能力显著增强，系统性风险有效防控，基层治理水平明显提高。</w:t>
      </w:r>
    </w:p>
    <w:p>
      <w:pPr>
        <w:pStyle w:val="2"/>
        <w:keepNext w:val="0"/>
        <w:keepLines w:val="0"/>
        <w:pageBreakBefore w:val="0"/>
        <w:widowControl w:val="0"/>
        <w:kinsoku/>
        <w:wordWrap/>
        <w:overflowPunct/>
        <w:topLinePunct w:val="0"/>
        <w:autoSpaceDE w:val="0"/>
        <w:autoSpaceDN w:val="0"/>
        <w:bidi w:val="0"/>
        <w:adjustRightInd w:val="0"/>
        <w:snapToGrid/>
        <w:spacing w:after="161" w:afterLines="50" w:line="560" w:lineRule="exact"/>
        <w:jc w:val="center"/>
        <w:textAlignment w:val="auto"/>
        <w:rPr>
          <w:rFonts w:hint="eastAsia" w:ascii="黑体" w:hAnsi="黑体" w:eastAsia="黑体" w:cs="黑体"/>
          <w:b w:val="0"/>
          <w:bCs/>
          <w:color w:val="auto"/>
          <w:sz w:val="32"/>
          <w:szCs w:val="32"/>
          <w:highlight w:val="none"/>
          <w:lang w:val="en-US" w:eastAsia="zh-CN"/>
        </w:rPr>
      </w:pPr>
      <w:bookmarkStart w:id="66" w:name="_Toc4761_WPSOffice_Level2"/>
      <w:bookmarkStart w:id="67" w:name="_Toc13349_WPSOffice_Level2"/>
      <w:r>
        <w:rPr>
          <w:rFonts w:hint="eastAsia" w:ascii="黑体" w:hAnsi="黑体" w:eastAsia="黑体" w:cs="黑体"/>
          <w:b w:val="0"/>
          <w:bCs/>
          <w:color w:val="auto"/>
          <w:sz w:val="32"/>
          <w:szCs w:val="32"/>
          <w:highlight w:val="none"/>
          <w:lang w:val="en-US" w:eastAsia="zh-CN"/>
        </w:rPr>
        <w:t>“十四五”时期经济社会发展指标表</w:t>
      </w:r>
      <w:bookmarkEnd w:id="66"/>
      <w:bookmarkEnd w:id="67"/>
    </w:p>
    <w:tbl>
      <w:tblPr>
        <w:tblStyle w:val="19"/>
        <w:tblW w:w="90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42"/>
        <w:gridCol w:w="342"/>
        <w:gridCol w:w="2472"/>
        <w:gridCol w:w="826"/>
        <w:gridCol w:w="1225"/>
        <w:gridCol w:w="1316"/>
        <w:gridCol w:w="1653"/>
        <w:gridCol w:w="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16"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黑体" w:hAnsi="宋体" w:eastAsia="黑体" w:cs="黑体"/>
                <w:i w:val="0"/>
                <w:color w:val="auto"/>
                <w:sz w:val="22"/>
                <w:szCs w:val="22"/>
                <w:highlight w:val="none"/>
                <w:u w:val="none"/>
                <w:lang w:eastAsia="zh-CN"/>
              </w:rPr>
            </w:pPr>
            <w:r>
              <w:rPr>
                <w:rFonts w:hint="eastAsia" w:ascii="黑体" w:hAnsi="宋体" w:eastAsia="黑体" w:cs="黑体"/>
                <w:i w:val="0"/>
                <w:color w:val="auto"/>
                <w:sz w:val="22"/>
                <w:szCs w:val="22"/>
                <w:highlight w:val="none"/>
                <w:u w:val="none"/>
                <w:lang w:eastAsia="zh-CN"/>
              </w:rPr>
              <w:t>类别</w:t>
            </w:r>
          </w:p>
        </w:tc>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黑体" w:hAnsi="宋体" w:eastAsia="黑体" w:cs="黑体"/>
                <w:i w:val="0"/>
                <w:color w:val="auto"/>
                <w:sz w:val="22"/>
                <w:szCs w:val="22"/>
                <w:highlight w:val="none"/>
                <w:u w:val="none"/>
                <w:lang w:eastAsia="zh-CN"/>
              </w:rPr>
            </w:pPr>
            <w:r>
              <w:rPr>
                <w:rFonts w:hint="eastAsia" w:ascii="黑体" w:hAnsi="宋体" w:eastAsia="黑体" w:cs="黑体"/>
                <w:i w:val="0"/>
                <w:color w:val="auto"/>
                <w:sz w:val="22"/>
                <w:szCs w:val="22"/>
                <w:highlight w:val="none"/>
                <w:u w:val="none"/>
                <w:lang w:eastAsia="zh-CN"/>
              </w:rPr>
              <w:t>序号</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auto"/>
                <w:sz w:val="22"/>
                <w:szCs w:val="22"/>
                <w:highlight w:val="none"/>
                <w:u w:val="none"/>
                <w:lang w:eastAsia="zh-CN"/>
              </w:rPr>
            </w:pPr>
            <w:r>
              <w:rPr>
                <w:rFonts w:hint="eastAsia" w:ascii="黑体" w:hAnsi="宋体" w:eastAsia="黑体" w:cs="黑体"/>
                <w:i w:val="0"/>
                <w:color w:val="auto"/>
                <w:sz w:val="22"/>
                <w:szCs w:val="22"/>
                <w:highlight w:val="none"/>
                <w:u w:val="none"/>
                <w:lang w:eastAsia="zh-CN"/>
              </w:rPr>
              <w:t>指标名称</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auto"/>
                <w:sz w:val="22"/>
                <w:szCs w:val="22"/>
                <w:highlight w:val="none"/>
                <w:u w:val="none"/>
                <w:lang w:eastAsia="zh-CN"/>
              </w:rPr>
            </w:pPr>
            <w:r>
              <w:rPr>
                <w:rFonts w:hint="eastAsia" w:ascii="黑体" w:hAnsi="宋体" w:eastAsia="黑体" w:cs="黑体"/>
                <w:i w:val="0"/>
                <w:color w:val="auto"/>
                <w:sz w:val="22"/>
                <w:szCs w:val="22"/>
                <w:highlight w:val="none"/>
                <w:u w:val="none"/>
                <w:lang w:eastAsia="zh-CN"/>
              </w:rPr>
              <w:t>单位</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2"/>
                <w:szCs w:val="22"/>
                <w:highlight w:val="none"/>
                <w:u w:val="none"/>
              </w:rPr>
            </w:pPr>
            <w:r>
              <w:rPr>
                <w:rFonts w:hint="eastAsia" w:ascii="黑体" w:hAnsi="宋体" w:eastAsia="黑体" w:cs="黑体"/>
                <w:i w:val="0"/>
                <w:color w:val="auto"/>
                <w:kern w:val="0"/>
                <w:sz w:val="22"/>
                <w:szCs w:val="22"/>
                <w:highlight w:val="none"/>
                <w:u w:val="none"/>
                <w:lang w:val="en-US" w:eastAsia="zh-CN" w:bidi="ar"/>
              </w:rPr>
              <w:t>2020年</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2"/>
                <w:szCs w:val="22"/>
                <w:highlight w:val="none"/>
                <w:u w:val="none"/>
              </w:rPr>
            </w:pPr>
            <w:r>
              <w:rPr>
                <w:rFonts w:hint="eastAsia" w:ascii="黑体" w:hAnsi="宋体" w:eastAsia="黑体" w:cs="黑体"/>
                <w:i w:val="0"/>
                <w:color w:val="auto"/>
                <w:kern w:val="0"/>
                <w:sz w:val="22"/>
                <w:szCs w:val="22"/>
                <w:highlight w:val="none"/>
                <w:u w:val="none"/>
                <w:lang w:val="en-US" w:eastAsia="zh-CN" w:bidi="ar"/>
              </w:rPr>
              <w:t>2025年</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2"/>
                <w:szCs w:val="22"/>
                <w:highlight w:val="none"/>
                <w:u w:val="none"/>
              </w:rPr>
            </w:pPr>
            <w:r>
              <w:rPr>
                <w:rFonts w:hint="eastAsia" w:ascii="黑体" w:hAnsi="宋体" w:eastAsia="黑体" w:cs="黑体"/>
                <w:i w:val="0"/>
                <w:color w:val="auto"/>
                <w:kern w:val="0"/>
                <w:sz w:val="22"/>
                <w:szCs w:val="22"/>
                <w:highlight w:val="none"/>
                <w:u w:val="none"/>
                <w:lang w:val="en-US" w:eastAsia="zh-CN" w:bidi="ar"/>
              </w:rPr>
              <w:t>年均增长</w:t>
            </w:r>
            <w:r>
              <w:rPr>
                <w:rFonts w:hint="eastAsia" w:ascii="黑体" w:hAnsi="宋体" w:eastAsia="黑体" w:cs="黑体"/>
                <w:i w:val="0"/>
                <w:color w:val="auto"/>
                <w:kern w:val="0"/>
                <w:sz w:val="22"/>
                <w:szCs w:val="22"/>
                <w:highlight w:val="none"/>
                <w:u w:val="none"/>
                <w:lang w:val="en-US" w:eastAsia="zh-CN" w:bidi="ar"/>
              </w:rPr>
              <w:br w:type="textWrapping"/>
            </w:r>
            <w:r>
              <w:rPr>
                <w:rFonts w:hint="eastAsia" w:ascii="黑体" w:hAnsi="宋体" w:eastAsia="黑体" w:cs="黑体"/>
                <w:i w:val="0"/>
                <w:color w:val="auto"/>
                <w:kern w:val="0"/>
                <w:sz w:val="22"/>
                <w:szCs w:val="22"/>
                <w:highlight w:val="none"/>
                <w:u w:val="none"/>
                <w:lang w:val="en-US" w:eastAsia="zh-CN" w:bidi="ar"/>
              </w:rPr>
              <w:t>（或累计,%）</w:t>
            </w:r>
          </w:p>
        </w:tc>
        <w:tc>
          <w:tcPr>
            <w:tcW w:w="82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auto"/>
                <w:sz w:val="22"/>
                <w:szCs w:val="22"/>
                <w:highlight w:val="none"/>
                <w:u w:val="none"/>
                <w:lang w:eastAsia="zh-CN"/>
              </w:rPr>
            </w:pPr>
            <w:r>
              <w:rPr>
                <w:rFonts w:hint="eastAsia" w:ascii="黑体" w:hAnsi="宋体" w:eastAsia="黑体" w:cs="黑体"/>
                <w:i w:val="0"/>
                <w:color w:val="auto"/>
                <w:sz w:val="22"/>
                <w:szCs w:val="22"/>
                <w:highlight w:val="none"/>
                <w:u w:val="none"/>
                <w:lang w:eastAsia="zh-CN"/>
              </w:rPr>
              <w:t>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34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1</w:t>
            </w:r>
          </w:p>
        </w:tc>
        <w:tc>
          <w:tcPr>
            <w:tcW w:w="34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经济发展</w:t>
            </w:r>
          </w:p>
        </w:tc>
        <w:tc>
          <w:tcPr>
            <w:tcW w:w="247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地区生产总值</w:t>
            </w:r>
          </w:p>
        </w:tc>
        <w:tc>
          <w:tcPr>
            <w:tcW w:w="82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亿元</w:t>
            </w:r>
          </w:p>
        </w:tc>
        <w:tc>
          <w:tcPr>
            <w:tcW w:w="12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363.69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728.0</w:t>
            </w:r>
            <w:r>
              <w:rPr>
                <w:rFonts w:hint="eastAsia" w:ascii="仿宋_GB2312" w:hAnsi="宋体" w:eastAsia="仿宋_GB2312" w:cs="仿宋_GB2312"/>
                <w:i w:val="0"/>
                <w:color w:val="auto"/>
                <w:sz w:val="22"/>
                <w:szCs w:val="22"/>
                <w:highlight w:val="none"/>
                <w:u w:val="none"/>
                <w:lang w:val="en-US" w:eastAsia="zh-CN"/>
              </w:rPr>
              <w:br w:type="textWrapping"/>
            </w:r>
            <w:r>
              <w:rPr>
                <w:rFonts w:hint="eastAsia" w:ascii="仿宋_GB2312" w:hAnsi="宋体" w:eastAsia="仿宋_GB2312" w:cs="仿宋_GB2312"/>
                <w:i w:val="0"/>
                <w:color w:val="auto"/>
                <w:sz w:val="22"/>
                <w:szCs w:val="22"/>
                <w:highlight w:val="none"/>
                <w:u w:val="none"/>
                <w:lang w:val="en-US" w:eastAsia="zh-CN"/>
              </w:rPr>
              <w:t>（翻一番）</w:t>
            </w:r>
          </w:p>
        </w:tc>
        <w:tc>
          <w:tcPr>
            <w:tcW w:w="165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14.9</w:t>
            </w:r>
          </w:p>
        </w:tc>
        <w:tc>
          <w:tcPr>
            <w:tcW w:w="826" w:type="dxa"/>
            <w:vMerge w:val="restart"/>
            <w:tcBorders>
              <w:top w:val="single" w:color="auto" w:sz="4" w:space="0"/>
              <w:left w:val="single" w:color="auto" w:sz="4" w:space="0"/>
              <w:right w:val="single" w:color="auto" w:sz="4" w:space="0"/>
            </w:tcBorders>
            <w:shd w:val="clear" w:color="auto" w:fill="auto"/>
            <w:tcMar>
              <w:top w:w="0" w:type="dxa"/>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34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highlight w:val="none"/>
                <w:u w:val="none"/>
                <w:lang w:val="en-US" w:eastAsia="zh-CN" w:bidi="ar"/>
              </w:rPr>
            </w:pPr>
          </w:p>
        </w:tc>
        <w:tc>
          <w:tcPr>
            <w:tcW w:w="342"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highlight w:val="none"/>
                <w:u w:val="none"/>
                <w:lang w:val="en-US" w:eastAsia="zh-CN" w:bidi="ar"/>
              </w:rPr>
            </w:pPr>
          </w:p>
        </w:tc>
        <w:tc>
          <w:tcPr>
            <w:tcW w:w="24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2"/>
                <w:szCs w:val="22"/>
                <w:highlight w:val="none"/>
                <w:u w:val="none"/>
                <w:lang w:val="en-US" w:eastAsia="zh-CN" w:bidi="ar"/>
              </w:rPr>
            </w:pPr>
          </w:p>
        </w:tc>
        <w:tc>
          <w:tcPr>
            <w:tcW w:w="82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highlight w:val="none"/>
                <w:u w:val="none"/>
                <w:lang w:val="en-US" w:eastAsia="zh-CN" w:bidi="ar"/>
              </w:rPr>
            </w:pPr>
          </w:p>
        </w:tc>
        <w:tc>
          <w:tcPr>
            <w:tcW w:w="12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2"/>
                <w:szCs w:val="22"/>
                <w:highlight w:val="none"/>
                <w:u w:val="none"/>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600.0</w:t>
            </w:r>
          </w:p>
        </w:tc>
        <w:tc>
          <w:tcPr>
            <w:tcW w:w="165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&gt;10.0</w:t>
            </w:r>
          </w:p>
        </w:tc>
        <w:tc>
          <w:tcPr>
            <w:tcW w:w="826" w:type="dxa"/>
            <w:vMerge w:val="continue"/>
            <w:tcBorders>
              <w:left w:val="single" w:color="auto" w:sz="4" w:space="0"/>
              <w:bottom w:val="single" w:color="000000" w:sz="4" w:space="0"/>
              <w:right w:val="single" w:color="auto" w:sz="4" w:space="0"/>
            </w:tcBorders>
            <w:shd w:val="clear" w:color="auto" w:fill="auto"/>
            <w:tcMar>
              <w:top w:w="0" w:type="dxa"/>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2"/>
                <w:szCs w:val="22"/>
                <w:highlight w:val="none"/>
                <w:u w:val="none"/>
                <w:lang w:val="en-US" w:eastAsia="zh-CN" w:bidi="ar"/>
              </w:rPr>
            </w:pPr>
            <w:r>
              <w:rPr>
                <w:rFonts w:hint="eastAsia" w:ascii="仿宋_GB2312" w:hAnsi="宋体" w:eastAsia="仿宋_GB2312" w:cs="仿宋_GB2312"/>
                <w:i w:val="0"/>
                <w:color w:val="auto"/>
                <w:kern w:val="0"/>
                <w:sz w:val="22"/>
                <w:szCs w:val="22"/>
                <w:highlight w:val="none"/>
                <w:u w:val="none"/>
                <w:lang w:val="en-US" w:eastAsia="zh-CN" w:bidi="ar"/>
              </w:rPr>
              <w:t>2</w:t>
            </w:r>
          </w:p>
        </w:tc>
        <w:tc>
          <w:tcPr>
            <w:tcW w:w="342"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highlight w:val="none"/>
                <w:u w:val="none"/>
                <w:lang w:val="en-US" w:eastAsia="zh-CN" w:bidi="ar"/>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2"/>
                <w:szCs w:val="22"/>
                <w:highlight w:val="none"/>
                <w:u w:val="none"/>
                <w:lang w:val="en-US" w:eastAsia="zh-CN" w:bidi="ar"/>
              </w:rPr>
            </w:pPr>
            <w:r>
              <w:rPr>
                <w:rFonts w:hint="eastAsia" w:ascii="仿宋_GB2312" w:hAnsi="宋体" w:eastAsia="仿宋_GB2312" w:cs="仿宋_GB2312"/>
                <w:i w:val="0"/>
                <w:color w:val="auto"/>
                <w:kern w:val="0"/>
                <w:sz w:val="22"/>
                <w:szCs w:val="22"/>
                <w:highlight w:val="none"/>
                <w:u w:val="none"/>
                <w:lang w:val="en-US" w:eastAsia="zh-CN" w:bidi="ar"/>
              </w:rPr>
              <w:t>固定资产投资</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highlight w:val="none"/>
                <w:u w:val="none"/>
                <w:lang w:val="en-US" w:eastAsia="zh-CN" w:bidi="ar"/>
              </w:rPr>
            </w:pPr>
            <w:r>
              <w:rPr>
                <w:rFonts w:hint="eastAsia" w:ascii="仿宋_GB2312" w:hAnsi="宋体" w:eastAsia="仿宋_GB2312" w:cs="仿宋_GB2312"/>
                <w:i w:val="0"/>
                <w:color w:val="auto"/>
                <w:kern w:val="0"/>
                <w:sz w:val="22"/>
                <w:szCs w:val="22"/>
                <w:highlight w:val="none"/>
                <w:u w:val="none"/>
                <w:lang w:val="en-US" w:eastAsia="zh-CN" w:bidi="ar"/>
              </w:rPr>
              <w:t>亿元</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227.68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367.0</w:t>
            </w:r>
          </w:p>
        </w:tc>
        <w:tc>
          <w:tcPr>
            <w:tcW w:w="165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10.0</w:t>
            </w:r>
          </w:p>
        </w:tc>
        <w:tc>
          <w:tcPr>
            <w:tcW w:w="826" w:type="dxa"/>
            <w:tcBorders>
              <w:top w:val="single" w:color="auto" w:sz="4" w:space="0"/>
              <w:left w:val="single" w:color="auto" w:sz="4" w:space="0"/>
              <w:bottom w:val="single" w:color="000000" w:sz="4" w:space="0"/>
              <w:right w:val="single" w:color="auto" w:sz="4" w:space="0"/>
            </w:tcBorders>
            <w:shd w:val="clear" w:color="auto" w:fill="auto"/>
            <w:tcMar>
              <w:top w:w="0" w:type="dxa"/>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highlight w:val="none"/>
                <w:u w:val="none"/>
                <w:lang w:val="en-US" w:eastAsia="zh-CN" w:bidi="ar"/>
              </w:rPr>
            </w:pPr>
            <w:r>
              <w:rPr>
                <w:rFonts w:hint="eastAsia" w:ascii="仿宋_GB2312" w:hAnsi="宋体" w:eastAsia="仿宋_GB2312" w:cs="仿宋_GB2312"/>
                <w:i w:val="0"/>
                <w:color w:val="auto"/>
                <w:kern w:val="0"/>
                <w:sz w:val="22"/>
                <w:szCs w:val="22"/>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3</w:t>
            </w:r>
          </w:p>
        </w:tc>
        <w:tc>
          <w:tcPr>
            <w:tcW w:w="342"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_GB2312" w:hAnsi="宋体" w:eastAsia="仿宋_GB2312" w:cs="仿宋_GB2312"/>
                <w:i w:val="0"/>
                <w:color w:val="auto"/>
                <w:sz w:val="22"/>
                <w:szCs w:val="22"/>
                <w:highlight w:val="none"/>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旅游业增加值占地区生产总值比重</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4.90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9.3</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w:t>
            </w:r>
          </w:p>
        </w:tc>
        <w:tc>
          <w:tcPr>
            <w:tcW w:w="826" w:type="dxa"/>
            <w:tcBorders>
              <w:top w:val="single" w:color="auto"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4</w:t>
            </w:r>
          </w:p>
        </w:tc>
        <w:tc>
          <w:tcPr>
            <w:tcW w:w="342"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_GB2312" w:hAnsi="宋体" w:eastAsia="仿宋_GB2312" w:cs="仿宋_GB2312"/>
                <w:i w:val="0"/>
                <w:color w:val="auto"/>
                <w:sz w:val="22"/>
                <w:szCs w:val="22"/>
                <w:highlight w:val="none"/>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常住人口城镇化率</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53.50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60.0</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5</w:t>
            </w:r>
          </w:p>
        </w:tc>
        <w:tc>
          <w:tcPr>
            <w:tcW w:w="34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both"/>
              <w:textAlignment w:val="center"/>
              <w:rPr>
                <w:rFonts w:hint="eastAsia" w:ascii="仿宋_GB2312" w:hAnsi="宋体" w:eastAsia="仿宋_GB2312" w:cs="仿宋_GB2312"/>
                <w:i w:val="0"/>
                <w:color w:val="auto"/>
                <w:sz w:val="22"/>
                <w:szCs w:val="22"/>
                <w:highlight w:val="none"/>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实际利用外资总额</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亿美元</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0.17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2.0</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6</w:t>
            </w:r>
          </w:p>
        </w:tc>
        <w:tc>
          <w:tcPr>
            <w:tcW w:w="3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创新驱动</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研发经费投入强度</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2"/>
                <w:szCs w:val="22"/>
                <w:highlight w:val="none"/>
                <w:u w:val="none"/>
                <w:lang w:val="en-US"/>
              </w:rPr>
            </w:pPr>
            <w:r>
              <w:rPr>
                <w:rFonts w:hint="eastAsia" w:ascii="仿宋_GB2312" w:hAnsi="宋体" w:eastAsia="仿宋_GB2312" w:cs="仿宋_GB2312"/>
                <w:i w:val="0"/>
                <w:color w:val="auto"/>
                <w:kern w:val="0"/>
                <w:sz w:val="22"/>
                <w:szCs w:val="22"/>
                <w:highlight w:val="none"/>
                <w:u w:val="none"/>
                <w:lang w:val="en-US" w:eastAsia="zh-CN" w:bidi="ar"/>
              </w:rPr>
              <w:t>0.3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2"/>
                <w:szCs w:val="22"/>
                <w:highlight w:val="none"/>
                <w:u w:val="none"/>
                <w:lang w:val="en-US"/>
              </w:rPr>
            </w:pPr>
            <w:r>
              <w:rPr>
                <w:rFonts w:hint="eastAsia" w:ascii="仿宋_GB2312" w:hAnsi="宋体" w:eastAsia="仿宋_GB2312" w:cs="仿宋_GB2312"/>
                <w:i w:val="0"/>
                <w:color w:val="auto"/>
                <w:kern w:val="0"/>
                <w:sz w:val="22"/>
                <w:szCs w:val="22"/>
                <w:highlight w:val="none"/>
                <w:u w:val="none"/>
                <w:lang w:val="en-US" w:eastAsia="zh-CN" w:bidi="ar"/>
              </w:rPr>
              <w:t>1.0</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2"/>
                <w:szCs w:val="22"/>
                <w:highlight w:val="none"/>
                <w:u w:val="none"/>
                <w:lang w:val="en-US"/>
              </w:rPr>
            </w:pPr>
            <w:r>
              <w:rPr>
                <w:rFonts w:hint="eastAsia" w:ascii="仿宋_GB2312" w:hAnsi="宋体" w:eastAsia="仿宋_GB2312" w:cs="仿宋_GB2312"/>
                <w:i w:val="0"/>
                <w:color w:val="auto"/>
                <w:kern w:val="0"/>
                <w:sz w:val="22"/>
                <w:szCs w:val="22"/>
                <w:highlight w:val="none"/>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kern w:val="0"/>
                <w:sz w:val="22"/>
                <w:szCs w:val="22"/>
                <w:highlight w:val="none"/>
                <w:u w:val="none"/>
                <w:lang w:val="en-US" w:eastAsia="zh-CN" w:bidi="ar"/>
              </w:rPr>
              <w:t>7</w:t>
            </w: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_GB2312" w:hAnsi="宋体" w:eastAsia="仿宋_GB2312" w:cs="仿宋_GB2312"/>
                <w:i w:val="0"/>
                <w:color w:val="auto"/>
                <w:sz w:val="22"/>
                <w:szCs w:val="22"/>
                <w:highlight w:val="none"/>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每万人口发明专利拥有量</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件</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2"/>
                <w:szCs w:val="22"/>
                <w:highlight w:val="none"/>
                <w:u w:val="none"/>
                <w:lang w:val="en-US"/>
              </w:rPr>
            </w:pPr>
            <w:r>
              <w:rPr>
                <w:rFonts w:hint="eastAsia" w:ascii="仿宋_GB2312" w:hAnsi="宋体" w:eastAsia="仿宋_GB2312" w:cs="仿宋_GB2312"/>
                <w:i w:val="0"/>
                <w:color w:val="auto"/>
                <w:kern w:val="0"/>
                <w:sz w:val="22"/>
                <w:szCs w:val="22"/>
                <w:highlight w:val="none"/>
                <w:u w:val="none"/>
                <w:lang w:val="en-US" w:eastAsia="zh-CN" w:bidi="ar"/>
              </w:rPr>
              <w:t>4.12</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2"/>
                <w:szCs w:val="22"/>
                <w:highlight w:val="none"/>
                <w:u w:val="none"/>
                <w:lang w:val="en-US"/>
              </w:rPr>
            </w:pPr>
            <w:r>
              <w:rPr>
                <w:rFonts w:hint="eastAsia" w:ascii="仿宋_GB2312" w:hAnsi="宋体" w:eastAsia="仿宋_GB2312" w:cs="仿宋_GB2312"/>
                <w:i w:val="0"/>
                <w:color w:val="auto"/>
                <w:kern w:val="0"/>
                <w:sz w:val="22"/>
                <w:szCs w:val="22"/>
                <w:highlight w:val="none"/>
                <w:u w:val="none"/>
                <w:lang w:val="en-US" w:eastAsia="zh-CN" w:bidi="ar"/>
              </w:rPr>
              <w:t>6.2</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sz w:val="22"/>
                <w:szCs w:val="22"/>
                <w:highlight w:val="none"/>
                <w:u w:val="none"/>
                <w:lang w:val="en-US" w:eastAsia="zh-CN"/>
              </w:rPr>
              <w:t>8</w:t>
            </w: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_GB2312" w:hAnsi="宋体" w:eastAsia="仿宋_GB2312" w:cs="仿宋_GB2312"/>
                <w:i w:val="0"/>
                <w:color w:val="auto"/>
                <w:sz w:val="22"/>
                <w:szCs w:val="22"/>
                <w:highlight w:val="none"/>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新增高层次人才总量</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人</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2000</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9</w:t>
            </w:r>
          </w:p>
        </w:tc>
        <w:tc>
          <w:tcPr>
            <w:tcW w:w="34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民生福祉</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2"/>
                <w:szCs w:val="22"/>
                <w:highlight w:val="none"/>
                <w:u w:val="none"/>
                <w:lang w:val="en-US"/>
              </w:rPr>
            </w:pPr>
            <w:r>
              <w:rPr>
                <w:rFonts w:hint="eastAsia" w:ascii="仿宋_GB2312" w:hAnsi="宋体" w:eastAsia="仿宋_GB2312" w:cs="仿宋_GB2312"/>
                <w:i w:val="0"/>
                <w:color w:val="auto"/>
                <w:kern w:val="0"/>
                <w:sz w:val="22"/>
                <w:szCs w:val="22"/>
                <w:highlight w:val="none"/>
                <w:u w:val="none"/>
                <w:lang w:val="en-US" w:eastAsia="zh-CN" w:bidi="ar"/>
              </w:rPr>
              <w:t>常住居民人均可支配收入增速</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2"/>
                <w:szCs w:val="22"/>
                <w:highlight w:val="none"/>
                <w:u w:val="none"/>
                <w:lang w:val="en-US"/>
              </w:rPr>
            </w:pPr>
            <w:r>
              <w:rPr>
                <w:rFonts w:hint="eastAsia" w:ascii="仿宋_GB2312" w:hAnsi="宋体" w:eastAsia="仿宋_GB2312" w:cs="仿宋_GB2312"/>
                <w:i w:val="0"/>
                <w:color w:val="auto"/>
                <w:kern w:val="0"/>
                <w:sz w:val="22"/>
                <w:szCs w:val="22"/>
                <w:highlight w:val="none"/>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10</w:t>
            </w:r>
          </w:p>
        </w:tc>
        <w:tc>
          <w:tcPr>
            <w:tcW w:w="342"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_GB2312" w:hAnsi="宋体" w:eastAsia="仿宋_GB2312" w:cs="仿宋_GB2312"/>
                <w:i w:val="0"/>
                <w:color w:val="auto"/>
                <w:sz w:val="22"/>
                <w:szCs w:val="22"/>
                <w:highlight w:val="none"/>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城镇登记失业率</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3.17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&lt;3.50</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center"/>
              <w:rPr>
                <w:rFonts w:hint="default"/>
                <w:color w:val="auto"/>
                <w:lang w:val="en-US" w:eastAsia="zh-CN"/>
              </w:rPr>
            </w:pPr>
            <w:r>
              <w:rPr>
                <w:rFonts w:hint="eastAsia" w:ascii="仿宋_GB2312" w:hAnsi="宋体" w:eastAsia="仿宋_GB2312" w:cs="仿宋_GB2312"/>
                <w:i w:val="0"/>
                <w:color w:val="auto"/>
                <w:kern w:val="0"/>
                <w:sz w:val="22"/>
                <w:szCs w:val="22"/>
                <w:highlight w:val="none"/>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11</w:t>
            </w:r>
          </w:p>
        </w:tc>
        <w:tc>
          <w:tcPr>
            <w:tcW w:w="342"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_GB2312" w:hAnsi="宋体" w:eastAsia="仿宋_GB2312" w:cs="仿宋_GB2312"/>
                <w:i w:val="0"/>
                <w:color w:val="auto"/>
                <w:sz w:val="22"/>
                <w:szCs w:val="22"/>
                <w:highlight w:val="none"/>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劳动年龄人口平均受教育年限</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年</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10.8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11.5</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12</w:t>
            </w:r>
          </w:p>
        </w:tc>
        <w:tc>
          <w:tcPr>
            <w:tcW w:w="342"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_GB2312" w:hAnsi="宋体" w:eastAsia="仿宋_GB2312" w:cs="仿宋_GB2312"/>
                <w:i w:val="0"/>
                <w:color w:val="auto"/>
                <w:sz w:val="22"/>
                <w:szCs w:val="22"/>
                <w:highlight w:val="none"/>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人均预期寿命</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岁</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81</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13</w:t>
            </w:r>
          </w:p>
        </w:tc>
        <w:tc>
          <w:tcPr>
            <w:tcW w:w="342"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_GB2312" w:hAnsi="宋体" w:eastAsia="仿宋_GB2312" w:cs="仿宋_GB2312"/>
                <w:i w:val="0"/>
                <w:color w:val="auto"/>
                <w:sz w:val="22"/>
                <w:szCs w:val="22"/>
                <w:highlight w:val="none"/>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每千人口拥有执业（助理）医师数</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人</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1.9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3.1</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14</w:t>
            </w:r>
          </w:p>
        </w:tc>
        <w:tc>
          <w:tcPr>
            <w:tcW w:w="342"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_GB2312" w:hAnsi="宋体" w:eastAsia="仿宋_GB2312" w:cs="仿宋_GB2312"/>
                <w:i w:val="0"/>
                <w:color w:val="auto"/>
                <w:sz w:val="22"/>
                <w:szCs w:val="22"/>
                <w:highlight w:val="none"/>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基本养老保险参保率</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98.10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98.20</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highlight w:val="none"/>
                <w:u w:val="none"/>
                <w:lang w:val="en-US" w:eastAsia="zh-CN" w:bidi="ar"/>
              </w:rPr>
            </w:pPr>
            <w:r>
              <w:rPr>
                <w:rFonts w:hint="eastAsia" w:ascii="仿宋_GB2312" w:hAnsi="宋体" w:eastAsia="仿宋_GB2312" w:cs="仿宋_GB2312"/>
                <w:i w:val="0"/>
                <w:color w:val="auto"/>
                <w:kern w:val="0"/>
                <w:sz w:val="22"/>
                <w:szCs w:val="22"/>
                <w:highlight w:val="none"/>
                <w:u w:val="none"/>
                <w:lang w:val="en-US" w:eastAsia="zh-CN" w:bidi="ar"/>
              </w:rPr>
              <w:t>15</w:t>
            </w:r>
          </w:p>
        </w:tc>
        <w:tc>
          <w:tcPr>
            <w:tcW w:w="342" w:type="dxa"/>
            <w:vMerge w:val="continue"/>
            <w:tcBorders>
              <w:left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_GB2312" w:hAnsi="宋体" w:eastAsia="仿宋_GB2312" w:cs="仿宋_GB2312"/>
                <w:i w:val="0"/>
                <w:color w:val="auto"/>
                <w:sz w:val="22"/>
                <w:szCs w:val="22"/>
                <w:highlight w:val="none"/>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2"/>
                <w:szCs w:val="22"/>
                <w:highlight w:val="none"/>
                <w:u w:val="none"/>
                <w:lang w:val="en-US" w:eastAsia="zh-CN" w:bidi="ar"/>
              </w:rPr>
            </w:pPr>
            <w:r>
              <w:rPr>
                <w:rFonts w:hint="eastAsia" w:ascii="仿宋_GB2312" w:hAnsi="宋体" w:eastAsia="仿宋_GB2312" w:cs="仿宋_GB2312"/>
                <w:i w:val="0"/>
                <w:color w:val="auto"/>
                <w:kern w:val="0"/>
                <w:sz w:val="22"/>
                <w:szCs w:val="22"/>
                <w:highlight w:val="none"/>
                <w:u w:val="none"/>
                <w:lang w:val="en-US" w:eastAsia="zh-CN" w:bidi="ar"/>
              </w:rPr>
              <w:t>每千人口拥有3岁以下婴幼儿托位数</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highlight w:val="none"/>
                <w:u w:val="none"/>
                <w:lang w:val="en-US" w:eastAsia="zh-CN" w:bidi="ar"/>
              </w:rPr>
            </w:pPr>
            <w:r>
              <w:rPr>
                <w:rFonts w:hint="eastAsia" w:ascii="仿宋_GB2312" w:hAnsi="宋体" w:eastAsia="仿宋_GB2312" w:cs="仿宋_GB2312"/>
                <w:i w:val="0"/>
                <w:color w:val="auto"/>
                <w:kern w:val="0"/>
                <w:sz w:val="22"/>
                <w:szCs w:val="22"/>
                <w:highlight w:val="none"/>
                <w:u w:val="none"/>
                <w:lang w:val="en-US" w:eastAsia="zh-CN" w:bidi="ar"/>
              </w:rPr>
              <w:t>个</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highlight w:val="none"/>
                <w:u w:val="none"/>
                <w:lang w:val="en-US" w:eastAsia="zh-CN" w:bidi="ar"/>
              </w:rPr>
            </w:pPr>
            <w:r>
              <w:rPr>
                <w:rFonts w:hint="eastAsia" w:ascii="仿宋_GB2312" w:hAnsi="宋体" w:eastAsia="仿宋_GB2312" w:cs="仿宋_GB2312"/>
                <w:i w:val="0"/>
                <w:color w:val="auto"/>
                <w:kern w:val="0"/>
                <w:sz w:val="22"/>
                <w:szCs w:val="22"/>
                <w:highlight w:val="none"/>
                <w:u w:val="none"/>
                <w:lang w:val="en-US" w:eastAsia="zh-CN" w:bidi="ar"/>
              </w:rPr>
              <w:t>0.87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highlight w:val="none"/>
                <w:u w:val="none"/>
                <w:lang w:val="en-US" w:eastAsia="zh-CN" w:bidi="ar"/>
              </w:rPr>
            </w:pPr>
            <w:r>
              <w:rPr>
                <w:rFonts w:hint="eastAsia" w:ascii="仿宋_GB2312" w:hAnsi="宋体" w:eastAsia="仿宋_GB2312" w:cs="仿宋_GB2312"/>
                <w:i w:val="0"/>
                <w:color w:val="auto"/>
                <w:kern w:val="0"/>
                <w:sz w:val="22"/>
                <w:szCs w:val="22"/>
                <w:highlight w:val="none"/>
                <w:u w:val="none"/>
                <w:lang w:val="en-US" w:eastAsia="zh-CN" w:bidi="ar"/>
              </w:rPr>
              <w:t>3</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highlight w:val="none"/>
                <w:u w:val="none"/>
                <w:lang w:val="en-US" w:eastAsia="zh-CN" w:bidi="ar"/>
              </w:rPr>
            </w:pPr>
            <w:r>
              <w:rPr>
                <w:rFonts w:hint="eastAsia" w:ascii="仿宋_GB2312" w:hAnsi="宋体" w:eastAsia="仿宋_GB2312" w:cs="仿宋_GB2312"/>
                <w:i w:val="0"/>
                <w:color w:val="auto"/>
                <w:kern w:val="0"/>
                <w:sz w:val="22"/>
                <w:szCs w:val="22"/>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2"/>
                <w:szCs w:val="22"/>
                <w:highlight w:val="none"/>
                <w:u w:val="none"/>
                <w:lang w:val="en-US"/>
              </w:rPr>
            </w:pPr>
            <w:r>
              <w:rPr>
                <w:rFonts w:hint="eastAsia" w:ascii="仿宋_GB2312" w:hAnsi="宋体" w:eastAsia="仿宋_GB2312" w:cs="仿宋_GB2312"/>
                <w:i w:val="0"/>
                <w:color w:val="auto"/>
                <w:kern w:val="0"/>
                <w:sz w:val="22"/>
                <w:szCs w:val="22"/>
                <w:highlight w:val="none"/>
                <w:u w:val="none"/>
                <w:lang w:val="en-US" w:eastAsia="zh-CN" w:bidi="ar"/>
              </w:rPr>
              <w:t>16</w:t>
            </w:r>
          </w:p>
        </w:tc>
        <w:tc>
          <w:tcPr>
            <w:tcW w:w="34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_GB2312" w:hAnsi="宋体" w:eastAsia="仿宋_GB2312" w:cs="仿宋_GB2312"/>
                <w:i w:val="0"/>
                <w:color w:val="auto"/>
                <w:sz w:val="22"/>
                <w:szCs w:val="22"/>
                <w:highlight w:val="none"/>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安居型商品房建设套数</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套</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869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2"/>
                <w:szCs w:val="22"/>
                <w:highlight w:val="none"/>
                <w:u w:val="none"/>
                <w:lang w:val="en-US"/>
              </w:rPr>
            </w:pPr>
            <w:r>
              <w:rPr>
                <w:rFonts w:hint="eastAsia" w:ascii="仿宋_GB2312" w:hAnsi="宋体" w:eastAsia="仿宋_GB2312" w:cs="仿宋_GB2312"/>
                <w:i w:val="0"/>
                <w:color w:val="auto"/>
                <w:kern w:val="0"/>
                <w:sz w:val="22"/>
                <w:szCs w:val="22"/>
                <w:highlight w:val="none"/>
                <w:u w:val="none"/>
                <w:lang w:val="en-US" w:eastAsia="zh-CN" w:bidi="ar"/>
              </w:rPr>
              <w:t>5000</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_GB2312" w:hAnsi="宋体" w:eastAsia="仿宋_GB2312" w:cs="仿宋_GB2312"/>
                <w:i w:val="0"/>
                <w:color w:val="auto"/>
                <w:kern w:val="0"/>
                <w:sz w:val="22"/>
                <w:szCs w:val="22"/>
                <w:highlight w:val="none"/>
                <w:u w:val="none"/>
                <w:lang w:val="en-US" w:eastAsia="zh-CN" w:bidi="ar"/>
              </w:rPr>
            </w:pPr>
            <w:r>
              <w:rPr>
                <w:rFonts w:hint="eastAsia" w:ascii="黑体" w:hAnsi="宋体" w:eastAsia="黑体" w:cs="黑体"/>
                <w:i w:val="0"/>
                <w:color w:val="auto"/>
                <w:sz w:val="22"/>
                <w:szCs w:val="22"/>
                <w:highlight w:val="none"/>
                <w:u w:val="none"/>
                <w:lang w:eastAsia="zh-CN"/>
              </w:rPr>
              <w:t>类别</w:t>
            </w:r>
          </w:p>
        </w:tc>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_GB2312" w:hAnsi="宋体" w:eastAsia="仿宋_GB2312" w:cs="仿宋_GB2312"/>
                <w:i w:val="0"/>
                <w:color w:val="auto"/>
                <w:sz w:val="22"/>
                <w:szCs w:val="22"/>
                <w:highlight w:val="none"/>
                <w:u w:val="none"/>
              </w:rPr>
            </w:pPr>
            <w:r>
              <w:rPr>
                <w:rFonts w:hint="eastAsia" w:ascii="黑体" w:hAnsi="宋体" w:eastAsia="黑体" w:cs="黑体"/>
                <w:i w:val="0"/>
                <w:color w:val="auto"/>
                <w:sz w:val="22"/>
                <w:szCs w:val="22"/>
                <w:highlight w:val="none"/>
                <w:u w:val="none"/>
                <w:lang w:eastAsia="zh-CN"/>
              </w:rPr>
              <w:t>序号</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kern w:val="0"/>
                <w:sz w:val="22"/>
                <w:szCs w:val="22"/>
                <w:highlight w:val="none"/>
                <w:u w:val="none"/>
                <w:lang w:val="en-US" w:eastAsia="zh-CN" w:bidi="ar"/>
              </w:rPr>
            </w:pPr>
            <w:r>
              <w:rPr>
                <w:rFonts w:hint="eastAsia" w:ascii="黑体" w:hAnsi="宋体" w:eastAsia="黑体" w:cs="黑体"/>
                <w:i w:val="0"/>
                <w:color w:val="auto"/>
                <w:sz w:val="22"/>
                <w:szCs w:val="22"/>
                <w:highlight w:val="none"/>
                <w:u w:val="none"/>
                <w:lang w:eastAsia="zh-CN"/>
              </w:rPr>
              <w:t>指标名称</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auto"/>
                <w:kern w:val="0"/>
                <w:sz w:val="22"/>
                <w:szCs w:val="22"/>
                <w:highlight w:val="none"/>
                <w:u w:val="none"/>
                <w:lang w:val="en-US" w:eastAsia="zh-CN" w:bidi="ar"/>
              </w:rPr>
            </w:pPr>
            <w:r>
              <w:rPr>
                <w:rFonts w:hint="eastAsia" w:ascii="黑体" w:hAnsi="宋体" w:eastAsia="黑体" w:cs="黑体"/>
                <w:i w:val="0"/>
                <w:color w:val="auto"/>
                <w:sz w:val="22"/>
                <w:szCs w:val="22"/>
                <w:highlight w:val="none"/>
                <w:u w:val="none"/>
                <w:lang w:eastAsia="zh-CN"/>
              </w:rPr>
              <w:t>单位</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highlight w:val="none"/>
                <w:u w:val="none"/>
                <w:lang w:val="en-US" w:eastAsia="zh-CN" w:bidi="ar"/>
              </w:rPr>
            </w:pPr>
            <w:r>
              <w:rPr>
                <w:rFonts w:hint="eastAsia" w:ascii="黑体" w:hAnsi="宋体" w:eastAsia="黑体" w:cs="黑体"/>
                <w:i w:val="0"/>
                <w:color w:val="auto"/>
                <w:kern w:val="0"/>
                <w:sz w:val="22"/>
                <w:szCs w:val="22"/>
                <w:highlight w:val="none"/>
                <w:u w:val="none"/>
                <w:lang w:val="en-US" w:eastAsia="zh-CN" w:bidi="ar"/>
              </w:rPr>
              <w:t>2020年</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highlight w:val="none"/>
                <w:u w:val="none"/>
                <w:lang w:val="en-US" w:eastAsia="zh-CN" w:bidi="ar"/>
              </w:rPr>
            </w:pPr>
            <w:r>
              <w:rPr>
                <w:rFonts w:hint="eastAsia" w:ascii="黑体" w:hAnsi="宋体" w:eastAsia="黑体" w:cs="黑体"/>
                <w:i w:val="0"/>
                <w:color w:val="auto"/>
                <w:kern w:val="0"/>
                <w:sz w:val="22"/>
                <w:szCs w:val="22"/>
                <w:highlight w:val="none"/>
                <w:u w:val="none"/>
                <w:lang w:val="en-US" w:eastAsia="zh-CN" w:bidi="ar"/>
              </w:rPr>
              <w:t>2025年</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lang w:val="en-US" w:eastAsia="zh-CN"/>
              </w:rPr>
            </w:pPr>
            <w:r>
              <w:rPr>
                <w:rFonts w:hint="eastAsia" w:ascii="黑体" w:hAnsi="宋体" w:eastAsia="黑体" w:cs="黑体"/>
                <w:i w:val="0"/>
                <w:color w:val="auto"/>
                <w:kern w:val="0"/>
                <w:sz w:val="22"/>
                <w:szCs w:val="22"/>
                <w:highlight w:val="none"/>
                <w:u w:val="none"/>
                <w:lang w:val="en-US" w:eastAsia="zh-CN" w:bidi="ar"/>
              </w:rPr>
              <w:t>年均增长</w:t>
            </w:r>
            <w:r>
              <w:rPr>
                <w:rFonts w:hint="eastAsia" w:ascii="黑体" w:hAnsi="宋体" w:eastAsia="黑体" w:cs="黑体"/>
                <w:i w:val="0"/>
                <w:color w:val="auto"/>
                <w:kern w:val="0"/>
                <w:sz w:val="22"/>
                <w:szCs w:val="22"/>
                <w:highlight w:val="none"/>
                <w:u w:val="none"/>
                <w:lang w:val="en-US" w:eastAsia="zh-CN" w:bidi="ar"/>
              </w:rPr>
              <w:br w:type="textWrapping"/>
            </w:r>
            <w:r>
              <w:rPr>
                <w:rFonts w:hint="eastAsia" w:ascii="黑体" w:hAnsi="宋体" w:eastAsia="黑体" w:cs="黑体"/>
                <w:i w:val="0"/>
                <w:color w:val="auto"/>
                <w:kern w:val="0"/>
                <w:sz w:val="22"/>
                <w:szCs w:val="22"/>
                <w:highlight w:val="none"/>
                <w:u w:val="none"/>
                <w:lang w:val="en-US" w:eastAsia="zh-CN" w:bidi="ar"/>
              </w:rPr>
              <w:t>（或累计,%）</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pPr>
              <w:jc w:val="center"/>
              <w:rPr>
                <w:rFonts w:hint="eastAsia" w:ascii="仿宋_GB2312" w:hAnsi="宋体" w:eastAsia="仿宋_GB2312" w:cs="仿宋_GB2312"/>
                <w:i w:val="0"/>
                <w:color w:val="auto"/>
                <w:kern w:val="0"/>
                <w:sz w:val="22"/>
                <w:szCs w:val="22"/>
                <w:highlight w:val="none"/>
                <w:u w:val="none"/>
                <w:lang w:val="en-US" w:eastAsia="zh-CN" w:bidi="ar"/>
              </w:rPr>
            </w:pPr>
            <w:r>
              <w:rPr>
                <w:rFonts w:hint="eastAsia" w:ascii="黑体" w:hAnsi="宋体" w:eastAsia="黑体" w:cs="黑体"/>
                <w:i w:val="0"/>
                <w:color w:val="auto"/>
                <w:sz w:val="22"/>
                <w:szCs w:val="22"/>
                <w:highlight w:val="none"/>
                <w:u w:val="none"/>
                <w:lang w:eastAsia="zh-CN"/>
              </w:rPr>
              <w:t>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17</w:t>
            </w:r>
          </w:p>
        </w:tc>
        <w:tc>
          <w:tcPr>
            <w:tcW w:w="3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生态文明</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单位地区生产总值能耗降幅</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完成省下达任务</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18</w:t>
            </w: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_GB2312" w:hAnsi="宋体" w:eastAsia="仿宋_GB2312" w:cs="仿宋_GB2312"/>
                <w:i w:val="0"/>
                <w:color w:val="auto"/>
                <w:sz w:val="22"/>
                <w:szCs w:val="22"/>
                <w:highlight w:val="none"/>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单位地区生产总值二氧化碳排放降幅</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-12.00%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完成省下达任务</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19</w:t>
            </w: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_GB2312" w:hAnsi="宋体" w:eastAsia="仿宋_GB2312" w:cs="仿宋_GB2312"/>
                <w:i w:val="0"/>
                <w:color w:val="auto"/>
                <w:sz w:val="22"/>
                <w:szCs w:val="22"/>
                <w:highlight w:val="none"/>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细颗粒物（PM2.5）浓度</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微克/立方米</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15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完成省下达任务</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20</w:t>
            </w: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_GB2312" w:hAnsi="宋体" w:eastAsia="仿宋_GB2312" w:cs="仿宋_GB2312"/>
                <w:i w:val="0"/>
                <w:color w:val="auto"/>
                <w:sz w:val="22"/>
                <w:szCs w:val="22"/>
                <w:highlight w:val="none"/>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空气质量优良天数比例</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完成省下达任务</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21</w:t>
            </w: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_GB2312" w:hAnsi="宋体" w:eastAsia="仿宋_GB2312" w:cs="仿宋_GB2312"/>
                <w:i w:val="0"/>
                <w:color w:val="auto"/>
                <w:sz w:val="22"/>
                <w:szCs w:val="22"/>
                <w:highlight w:val="none"/>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达到或好于III类水体比例</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91.70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完成省下达任务</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22</w:t>
            </w:r>
          </w:p>
        </w:tc>
        <w:tc>
          <w:tcPr>
            <w:tcW w:w="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仿宋_GB2312" w:hAnsi="宋体" w:eastAsia="仿宋_GB2312" w:cs="仿宋_GB2312"/>
                <w:i w:val="0"/>
                <w:color w:val="auto"/>
                <w:sz w:val="22"/>
                <w:szCs w:val="22"/>
                <w:highlight w:val="none"/>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森林覆盖率</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55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55</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auto"/>
                <w:sz w:val="22"/>
                <w:szCs w:val="22"/>
                <w:highlight w:val="none"/>
                <w:u w:val="none"/>
                <w:lang w:val="en-US" w:eastAsia="zh-CN"/>
              </w:rPr>
            </w:pPr>
            <w:r>
              <w:rPr>
                <w:rFonts w:hint="eastAsia" w:ascii="仿宋_GB2312" w:hAnsi="宋体" w:eastAsia="仿宋_GB2312" w:cs="仿宋_GB2312"/>
                <w:i w:val="0"/>
                <w:color w:val="auto"/>
                <w:sz w:val="22"/>
                <w:szCs w:val="22"/>
                <w:highlight w:val="none"/>
                <w:u w:val="none"/>
                <w:lang w:val="en-US" w:eastAsia="zh-CN"/>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right w:w="0"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2"/>
                <w:szCs w:val="22"/>
                <w:highlight w:val="none"/>
                <w:u w:val="none"/>
              </w:rPr>
            </w:pPr>
            <w:r>
              <w:rPr>
                <w:rFonts w:hint="eastAsia" w:ascii="仿宋_GB2312" w:hAnsi="宋体" w:eastAsia="仿宋_GB2312" w:cs="仿宋_GB2312"/>
                <w:i w:val="0"/>
                <w:color w:val="auto"/>
                <w:kern w:val="0"/>
                <w:sz w:val="22"/>
                <w:szCs w:val="22"/>
                <w:highlight w:val="none"/>
                <w:u w:val="none"/>
                <w:lang w:val="en-US" w:eastAsia="zh-CN" w:bidi="ar"/>
              </w:rPr>
              <w:t>约束性</w:t>
            </w:r>
          </w:p>
        </w:tc>
      </w:tr>
    </w:tbl>
    <w:p>
      <w:pPr>
        <w:pStyle w:val="2"/>
        <w:keepNext w:val="0"/>
        <w:keepLines w:val="0"/>
        <w:pageBreakBefore w:val="0"/>
        <w:widowControl w:val="0"/>
        <w:kinsoku/>
        <w:wordWrap/>
        <w:overflowPunct/>
        <w:topLinePunct w:val="0"/>
        <w:autoSpaceDE w:val="0"/>
        <w:autoSpaceDN w:val="0"/>
        <w:bidi w:val="0"/>
        <w:adjustRightInd w:val="0"/>
        <w:snapToGrid/>
        <w:spacing w:before="340"/>
        <w:jc w:val="center"/>
        <w:textAlignment w:val="auto"/>
        <w:rPr>
          <w:rFonts w:hint="eastAsia" w:ascii="Times New Roman" w:hAnsi="Times New Roman" w:eastAsia="黑体" w:cs="Times New Roman"/>
          <w:b/>
          <w:bCs/>
          <w:color w:val="auto"/>
          <w:w w:val="100"/>
          <w:kern w:val="44"/>
          <w:sz w:val="44"/>
          <w:szCs w:val="44"/>
          <w:highlight w:val="none"/>
          <w:lang w:val="en-US" w:eastAsia="zh-CN" w:bidi="ar-SA"/>
        </w:rPr>
      </w:pPr>
      <w:bookmarkStart w:id="68" w:name="_Toc19744_WPSOffice_Level1"/>
      <w:bookmarkStart w:id="69" w:name="_Toc57914183"/>
      <w:bookmarkStart w:id="70" w:name="_Toc9779_WPSOffice_Level1"/>
      <w:bookmarkStart w:id="71" w:name="_Toc3403_WPSOffice_Level1"/>
      <w:r>
        <w:rPr>
          <w:rFonts w:hint="eastAsia" w:ascii="Times New Roman" w:hAnsi="Times New Roman" w:eastAsia="黑体" w:cs="Times New Roman"/>
          <w:b/>
          <w:bCs/>
          <w:color w:val="auto"/>
          <w:w w:val="100"/>
          <w:kern w:val="44"/>
          <w:sz w:val="44"/>
          <w:szCs w:val="44"/>
          <w:highlight w:val="none"/>
          <w:lang w:val="en-US" w:eastAsia="zh-CN" w:bidi="ar-SA"/>
        </w:rPr>
        <w:t xml:space="preserve">第二章 </w:t>
      </w:r>
      <w:bookmarkEnd w:id="68"/>
      <w:bookmarkEnd w:id="69"/>
      <w:r>
        <w:rPr>
          <w:rFonts w:hint="eastAsia" w:ascii="Times New Roman" w:hAnsi="Times New Roman" w:eastAsia="黑体" w:cs="Times New Roman"/>
          <w:b/>
          <w:bCs/>
          <w:color w:val="auto"/>
          <w:w w:val="100"/>
          <w:kern w:val="44"/>
          <w:sz w:val="44"/>
          <w:szCs w:val="44"/>
          <w:highlight w:val="none"/>
          <w:lang w:val="en-US" w:eastAsia="zh-CN" w:bidi="ar-SA"/>
        </w:rPr>
        <w:t>积极推进改革创新和联动发展</w:t>
      </w:r>
      <w:bookmarkEnd w:id="70"/>
      <w:bookmarkEnd w:id="71"/>
      <w:bookmarkStart w:id="72" w:name="_Toc6037_WPSOffice_Level2"/>
      <w:r>
        <w:rPr>
          <w:rFonts w:hint="eastAsia" w:ascii="Times New Roman" w:hAnsi="Times New Roman" w:eastAsia="黑体" w:cs="Times New Roman"/>
          <w:b/>
          <w:bCs/>
          <w:color w:val="auto"/>
          <w:w w:val="100"/>
          <w:kern w:val="44"/>
          <w:sz w:val="44"/>
          <w:szCs w:val="44"/>
          <w:highlight w:val="none"/>
          <w:lang w:val="en-US" w:eastAsia="zh-CN" w:bidi="ar-SA"/>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after="340"/>
        <w:jc w:val="center"/>
        <w:textAlignment w:val="auto"/>
        <w:rPr>
          <w:rFonts w:hint="eastAsia" w:ascii="Times New Roman" w:hAnsi="Times New Roman" w:eastAsia="黑体" w:cs="Times New Roman"/>
          <w:b/>
          <w:bCs/>
          <w:color w:val="auto"/>
          <w:w w:val="100"/>
          <w:kern w:val="44"/>
          <w:sz w:val="44"/>
          <w:szCs w:val="44"/>
          <w:highlight w:val="none"/>
          <w:lang w:val="en-US" w:eastAsia="zh-CN" w:bidi="ar-SA"/>
        </w:rPr>
      </w:pPr>
      <w:bookmarkStart w:id="73" w:name="_Toc24643_WPSOffice_Level2"/>
      <w:bookmarkStart w:id="74" w:name="_Toc25546_WPSOffice_Level2"/>
      <w:bookmarkStart w:id="75" w:name="_Toc28451_WPSOffice_Level2"/>
      <w:bookmarkStart w:id="76" w:name="_Toc6574_WPSOffice_Level2"/>
      <w:r>
        <w:rPr>
          <w:rFonts w:hint="eastAsia" w:ascii="Times New Roman" w:hAnsi="Times New Roman" w:eastAsia="黑体" w:cs="Times New Roman"/>
          <w:b/>
          <w:bCs/>
          <w:color w:val="auto"/>
          <w:w w:val="100"/>
          <w:kern w:val="44"/>
          <w:sz w:val="44"/>
          <w:szCs w:val="44"/>
          <w:highlight w:val="none"/>
          <w:lang w:val="en-US" w:eastAsia="zh-CN" w:bidi="ar-SA"/>
        </w:rPr>
        <w:t>主动融入自由贸易港建设</w:t>
      </w:r>
      <w:bookmarkEnd w:id="72"/>
      <w:bookmarkEnd w:id="73"/>
      <w:bookmarkEnd w:id="74"/>
      <w:bookmarkEnd w:id="75"/>
      <w:bookmarkEnd w:id="76"/>
      <w:bookmarkStart w:id="77" w:name="_Toc26564_WPSOffice_Level2"/>
      <w:bookmarkStart w:id="78" w:name="_Toc57320044"/>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树立“全省一盘棋、全岛同城化”理念，立足省委赋予儋州的职责使命，积极主动作为，找准在海南自由贸易港建设中的功能定位，认真落实自由贸易港重点任务安排，坚持把制度集成创新摆在突出位置，加快实施联动发展，推进一流营商环境建设，实行高水平开放合作，主动融入自由贸易港建设，实现自由贸易港政策取得早期收获。</w:t>
      </w:r>
      <w:bookmarkStart w:id="79" w:name="_Toc14152_WPSOffice_Level2"/>
    </w:p>
    <w:p>
      <w:pPr>
        <w:pStyle w:val="2"/>
        <w:keepNext w:val="0"/>
        <w:keepLines w:val="0"/>
        <w:pageBreakBefore w:val="0"/>
        <w:widowControl w:val="0"/>
        <w:kinsoku/>
        <w:wordWrap/>
        <w:overflowPunct/>
        <w:topLinePunct w:val="0"/>
        <w:autoSpaceDE w:val="0"/>
        <w:autoSpaceDN w:val="0"/>
        <w:bidi w:val="0"/>
        <w:adjustRightInd w:val="0"/>
        <w:snapToGrid/>
        <w:spacing w:before="260" w:after="260" w:line="560" w:lineRule="exact"/>
        <w:jc w:val="center"/>
        <w:textAlignment w:val="auto"/>
        <w:rPr>
          <w:rFonts w:hint="eastAsia"/>
          <w:color w:val="auto"/>
          <w:highlight w:val="none"/>
          <w:lang w:val="en-US" w:eastAsia="zh-CN"/>
        </w:rPr>
      </w:pPr>
      <w:bookmarkStart w:id="80" w:name="_Toc4676_WPSOffice_Level2"/>
      <w:r>
        <w:rPr>
          <w:rFonts w:hint="eastAsia" w:ascii="Arial" w:hAnsi="Arial" w:eastAsia="楷体_GB2312" w:cs="Times New Roman"/>
          <w:b/>
          <w:bCs/>
          <w:color w:val="auto"/>
          <w:kern w:val="2"/>
          <w:sz w:val="32"/>
          <w:szCs w:val="32"/>
          <w:highlight w:val="none"/>
          <w:lang w:val="en-US" w:eastAsia="zh-CN" w:bidi="ar-SA"/>
        </w:rPr>
        <w:t>第一节 突出制度集成创新，推动重点领域改革</w:t>
      </w:r>
      <w:bookmarkEnd w:id="79"/>
      <w:bookmarkEnd w:id="80"/>
    </w:p>
    <w:p>
      <w:pPr>
        <w:pStyle w:val="2"/>
        <w:pageBreakBefore w:val="0"/>
        <w:widowControl w:val="0"/>
        <w:kinsoku/>
        <w:overflowPunct/>
        <w:topLinePunct w:val="0"/>
        <w:bidi w:val="0"/>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rPr>
        <w:t>深化“多规合一”改革，强化用海用地等要素保障。</w:t>
      </w:r>
      <w:r>
        <w:rPr>
          <w:rFonts w:hint="eastAsia" w:ascii="仿宋_GB2312" w:hAnsi="仿宋_GB2312" w:eastAsia="仿宋_GB2312" w:cs="仿宋_GB2312"/>
          <w:color w:val="auto"/>
          <w:kern w:val="2"/>
          <w:sz w:val="32"/>
          <w:szCs w:val="32"/>
          <w:highlight w:val="none"/>
          <w:lang w:val="en-US" w:eastAsia="zh-CN"/>
        </w:rPr>
        <w:t>建立完善统一高效的国土空间规划编制体系、实施保障体系，推进国土空间用途管制行政审批制度改革，实现土地、海洋等资源要素的合理配置、高效利用。</w:t>
      </w:r>
    </w:p>
    <w:p>
      <w:pPr>
        <w:pageBreakBefore w:val="0"/>
        <w:widowControl w:val="0"/>
        <w:kinsoku/>
        <w:overflowPunct/>
        <w:topLinePunct w:val="0"/>
        <w:bidi w:val="0"/>
        <w:snapToGrid/>
        <w:spacing w:line="560" w:lineRule="exact"/>
        <w:ind w:firstLine="643" w:firstLineChars="200"/>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b/>
          <w:bCs/>
          <w:color w:val="auto"/>
          <w:kern w:val="2"/>
          <w:sz w:val="32"/>
          <w:szCs w:val="32"/>
          <w:highlight w:val="none"/>
          <w:lang w:eastAsia="zh-CN"/>
        </w:rPr>
        <w:t>推动园区改革，构建产业发展新平台。</w:t>
      </w:r>
      <w:r>
        <w:rPr>
          <w:rFonts w:hint="eastAsia" w:ascii="仿宋_GB2312" w:hAnsi="仿宋_GB2312" w:eastAsia="仿宋_GB2312" w:cs="仿宋_GB2312"/>
          <w:b w:val="0"/>
          <w:bCs w:val="0"/>
          <w:color w:val="auto"/>
          <w:kern w:val="2"/>
          <w:sz w:val="32"/>
          <w:szCs w:val="32"/>
          <w:highlight w:val="none"/>
          <w:lang w:eastAsia="zh-CN"/>
        </w:rPr>
        <w:t>支持园区与国内先进地区开展合作，</w:t>
      </w:r>
      <w:r>
        <w:rPr>
          <w:rFonts w:hint="eastAsia" w:ascii="仿宋_GB2312" w:hAnsi="仿宋_GB2312" w:eastAsia="仿宋_GB2312" w:cs="仿宋_GB2312"/>
          <w:color w:val="auto"/>
          <w:kern w:val="2"/>
          <w:sz w:val="32"/>
          <w:szCs w:val="32"/>
          <w:highlight w:val="none"/>
          <w:lang w:eastAsia="zh-CN"/>
        </w:rPr>
        <w:t>探索建立集园区基础设施建设、服务开发、招商引资、运营管理为一体的现代化管理模式，加快推动园区创新链、产业链、价值链跨区域优化布局，促进资源整合，构建共建共赢发展新格局。</w:t>
      </w:r>
    </w:p>
    <w:p>
      <w:pPr>
        <w:pStyle w:val="2"/>
        <w:pageBreakBefore w:val="0"/>
        <w:widowControl w:val="0"/>
        <w:kinsoku/>
        <w:overflowPunct/>
        <w:topLinePunct w:val="0"/>
        <w:bidi w:val="0"/>
        <w:snapToGrid/>
        <w:spacing w:line="560" w:lineRule="exact"/>
        <w:ind w:firstLine="643" w:firstLineChars="200"/>
        <w:textAlignment w:val="auto"/>
        <w:rPr>
          <w:rFonts w:hint="eastAsia" w:ascii="仿宋_GB2312" w:hAnsi="宋体" w:eastAsia="仿宋_GB2312" w:cs="宋体"/>
          <w:color w:val="auto"/>
          <w:kern w:val="0"/>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bidi="ar-SA"/>
        </w:rPr>
        <w:t>盘活国有资产，深化搭建国企平台。</w:t>
      </w:r>
      <w:r>
        <w:rPr>
          <w:rFonts w:hint="eastAsia" w:ascii="仿宋_GB2312" w:hAnsi="宋体" w:eastAsia="仿宋_GB2312" w:cs="宋体"/>
          <w:color w:val="auto"/>
          <w:kern w:val="0"/>
          <w:sz w:val="32"/>
          <w:szCs w:val="32"/>
          <w:highlight w:val="none"/>
        </w:rPr>
        <w:t>盘活</w:t>
      </w:r>
      <w:r>
        <w:rPr>
          <w:rFonts w:hint="eastAsia" w:ascii="仿宋_GB2312" w:hAnsi="仿宋_GB2312" w:eastAsia="仿宋_GB2312" w:cs="仿宋_GB2312"/>
          <w:color w:val="auto"/>
          <w:kern w:val="2"/>
          <w:sz w:val="32"/>
          <w:szCs w:val="32"/>
          <w:highlight w:val="none"/>
          <w:lang w:val="en-US" w:eastAsia="zh-CN" w:bidi="ar-SA"/>
        </w:rPr>
        <w:t>旅游、乡村振兴、城市基础设施、</w:t>
      </w:r>
      <w:r>
        <w:rPr>
          <w:rFonts w:hint="eastAsia" w:ascii="仿宋_GB2312" w:hAnsi="宋体" w:eastAsia="仿宋_GB2312" w:cs="宋体"/>
          <w:color w:val="auto"/>
          <w:kern w:val="0"/>
          <w:sz w:val="32"/>
          <w:szCs w:val="32"/>
          <w:highlight w:val="none"/>
        </w:rPr>
        <w:t>水务、港口、公共交通等领域</w:t>
      </w:r>
      <w:r>
        <w:rPr>
          <w:rFonts w:hint="eastAsia" w:ascii="仿宋_GB2312" w:hAnsi="宋体" w:eastAsia="仿宋_GB2312" w:cs="宋体"/>
          <w:color w:val="auto"/>
          <w:kern w:val="0"/>
          <w:sz w:val="32"/>
          <w:szCs w:val="32"/>
          <w:highlight w:val="none"/>
          <w:lang w:eastAsia="zh-CN"/>
        </w:rPr>
        <w:t>的</w:t>
      </w:r>
      <w:r>
        <w:rPr>
          <w:rFonts w:hint="eastAsia" w:ascii="仿宋_GB2312" w:hAnsi="宋体" w:eastAsia="仿宋_GB2312" w:cs="宋体"/>
          <w:color w:val="auto"/>
          <w:kern w:val="0"/>
          <w:sz w:val="32"/>
          <w:szCs w:val="32"/>
          <w:highlight w:val="none"/>
        </w:rPr>
        <w:t>国有资产,确保国有资产保值增值，构建</w:t>
      </w:r>
      <w:r>
        <w:rPr>
          <w:rFonts w:hint="eastAsia" w:ascii="仿宋_GB2312" w:hAnsi="宋体" w:eastAsia="仿宋_GB2312" w:cs="宋体"/>
          <w:color w:val="auto"/>
          <w:kern w:val="0"/>
          <w:sz w:val="32"/>
          <w:szCs w:val="32"/>
          <w:highlight w:val="none"/>
          <w:lang w:eastAsia="zh-CN"/>
        </w:rPr>
        <w:t>融资、运营、乡村振兴等三大国企</w:t>
      </w:r>
      <w:r>
        <w:rPr>
          <w:rFonts w:hint="eastAsia" w:ascii="仿宋_GB2312" w:hAnsi="宋体" w:eastAsia="仿宋_GB2312" w:cs="宋体"/>
          <w:color w:val="auto"/>
          <w:kern w:val="0"/>
          <w:sz w:val="32"/>
          <w:szCs w:val="32"/>
          <w:highlight w:val="none"/>
        </w:rPr>
        <w:t>平台</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实现基础设施建设、投融资</w:t>
      </w:r>
      <w:r>
        <w:rPr>
          <w:rFonts w:hint="eastAsia" w:ascii="仿宋_GB2312" w:hAnsi="宋体" w:eastAsia="仿宋_GB2312" w:cs="宋体"/>
          <w:color w:val="auto"/>
          <w:kern w:val="0"/>
          <w:sz w:val="32"/>
          <w:szCs w:val="32"/>
          <w:highlight w:val="none"/>
          <w:lang w:eastAsia="zh-CN"/>
        </w:rPr>
        <w:t>、经营管理、公共服务</w:t>
      </w:r>
      <w:r>
        <w:rPr>
          <w:rFonts w:hint="eastAsia" w:ascii="仿宋_GB2312" w:hAnsi="宋体" w:eastAsia="仿宋_GB2312" w:cs="宋体"/>
          <w:color w:val="auto"/>
          <w:kern w:val="0"/>
          <w:sz w:val="32"/>
          <w:szCs w:val="32"/>
          <w:highlight w:val="none"/>
        </w:rPr>
        <w:t>的良性循环。</w:t>
      </w:r>
      <w:r>
        <w:rPr>
          <w:rFonts w:hint="eastAsia" w:ascii="仿宋_GB2312" w:hAnsi="宋体" w:eastAsia="仿宋_GB2312" w:cs="宋体"/>
          <w:color w:val="auto"/>
          <w:kern w:val="0"/>
          <w:sz w:val="32"/>
          <w:szCs w:val="32"/>
          <w:highlight w:val="none"/>
          <w:lang w:eastAsia="zh-CN"/>
        </w:rPr>
        <w:t>深化乡村振兴投资公司整合农村生产要素、促进土地流转的体制机制。探索城投整合城市经营性资源，推进资源资产化进程。</w:t>
      </w:r>
    </w:p>
    <w:p>
      <w:pPr>
        <w:pStyle w:val="2"/>
        <w:pageBreakBefore w:val="0"/>
        <w:widowControl w:val="0"/>
        <w:kinsoku/>
        <w:overflowPunct/>
        <w:topLinePunct w:val="0"/>
        <w:bidi w:val="0"/>
        <w:snapToGrid/>
        <w:spacing w:line="560" w:lineRule="exact"/>
        <w:ind w:firstLine="643" w:firstLineChars="200"/>
        <w:textAlignment w:val="auto"/>
        <w:rPr>
          <w:rFonts w:hint="eastAsia" w:ascii="仿宋_GB2312" w:hAnsi="宋体" w:eastAsia="宋体" w:cs="宋体"/>
          <w:color w:val="auto"/>
          <w:kern w:val="0"/>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rPr>
        <w:t>坚持科技创新的核心地位，加快推进现代化建设。</w:t>
      </w:r>
      <w:r>
        <w:rPr>
          <w:rFonts w:hint="eastAsia" w:ascii="仿宋_GB2312" w:hAnsi="仿宋_GB2312" w:eastAsia="仿宋_GB2312" w:cs="仿宋_GB2312"/>
          <w:b w:val="0"/>
          <w:bCs w:val="0"/>
          <w:color w:val="auto"/>
          <w:kern w:val="2"/>
          <w:sz w:val="32"/>
          <w:szCs w:val="32"/>
          <w:highlight w:val="none"/>
          <w:lang w:val="en-US" w:eastAsia="zh-CN"/>
        </w:rPr>
        <w:t>健全科技创新体制和创新成果转化机制，推动科研力量优化配置和资源共享。</w:t>
      </w:r>
      <w:r>
        <w:rPr>
          <w:rFonts w:hint="eastAsia" w:ascii="仿宋_GB2312" w:hAnsi="仿宋_GB2312" w:eastAsia="仿宋_GB2312" w:cs="仿宋_GB2312"/>
          <w:color w:val="auto"/>
          <w:kern w:val="2"/>
          <w:sz w:val="32"/>
          <w:szCs w:val="32"/>
          <w:highlight w:val="none"/>
          <w:lang w:val="en-US" w:eastAsia="zh-CN"/>
        </w:rPr>
        <w:t>引导金融资本和民间资本进入创新领域，创新信用担保。发挥企业在科技创新中的主体作用，鼓励中小企业参与高新技术产业创新。推进科研院所、高校、企业科研力量优化配置和资源共享。大力支持中国热带农业科学院在儋州落地建设已获批的国家、省级科技创新平台或研究中心，打造国际一流的国家热带农业科学中心。支持企业、高校、科研院所在儋州独立或联合组建新型研发机构。</w:t>
      </w:r>
      <w:r>
        <w:rPr>
          <w:rFonts w:hint="eastAsia" w:ascii="仿宋_GB2312" w:hAnsi="仿宋_GB2312" w:eastAsia="仿宋_GB2312" w:cs="仿宋_GB2312"/>
          <w:b w:val="0"/>
          <w:bCs w:val="0"/>
          <w:color w:val="auto"/>
          <w:kern w:val="2"/>
          <w:sz w:val="32"/>
          <w:szCs w:val="32"/>
          <w:highlight w:val="none"/>
          <w:lang w:val="en-US" w:eastAsia="zh-CN"/>
        </w:rPr>
        <w:t>主动参与</w:t>
      </w:r>
      <w:r>
        <w:rPr>
          <w:rFonts w:hint="eastAsia" w:ascii="Times New Roman" w:hAnsi="Times New Roman" w:eastAsia="仿宋_GB2312" w:cs="Times New Roman"/>
          <w:b w:val="0"/>
          <w:bCs w:val="0"/>
          <w:color w:val="auto"/>
          <w:sz w:val="32"/>
          <w:szCs w:val="32"/>
          <w:highlight w:val="none"/>
          <w:shd w:val="clear" w:color="auto" w:fill="FFFFFF"/>
        </w:rPr>
        <w:t>创新型省份三年行动</w:t>
      </w:r>
      <w:r>
        <w:rPr>
          <w:rFonts w:hint="eastAsia" w:ascii="Times New Roman" w:hAnsi="Times New Roman" w:eastAsia="仿宋_GB2312" w:cs="Times New Roman"/>
          <w:b w:val="0"/>
          <w:bCs w:val="0"/>
          <w:color w:val="auto"/>
          <w:sz w:val="32"/>
          <w:szCs w:val="32"/>
          <w:highlight w:val="none"/>
          <w:shd w:val="clear" w:color="auto" w:fill="FFFFFF"/>
          <w:lang w:eastAsia="zh-CN"/>
        </w:rPr>
        <w:t>，</w:t>
      </w:r>
      <w:r>
        <w:rPr>
          <w:rFonts w:hint="eastAsia" w:ascii="Times New Roman" w:hAnsi="Times New Roman" w:eastAsia="仿宋_GB2312" w:cs="Times New Roman"/>
          <w:b w:val="0"/>
          <w:bCs w:val="0"/>
          <w:color w:val="auto"/>
          <w:sz w:val="32"/>
          <w:szCs w:val="32"/>
          <w:highlight w:val="none"/>
          <w:shd w:val="clear" w:color="auto" w:fill="FFFFFF"/>
        </w:rPr>
        <w:t>争取进入创新型市县行列</w:t>
      </w:r>
      <w:r>
        <w:rPr>
          <w:rFonts w:hint="eastAsia" w:eastAsia="宋体"/>
          <w:b w:val="0"/>
          <w:bCs w:val="0"/>
          <w:color w:val="auto"/>
          <w:highlight w:val="none"/>
          <w:lang w:eastAsia="zh-CN"/>
        </w:rPr>
        <w:t>。</w:t>
      </w:r>
    </w:p>
    <w:p>
      <w:pPr>
        <w:pStyle w:val="2"/>
        <w:pageBreakBefore w:val="0"/>
        <w:widowControl w:val="0"/>
        <w:kinsoku/>
        <w:overflowPunct/>
        <w:topLinePunct w:val="0"/>
        <w:bidi w:val="0"/>
        <w:snapToGrid/>
        <w:spacing w:line="560" w:lineRule="exact"/>
        <w:ind w:firstLine="643" w:firstLineChars="200"/>
        <w:textAlignment w:val="auto"/>
        <w:rPr>
          <w:rFonts w:hint="eastAsia" w:ascii="仿宋_GB2312" w:hAnsi="宋体" w:eastAsia="仿宋_GB2312" w:cs="宋体"/>
          <w:color w:val="auto"/>
          <w:kern w:val="0"/>
          <w:sz w:val="32"/>
          <w:szCs w:val="32"/>
          <w:highlight w:val="none"/>
          <w:lang w:eastAsia="zh-CN"/>
        </w:rPr>
      </w:pPr>
      <w:r>
        <w:rPr>
          <w:rFonts w:hint="eastAsia" w:ascii="仿宋_GB2312" w:hAnsi="仿宋_GB2312" w:eastAsia="仿宋_GB2312" w:cs="仿宋_GB2312"/>
          <w:b/>
          <w:bCs/>
          <w:color w:val="auto"/>
          <w:kern w:val="2"/>
          <w:sz w:val="32"/>
          <w:szCs w:val="32"/>
          <w:highlight w:val="none"/>
          <w:lang w:eastAsia="zh-CN"/>
        </w:rPr>
        <w:t>加快建设“智慧儋州”，提升社会治理能力。</w:t>
      </w:r>
      <w:r>
        <w:rPr>
          <w:rFonts w:hint="eastAsia" w:ascii="仿宋_GB2312" w:hAnsi="仿宋_GB2312" w:eastAsia="仿宋_GB2312" w:cs="仿宋_GB2312"/>
          <w:color w:val="auto"/>
          <w:kern w:val="2"/>
          <w:sz w:val="32"/>
          <w:szCs w:val="32"/>
          <w:highlight w:val="none"/>
        </w:rPr>
        <w:t>以“共建、共治、共享”为发展理念，完善现代化社会治理体系建设。</w:t>
      </w:r>
      <w:r>
        <w:rPr>
          <w:rFonts w:hint="eastAsia" w:ascii="仿宋_GB2312" w:hAnsi="仿宋_GB2312" w:eastAsia="仿宋_GB2312" w:cs="仿宋_GB2312"/>
          <w:color w:val="auto"/>
          <w:kern w:val="2"/>
          <w:sz w:val="32"/>
          <w:szCs w:val="32"/>
          <w:highlight w:val="none"/>
          <w:lang w:eastAsia="zh-CN"/>
        </w:rPr>
        <w:t>推进各地区各部门间数据共享，实现全领域人流、技术流、信息流、资金流、物流等全要素数字化、虚拟化、实时可视可控。建设“智慧儋州”，提升社会治理工作现代化智能化水平。推进“智慧城管”建设，提高城市管理的数字化、精细化、智慧化水平。</w:t>
      </w:r>
      <w:r>
        <w:rPr>
          <w:rFonts w:hint="eastAsia" w:ascii="仿宋_GB2312" w:hAnsi="仿宋_GB2312" w:eastAsia="仿宋_GB2312" w:cs="仿宋_GB2312"/>
          <w:color w:val="auto"/>
          <w:kern w:val="2"/>
          <w:sz w:val="32"/>
          <w:szCs w:val="32"/>
          <w:highlight w:val="none"/>
        </w:rPr>
        <w:t>探索更加便利化的行业组织管理模式，夯实行业组织主体地位。</w:t>
      </w:r>
    </w:p>
    <w:p>
      <w:pPr>
        <w:pStyle w:val="2"/>
        <w:pageBreakBefore w:val="0"/>
        <w:widowControl w:val="0"/>
        <w:kinsoku/>
        <w:overflowPunct/>
        <w:topLinePunct w:val="0"/>
        <w:bidi w:val="0"/>
        <w:snapToGrid/>
        <w:spacing w:line="560" w:lineRule="exact"/>
        <w:ind w:firstLine="643"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highlight w:val="none"/>
          <w:lang w:val="en-US" w:eastAsia="zh-CN" w:bidi="ar-SA"/>
        </w:rPr>
        <w:t>深化大部门制改革，激发发展活力。</w:t>
      </w:r>
      <w:r>
        <w:rPr>
          <w:rFonts w:hint="eastAsia" w:ascii="Times New Roman" w:hAnsi="Times New Roman" w:eastAsia="仿宋_GB2312" w:cs="Times New Roman"/>
          <w:b w:val="0"/>
          <w:bCs w:val="0"/>
          <w:color w:val="auto"/>
          <w:kern w:val="2"/>
          <w:sz w:val="32"/>
          <w:szCs w:val="32"/>
          <w:highlight w:val="none"/>
          <w:lang w:val="en-US" w:eastAsia="zh-CN" w:bidi="ar-SA"/>
        </w:rPr>
        <w:t>深化大部门制改革，将职能相近的部门、业务范围趋同的事项相对集中，进一步简政放权和依法赋能，激发基层发展活力。</w:t>
      </w:r>
      <w:r>
        <w:rPr>
          <w:rFonts w:hint="eastAsia" w:eastAsia="仿宋_GB2312"/>
          <w:color w:val="auto"/>
          <w:sz w:val="32"/>
          <w:szCs w:val="32"/>
          <w:highlight w:val="none"/>
          <w:lang w:eastAsia="zh-CN"/>
        </w:rPr>
        <w:t>控制行政综合类公务员比例，行政人员编制向监管部门倾斜，推行市场化的专业人员聘任制。继续推进事业单位改革，</w:t>
      </w:r>
      <w:r>
        <w:rPr>
          <w:rFonts w:hint="eastAsia" w:ascii="Times New Roman" w:hAnsi="Times New Roman" w:eastAsia="仿宋_GB2312" w:cs="Times New Roman"/>
          <w:b w:val="0"/>
          <w:bCs w:val="0"/>
          <w:color w:val="auto"/>
          <w:kern w:val="2"/>
          <w:sz w:val="32"/>
          <w:szCs w:val="32"/>
          <w:highlight w:val="none"/>
          <w:lang w:val="en-US" w:eastAsia="zh-CN" w:bidi="ar-SA"/>
        </w:rPr>
        <w:t>推动有效市场和有为政府更好结合。</w:t>
      </w:r>
    </w:p>
    <w:bookmarkEnd w:id="77"/>
    <w:bookmarkEnd w:id="78"/>
    <w:p>
      <w:pPr>
        <w:pStyle w:val="4"/>
        <w:pageBreakBefore w:val="0"/>
        <w:widowControl w:val="0"/>
        <w:kinsoku/>
        <w:overflowPunct/>
        <w:topLinePunct w:val="0"/>
        <w:bidi w:val="0"/>
        <w:snapToGrid/>
        <w:spacing w:line="560" w:lineRule="exact"/>
        <w:textAlignment w:val="auto"/>
        <w:rPr>
          <w:rFonts w:hint="eastAsia"/>
          <w:color w:val="auto"/>
          <w:highlight w:val="none"/>
          <w:lang w:val="en-US" w:eastAsia="zh-CN"/>
        </w:rPr>
      </w:pPr>
      <w:bookmarkStart w:id="81" w:name="_Toc25778_WPSOffice_Level2"/>
      <w:bookmarkStart w:id="82" w:name="_Toc17772_WPSOffice_Level2"/>
      <w:r>
        <w:rPr>
          <w:rFonts w:hint="eastAsia"/>
          <w:color w:val="auto"/>
          <w:highlight w:val="none"/>
          <w:lang w:val="en-US" w:eastAsia="zh-CN"/>
        </w:rPr>
        <w:t>第二节 实施联动发展，构建对外开放新发展格局</w:t>
      </w:r>
      <w:bookmarkEnd w:id="81"/>
      <w:bookmarkEnd w:id="82"/>
    </w:p>
    <w:p>
      <w:pPr>
        <w:pStyle w:val="2"/>
        <w:pageBreakBefore w:val="0"/>
        <w:widowControl w:val="0"/>
        <w:kinsoku/>
        <w:overflowPunct/>
        <w:topLinePunct w:val="0"/>
        <w:bidi w:val="0"/>
        <w:snapToGrid/>
        <w:spacing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rPr>
        <w:t>构建高水平对外开放新发展格局。</w:t>
      </w:r>
      <w:r>
        <w:rPr>
          <w:rFonts w:hint="eastAsia" w:ascii="仿宋_GB2312" w:hAnsi="仿宋_GB2312" w:eastAsia="仿宋_GB2312" w:cs="仿宋_GB2312"/>
          <w:color w:val="auto"/>
          <w:kern w:val="2"/>
          <w:sz w:val="32"/>
          <w:szCs w:val="32"/>
          <w:highlight w:val="none"/>
          <w:lang w:val="en-US" w:eastAsia="zh-CN"/>
        </w:rPr>
        <w:t>依托泛珠三角区域城市群合作机制，促进与粤港澳大湾区联动发展。积极与深圳中国特色社会主义先行示范区和珠海经济特区联动，推动深儋自贸合作区发展建设，推进儋州与珠海多领域的合作发展，打造国际国内先进发达地区园区“飞地经济”。</w:t>
      </w:r>
      <w:r>
        <w:rPr>
          <w:rFonts w:hint="eastAsia" w:ascii="仿宋_GB2312" w:hAnsi="仿宋_GB2312" w:eastAsia="仿宋_GB2312" w:cs="仿宋_GB2312"/>
          <w:b w:val="0"/>
          <w:bCs w:val="0"/>
          <w:color w:val="auto"/>
          <w:kern w:val="0"/>
          <w:sz w:val="32"/>
          <w:szCs w:val="32"/>
          <w:highlight w:val="none"/>
          <w:lang w:val="en-US" w:eastAsia="zh-CN"/>
        </w:rPr>
        <w:t>依托北部湾城市群，深化在</w:t>
      </w:r>
      <w:r>
        <w:rPr>
          <w:rFonts w:hint="eastAsia" w:ascii="仿宋_GB2312" w:hAnsi="仿宋_GB2312" w:eastAsia="仿宋_GB2312" w:cs="仿宋_GB2312"/>
          <w:snapToGrid w:val="0"/>
          <w:color w:val="auto"/>
          <w:kern w:val="2"/>
          <w:sz w:val="32"/>
          <w:szCs w:val="32"/>
          <w:highlight w:val="none"/>
          <w:lang w:val="en-US" w:eastAsia="zh-CN" w:bidi="ar-SA"/>
        </w:rPr>
        <w:t>滨海度假旅游、现代农业产业、公共卫生突发事件等领域的合作。</w:t>
      </w:r>
      <w:r>
        <w:rPr>
          <w:rFonts w:hint="eastAsia" w:ascii="仿宋_GB2312" w:hAnsi="仿宋_GB2312" w:eastAsia="仿宋_GB2312" w:cs="仿宋_GB2312"/>
          <w:color w:val="auto"/>
          <w:kern w:val="2"/>
          <w:sz w:val="32"/>
          <w:szCs w:val="32"/>
          <w:highlight w:val="none"/>
          <w:lang w:val="en-US" w:eastAsia="zh-CN"/>
        </w:rPr>
        <w:t>主动强化与东盟国家地区的合作，更加主动参与和引进国际机构、国际会议和行业组织，设立或承办国际性合作论坛，打造21世纪海上丝绸之路经贸文旅合作项目的海南西部综合承载区和集中展示区。积极参与西部陆海新通道国际航运枢纽的建设。积极发展国际友好城市关系。</w:t>
      </w:r>
    </w:p>
    <w:p>
      <w:pPr>
        <w:pStyle w:val="2"/>
        <w:pageBreakBefore w:val="0"/>
        <w:widowControl w:val="0"/>
        <w:kinsoku/>
        <w:overflowPunct/>
        <w:topLinePunct w:val="0"/>
        <w:bidi w:val="0"/>
        <w:snapToGrid/>
        <w:spacing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rPr>
        <w:t>加快儋州—洋浦“环新英湾”港产城一体化发展。</w:t>
      </w:r>
      <w:r>
        <w:rPr>
          <w:rFonts w:hint="eastAsia" w:ascii="仿宋_GB2312" w:hAnsi="仿宋_GB2312" w:eastAsia="仿宋_GB2312" w:cs="仿宋_GB2312"/>
          <w:color w:val="auto"/>
          <w:kern w:val="2"/>
          <w:sz w:val="32"/>
          <w:szCs w:val="32"/>
          <w:highlight w:val="none"/>
          <w:lang w:val="en-US" w:eastAsia="zh-CN"/>
        </w:rPr>
        <w:t>着眼于服务自由贸易港建设全局，建立健全与洋浦经济开发区一体化发展机制，重点在产业发展、城市规划、项目建设、公共服务等合作领域实现新突破。大力发展与洋浦主导产业相配套的生产性、生活性服务业，导入发展旅游会展、数字经济、航运服务、贸易金融、文创设计、物流仓储等产业业态，加快教育、医疗以及生活、商务、休闲娱乐等公共服务配套项目建设，不断提高“环新英湾”地区城市承载能力和服务水平，打造依托洋浦、服务洋浦的宜居宜业宜游城市，建设全省港产城一体化发展先行区、示范区。</w:t>
      </w:r>
    </w:p>
    <w:p>
      <w:pPr>
        <w:pStyle w:val="4"/>
        <w:pageBreakBefore w:val="0"/>
        <w:widowControl w:val="0"/>
        <w:kinsoku/>
        <w:overflowPunct/>
        <w:topLinePunct w:val="0"/>
        <w:bidi w:val="0"/>
        <w:snapToGrid/>
        <w:spacing w:line="560" w:lineRule="exact"/>
        <w:textAlignment w:val="auto"/>
        <w:rPr>
          <w:rFonts w:hint="eastAsia"/>
          <w:color w:val="auto"/>
          <w:highlight w:val="none"/>
          <w:lang w:val="en-US" w:eastAsia="zh-CN"/>
        </w:rPr>
      </w:pPr>
      <w:bookmarkStart w:id="83" w:name="_Toc20010_WPSOffice_Level2"/>
      <w:bookmarkStart w:id="84" w:name="_Toc18374_WPSOffice_Level2"/>
      <w:r>
        <w:rPr>
          <w:rFonts w:hint="eastAsia"/>
          <w:color w:val="auto"/>
          <w:highlight w:val="none"/>
          <w:lang w:val="en-US" w:eastAsia="zh-CN"/>
        </w:rPr>
        <w:t>第三节 优化营商环境，推动市场主体量质齐升</w:t>
      </w:r>
      <w:bookmarkEnd w:id="83"/>
      <w:bookmarkEnd w:id="84"/>
    </w:p>
    <w:p>
      <w:pPr>
        <w:pageBreakBefore w:val="0"/>
        <w:widowControl w:val="0"/>
        <w:kinsoku/>
        <w:wordWrap w:val="0"/>
        <w:overflowPunct/>
        <w:topLinePunct w:val="0"/>
        <w:bidi w:val="0"/>
        <w:snapToGrid/>
        <w:spacing w:line="560" w:lineRule="exact"/>
        <w:ind w:firstLine="643"/>
        <w:textAlignment w:val="auto"/>
        <w:rPr>
          <w:rFonts w:eastAsia="黑体"/>
          <w:bCs/>
          <w:color w:val="auto"/>
          <w:kern w:val="44"/>
          <w:sz w:val="32"/>
          <w:szCs w:val="32"/>
          <w:highlight w:val="none"/>
        </w:rPr>
      </w:pPr>
      <w:r>
        <w:rPr>
          <w:rFonts w:hint="eastAsia" w:ascii="仿宋_GB2312" w:hAnsi="仿宋_GB2312" w:eastAsia="仿宋_GB2312" w:cs="仿宋_GB2312"/>
          <w:color w:val="auto"/>
          <w:kern w:val="2"/>
          <w:sz w:val="32"/>
          <w:szCs w:val="32"/>
          <w:highlight w:val="none"/>
          <w:lang w:val="en-US" w:eastAsia="zh-CN"/>
        </w:rPr>
        <w:t>深化营商环境制度集成创新，打造国内一流营商环境。按照法治化、国际化、便利化的营商环境要求，发挥法治固根本、稳预期、利长远作用，建立与“放管服”相适应的法治流程。对标国际国内先进水平，制定实施优化营商环境五年行动计划，确保2025年达到国内一流水平，切实增强各类市场主体和群众的体验感、获得感。</w:t>
      </w:r>
      <w:r>
        <w:rPr>
          <w:rFonts w:hint="eastAsia" w:ascii="仿宋_GB2312" w:hAnsi="仿宋_GB2312" w:eastAsia="仿宋_GB2312" w:cs="仿宋_GB2312"/>
          <w:b/>
          <w:bCs/>
          <w:color w:val="auto"/>
          <w:kern w:val="2"/>
          <w:sz w:val="32"/>
          <w:szCs w:val="32"/>
          <w:highlight w:val="none"/>
          <w:lang w:val="en-US" w:eastAsia="zh-CN"/>
        </w:rPr>
        <w:t>打造便民智慧的政务环境。</w:t>
      </w:r>
      <w:r>
        <w:rPr>
          <w:rFonts w:hint="eastAsia" w:ascii="仿宋_GB2312" w:eastAsia="仿宋_GB2312"/>
          <w:color w:val="auto"/>
          <w:sz w:val="32"/>
          <w:szCs w:val="32"/>
          <w:highlight w:val="none"/>
          <w:lang w:eastAsia="zh-CN"/>
        </w:rPr>
        <w:t>扎实推进政务公开。深化“放管服”改革，实现政务服务高频事项“秒批”“秒办”“一件事一次办”。进一步推进“互联网</w:t>
      </w:r>
      <w:r>
        <w:rPr>
          <w:rFonts w:hint="eastAsia" w:ascii="仿宋_GB2312" w:eastAsia="仿宋_GB2312"/>
          <w:color w:val="auto"/>
          <w:sz w:val="32"/>
          <w:szCs w:val="32"/>
          <w:highlight w:val="none"/>
          <w:lang w:val="en-US" w:eastAsia="zh-CN"/>
        </w:rPr>
        <w:t>+政务服务</w:t>
      </w:r>
      <w:r>
        <w:rPr>
          <w:rFonts w:hint="eastAsia" w:ascii="仿宋_GB2312" w:eastAsia="仿宋_GB2312"/>
          <w:color w:val="auto"/>
          <w:sz w:val="32"/>
          <w:szCs w:val="32"/>
          <w:highlight w:val="none"/>
          <w:lang w:eastAsia="zh-CN"/>
        </w:rPr>
        <w:t>”，推进政务服务“一网通办”“一门通办”“一窗受理、集成服务”等改革，</w:t>
      </w:r>
      <w:r>
        <w:rPr>
          <w:rFonts w:hint="eastAsia" w:ascii="仿宋_GB2312" w:hAnsi="仿宋_GB2312" w:eastAsia="仿宋_GB2312" w:cs="仿宋_GB2312"/>
          <w:color w:val="auto"/>
          <w:kern w:val="2"/>
          <w:sz w:val="32"/>
          <w:szCs w:val="32"/>
          <w:highlight w:val="none"/>
          <w:lang w:val="en-US" w:eastAsia="zh-CN"/>
        </w:rPr>
        <w:t>全面推行“极简审批”制度。</w:t>
      </w:r>
      <w:r>
        <w:rPr>
          <w:rFonts w:hint="eastAsia" w:ascii="仿宋_GB2312" w:hAnsi="仿宋_GB2312" w:eastAsia="仿宋_GB2312" w:cs="仿宋_GB2312"/>
          <w:b/>
          <w:bCs/>
          <w:color w:val="auto"/>
          <w:sz w:val="32"/>
          <w:szCs w:val="32"/>
          <w:highlight w:val="none"/>
        </w:rPr>
        <w:t>打造开放包容的市场环境</w:t>
      </w:r>
      <w:r>
        <w:rPr>
          <w:rFonts w:hint="eastAsia" w:ascii="仿宋_GB2312" w:hAnsi="仿宋_GB2312" w:eastAsia="仿宋_GB2312" w:cs="仿宋_GB2312"/>
          <w:b/>
          <w:bCs/>
          <w:color w:val="auto"/>
          <w:sz w:val="32"/>
          <w:szCs w:val="32"/>
          <w:highlight w:val="none"/>
          <w:lang w:eastAsia="zh-CN"/>
        </w:rPr>
        <w:t>。</w:t>
      </w:r>
      <w:r>
        <w:rPr>
          <w:rFonts w:hint="eastAsia" w:ascii="仿宋_GB2312" w:eastAsia="仿宋_GB2312"/>
          <w:color w:val="auto"/>
          <w:sz w:val="32"/>
          <w:szCs w:val="32"/>
          <w:highlight w:val="none"/>
          <w:lang w:eastAsia="zh-CN"/>
        </w:rPr>
        <w:t>推动</w:t>
      </w:r>
      <w:r>
        <w:rPr>
          <w:rFonts w:hint="eastAsia" w:ascii="仿宋_GB2312" w:eastAsia="仿宋_GB2312"/>
          <w:color w:val="auto"/>
          <w:sz w:val="32"/>
          <w:szCs w:val="32"/>
          <w:highlight w:val="none"/>
        </w:rPr>
        <w:t>落实“非禁即入”</w:t>
      </w:r>
      <w:r>
        <w:rPr>
          <w:rFonts w:hint="eastAsia" w:ascii="仿宋_GB2312" w:eastAsia="仿宋_GB2312"/>
          <w:color w:val="auto"/>
          <w:sz w:val="32"/>
          <w:szCs w:val="32"/>
          <w:highlight w:val="none"/>
          <w:lang w:eastAsia="zh-CN"/>
        </w:rPr>
        <w:t>，推进“证照分离”改革全覆盖。</w:t>
      </w:r>
      <w:r>
        <w:rPr>
          <w:rFonts w:hint="eastAsia" w:ascii="仿宋_GB2312" w:hAnsi="仿宋_GB2312" w:eastAsia="仿宋_GB2312" w:cs="仿宋_GB2312"/>
          <w:b w:val="0"/>
          <w:bCs w:val="0"/>
          <w:color w:val="auto"/>
          <w:sz w:val="32"/>
          <w:szCs w:val="32"/>
          <w:highlight w:val="none"/>
          <w:lang w:eastAsia="zh-CN"/>
        </w:rPr>
        <w:t>畅通市场主体入儋渠道，全面推进企业开办和注销“一站办结”。</w:t>
      </w:r>
      <w:r>
        <w:rPr>
          <w:rFonts w:hint="eastAsia" w:ascii="仿宋_GB2312" w:hAnsi="仿宋_GB2312" w:eastAsia="仿宋_GB2312" w:cs="仿宋_GB2312"/>
          <w:color w:val="auto"/>
          <w:kern w:val="2"/>
          <w:sz w:val="32"/>
          <w:szCs w:val="32"/>
          <w:highlight w:val="none"/>
          <w:lang w:val="en-US" w:eastAsia="zh-CN"/>
        </w:rPr>
        <w:t>落实“双随机、一公开”监管制度，</w:t>
      </w:r>
      <w:r>
        <w:rPr>
          <w:rFonts w:hint="eastAsia" w:ascii="仿宋_GB2312" w:eastAsia="仿宋_GB2312"/>
          <w:color w:val="auto"/>
          <w:sz w:val="32"/>
          <w:szCs w:val="32"/>
          <w:highlight w:val="none"/>
        </w:rPr>
        <w:t>积极推行信用监管、大数据监管、包容审慎监管</w:t>
      </w:r>
      <w:r>
        <w:rPr>
          <w:rFonts w:hint="eastAsia" w:ascii="仿宋_GB2312" w:hAnsi="仿宋_GB2312" w:eastAsia="仿宋_GB2312" w:cs="仿宋_GB2312"/>
          <w:color w:val="auto"/>
          <w:kern w:val="2"/>
          <w:sz w:val="32"/>
          <w:szCs w:val="32"/>
          <w:highlight w:val="none"/>
          <w:lang w:val="en-US" w:eastAsia="zh-CN"/>
        </w:rPr>
        <w:t>。保障市场主体合法权益，惩治违法行为，维护公平竞争有序的市场环境，让</w:t>
      </w:r>
      <w:r>
        <w:rPr>
          <w:rFonts w:hint="eastAsia" w:ascii="仿宋_GB2312" w:eastAsia="仿宋_GB2312"/>
          <w:color w:val="auto"/>
          <w:sz w:val="32"/>
          <w:szCs w:val="32"/>
          <w:highlight w:val="none"/>
        </w:rPr>
        <w:t>各类市场主体</w:t>
      </w:r>
      <w:r>
        <w:rPr>
          <w:rFonts w:hint="eastAsia" w:ascii="仿宋_GB2312" w:eastAsia="仿宋_GB2312"/>
          <w:color w:val="auto"/>
          <w:sz w:val="32"/>
          <w:szCs w:val="32"/>
          <w:highlight w:val="none"/>
          <w:lang w:eastAsia="zh-CN"/>
        </w:rPr>
        <w:t>享受平等的机会和盈利环境。提升金融机构信贷服务水平。</w:t>
      </w:r>
      <w:r>
        <w:rPr>
          <w:rFonts w:hint="eastAsia" w:ascii="仿宋_GB2312" w:eastAsia="仿宋_GB2312"/>
          <w:b/>
          <w:bCs/>
          <w:color w:val="auto"/>
          <w:sz w:val="32"/>
          <w:szCs w:val="32"/>
          <w:highlight w:val="none"/>
          <w:lang w:eastAsia="zh-CN"/>
        </w:rPr>
        <w:t>打造高端专业的商务环境。</w:t>
      </w:r>
      <w:r>
        <w:rPr>
          <w:rFonts w:hint="eastAsia" w:ascii="仿宋_GB2312" w:eastAsia="仿宋_GB2312"/>
          <w:color w:val="auto"/>
          <w:sz w:val="32"/>
          <w:szCs w:val="32"/>
          <w:highlight w:val="none"/>
        </w:rPr>
        <w:t>围绕高端产业企业和高端人才商务需求，提升儋州市商务服务品质</w:t>
      </w:r>
      <w:r>
        <w:rPr>
          <w:rFonts w:hint="eastAsia" w:ascii="仿宋_GB2312" w:eastAsia="仿宋_GB2312"/>
          <w:color w:val="auto"/>
          <w:sz w:val="32"/>
          <w:szCs w:val="32"/>
          <w:highlight w:val="none"/>
          <w:lang w:eastAsia="zh-CN"/>
        </w:rPr>
        <w:t>、商业氛围和城市知名度</w:t>
      </w:r>
      <w:r>
        <w:rPr>
          <w:rFonts w:hint="eastAsia" w:ascii="仿宋_GB2312" w:eastAsia="仿宋_GB2312"/>
          <w:color w:val="auto"/>
          <w:sz w:val="32"/>
          <w:szCs w:val="32"/>
          <w:highlight w:val="none"/>
        </w:rPr>
        <w:t>。构建内畅外捷的综合交通体系</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构建全市三级物流网络，降低企业成本。</w:t>
      </w:r>
      <w:r>
        <w:rPr>
          <w:rFonts w:hint="eastAsia" w:ascii="仿宋_GB2312" w:eastAsia="仿宋_GB2312"/>
          <w:strike w:val="0"/>
          <w:dstrike w:val="0"/>
          <w:color w:val="auto"/>
          <w:sz w:val="32"/>
          <w:szCs w:val="32"/>
          <w:highlight w:val="none"/>
          <w:lang w:eastAsia="zh-CN"/>
        </w:rPr>
        <w:t>加强对行业龙头企业的招商推介，大力引进一批知名企业、国际性行业组织、评级服务机构等企业和机构</w:t>
      </w:r>
      <w:r>
        <w:rPr>
          <w:rFonts w:hint="eastAsia" w:ascii="仿宋_GB2312" w:eastAsia="仿宋_GB2312"/>
          <w:color w:val="auto"/>
          <w:sz w:val="32"/>
          <w:szCs w:val="32"/>
          <w:highlight w:val="none"/>
        </w:rPr>
        <w:t>，构建专业服务供需对接平台。为企业和商务人士提供高端办公、休闲和生活空间。</w:t>
      </w:r>
      <w:r>
        <w:rPr>
          <w:rFonts w:hint="eastAsia" w:ascii="仿宋_GB2312" w:hAnsi="仿宋_GB2312" w:eastAsia="仿宋_GB2312" w:cs="仿宋_GB2312"/>
          <w:b/>
          <w:bCs/>
          <w:color w:val="auto"/>
          <w:sz w:val="32"/>
          <w:szCs w:val="32"/>
          <w:highlight w:val="none"/>
          <w:lang w:val="en-US" w:eastAsia="zh-CN"/>
        </w:rPr>
        <w:t>打造要素集聚的产业环境。</w:t>
      </w:r>
      <w:r>
        <w:rPr>
          <w:rFonts w:hint="eastAsia" w:ascii="仿宋_GB2312" w:hAnsi="仿宋_GB2312" w:eastAsia="仿宋_GB2312" w:cs="仿宋_GB2312"/>
          <w:color w:val="auto"/>
          <w:sz w:val="32"/>
          <w:szCs w:val="32"/>
          <w:highlight w:val="none"/>
          <w:lang w:val="en-US" w:eastAsia="zh-CN"/>
        </w:rPr>
        <w:t>精准对接市场主体发展需求，优化各类生产要素资源供给，完善产业紧缺人才引进培育体系，优化企业用工服务，完善知识产权创造、运用等创新创业政策措施。</w:t>
      </w:r>
      <w:r>
        <w:rPr>
          <w:rFonts w:hint="eastAsia" w:ascii="仿宋_GB2312" w:hAnsi="仿宋_GB2312" w:eastAsia="仿宋_GB2312" w:cs="仿宋_GB2312"/>
          <w:b/>
          <w:bCs/>
          <w:color w:val="auto"/>
          <w:sz w:val="32"/>
          <w:szCs w:val="32"/>
          <w:highlight w:val="none"/>
          <w:lang w:val="en-US" w:eastAsia="zh-CN"/>
        </w:rPr>
        <w:t>打造公正安全的法治环境</w:t>
      </w:r>
      <w:r>
        <w:rPr>
          <w:rFonts w:hint="eastAsia" w:ascii="仿宋_GB2312" w:hAnsi="仿宋_GB2312" w:eastAsia="仿宋_GB2312" w:cs="仿宋_GB2312"/>
          <w:color w:val="auto"/>
          <w:sz w:val="32"/>
          <w:szCs w:val="32"/>
          <w:highlight w:val="none"/>
          <w:lang w:val="en-US" w:eastAsia="zh-CN"/>
        </w:rPr>
        <w:t>。优化营商环境法治保障体系，完善地方法规规章体系，建立多元化商事纠纷解决机制，规范行政执法行为，维护行政相对人合法权益。</w:t>
      </w:r>
      <w:r>
        <w:rPr>
          <w:rFonts w:hint="eastAsia" w:ascii="仿宋_GB2312" w:hAnsi="仿宋_GB2312" w:eastAsia="仿宋_GB2312" w:cs="仿宋_GB2312"/>
          <w:b/>
          <w:bCs/>
          <w:color w:val="auto"/>
          <w:sz w:val="32"/>
          <w:szCs w:val="32"/>
          <w:highlight w:val="none"/>
          <w:lang w:val="en-US" w:eastAsia="zh-CN"/>
        </w:rPr>
        <w:t>打造优质多元的人文环境。</w:t>
      </w:r>
      <w:r>
        <w:rPr>
          <w:rFonts w:hint="eastAsia" w:ascii="仿宋_GB2312" w:hAnsi="仿宋_GB2312" w:eastAsia="仿宋_GB2312" w:cs="仿宋_GB2312"/>
          <w:color w:val="auto"/>
          <w:sz w:val="32"/>
          <w:szCs w:val="32"/>
          <w:highlight w:val="none"/>
          <w:lang w:val="en-US" w:eastAsia="zh-CN"/>
        </w:rPr>
        <w:t>全面推进高水平城市服务体系建设，丰富人民群众精神文化生活。加大重点领域人才引进，补齐人才资源短板，加强知名国际连锁品牌招商引进力度，优化完善商业服务。</w:t>
      </w:r>
      <w:r>
        <w:rPr>
          <w:rFonts w:hint="eastAsia" w:ascii="仿宋_GB2312" w:hAnsi="仿宋_GB2312" w:eastAsia="仿宋_GB2312" w:cs="仿宋_GB2312"/>
          <w:b/>
          <w:bCs/>
          <w:color w:val="auto"/>
          <w:sz w:val="32"/>
          <w:szCs w:val="32"/>
          <w:highlight w:val="none"/>
          <w:lang w:val="en-US" w:eastAsia="zh-CN"/>
        </w:rPr>
        <w:t>打造优良优美的生态环境。</w:t>
      </w:r>
      <w:r>
        <w:rPr>
          <w:rFonts w:hint="eastAsia" w:ascii="仿宋_GB2312" w:hAnsi="仿宋_GB2312" w:eastAsia="仿宋_GB2312" w:cs="仿宋_GB2312"/>
          <w:color w:val="auto"/>
          <w:sz w:val="32"/>
          <w:szCs w:val="32"/>
          <w:highlight w:val="none"/>
          <w:lang w:val="en-US" w:eastAsia="zh-CN"/>
        </w:rPr>
        <w:t>健全生态环境监测和保护制度，构建绿色低碳循环发展经济体系，加快发展和利用清洁能源和新能源，创造优良的城市人居环境。</w:t>
      </w:r>
      <w:r>
        <w:rPr>
          <w:rFonts w:hint="eastAsia" w:ascii="仿宋_GB2312" w:eastAsia="仿宋_GB2312"/>
          <w:b/>
          <w:bCs/>
          <w:color w:val="auto"/>
          <w:sz w:val="32"/>
          <w:szCs w:val="32"/>
          <w:highlight w:val="none"/>
        </w:rPr>
        <w:t>推进社会信用体系建设。</w:t>
      </w:r>
      <w:r>
        <w:rPr>
          <w:rFonts w:hint="eastAsia" w:ascii="仿宋_GB2312" w:eastAsia="仿宋_GB2312"/>
          <w:color w:val="auto"/>
          <w:sz w:val="32"/>
          <w:szCs w:val="32"/>
          <w:highlight w:val="none"/>
          <w:lang w:eastAsia="zh-CN"/>
        </w:rPr>
        <w:t>抓好儋州信用信息共享平台和在线政务服务平台建设。全面推行信用承诺制，最大化取消各类证明事项。</w:t>
      </w:r>
      <w:r>
        <w:rPr>
          <w:rFonts w:hint="eastAsia" w:ascii="仿宋_GB2312" w:eastAsia="仿宋_GB2312"/>
          <w:color w:val="auto"/>
          <w:sz w:val="32"/>
          <w:szCs w:val="32"/>
          <w:highlight w:val="none"/>
        </w:rPr>
        <w:t>加快构建守信激励和失信惩戒机制</w:t>
      </w:r>
      <w:r>
        <w:rPr>
          <w:rFonts w:hint="eastAsia" w:ascii="仿宋_GB2312" w:eastAsia="仿宋_GB2312"/>
          <w:color w:val="auto"/>
          <w:sz w:val="32"/>
          <w:szCs w:val="32"/>
          <w:highlight w:val="none"/>
          <w:lang w:eastAsia="zh-CN"/>
        </w:rPr>
        <w:t>。深化事中后监管，实行企业信用风险分类监管。</w:t>
      </w:r>
      <w:r>
        <w:rPr>
          <w:rFonts w:hint="eastAsia" w:ascii="仿宋_GB2312" w:hAnsi="仿宋_GB2312" w:eastAsia="仿宋_GB2312" w:cs="仿宋_GB2312"/>
          <w:b/>
          <w:bCs/>
          <w:color w:val="auto"/>
          <w:sz w:val="32"/>
          <w:szCs w:val="32"/>
          <w:highlight w:val="none"/>
        </w:rPr>
        <w:t>打造完善的监督保障体系</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健全各类市场主体评价反馈机制，动员人大代表、政协委员、民主党派、人民群众和新闻媒体等参与营商环境监督，完善营商环境评价考核机制及成果应用。构建亲清政商关系，更好保障市场主体的合法权益。</w:t>
      </w:r>
    </w:p>
    <w:p>
      <w:pPr>
        <w:pStyle w:val="3"/>
        <w:bidi w:val="0"/>
        <w:rPr>
          <w:rFonts w:eastAsia="黑体"/>
          <w:bCs/>
          <w:color w:val="auto"/>
          <w:kern w:val="44"/>
          <w:szCs w:val="32"/>
          <w:highlight w:val="none"/>
        </w:rPr>
      </w:pPr>
      <w:bookmarkStart w:id="85" w:name="_Toc9191_WPSOffice_Level1"/>
      <w:bookmarkStart w:id="86" w:name="_Toc57914190"/>
      <w:bookmarkStart w:id="87" w:name="_Toc2760_WPSOffice_Level1"/>
      <w:bookmarkStart w:id="88" w:name="_Toc14152_WPSOffice_Level1"/>
      <w:r>
        <w:rPr>
          <w:rFonts w:hint="eastAsia"/>
          <w:color w:val="auto"/>
          <w:highlight w:val="none"/>
        </w:rPr>
        <w:t>第三章 增强城市</w:t>
      </w:r>
      <w:r>
        <w:rPr>
          <w:rFonts w:hint="eastAsia"/>
          <w:color w:val="auto"/>
          <w:highlight w:val="none"/>
          <w:lang w:eastAsia="zh-CN"/>
        </w:rPr>
        <w:t>功能</w:t>
      </w:r>
      <w:bookmarkEnd w:id="85"/>
      <w:bookmarkEnd w:id="86"/>
      <w:r>
        <w:rPr>
          <w:rFonts w:hint="eastAsia"/>
          <w:color w:val="auto"/>
          <w:highlight w:val="none"/>
          <w:lang w:val="en-US" w:eastAsia="zh-CN"/>
        </w:rPr>
        <w:t xml:space="preserve"> </w:t>
      </w:r>
      <w:r>
        <w:rPr>
          <w:rFonts w:hint="eastAsia"/>
          <w:color w:val="auto"/>
          <w:highlight w:val="none"/>
          <w:lang w:eastAsia="zh-CN"/>
        </w:rPr>
        <w:t>建成西部中心城市</w:t>
      </w:r>
      <w:bookmarkEnd w:id="87"/>
      <w:bookmarkEnd w:id="88"/>
    </w:p>
    <w:p>
      <w:pPr>
        <w:pageBreakBefore w:val="0"/>
        <w:widowControl w:val="0"/>
        <w:kinsoku/>
        <w:wordWrap w:val="0"/>
        <w:overflowPunct/>
        <w:topLinePunct w:val="0"/>
        <w:autoSpaceDE w:val="0"/>
        <w:autoSpaceDN w:val="0"/>
        <w:bidi w:val="0"/>
        <w:adjustRightInd w:val="0"/>
        <w:snapToGrid/>
        <w:spacing w:line="560" w:lineRule="exact"/>
        <w:ind w:firstLine="640" w:firstLineChars="200"/>
        <w:textAlignment w:val="auto"/>
        <w:rPr>
          <w:rFonts w:ascii="仿宋_GB2312" w:hAnsi="Calibri" w:eastAsia="仿宋_GB2312"/>
          <w:color w:val="auto"/>
          <w:kern w:val="0"/>
          <w:sz w:val="32"/>
          <w:szCs w:val="32"/>
          <w:highlight w:val="none"/>
        </w:rPr>
      </w:pPr>
      <w:r>
        <w:rPr>
          <w:rFonts w:hint="eastAsia" w:ascii="仿宋_GB2312" w:hAnsi="Calibri" w:eastAsia="仿宋_GB2312"/>
          <w:color w:val="auto"/>
          <w:kern w:val="0"/>
          <w:sz w:val="32"/>
          <w:szCs w:val="32"/>
          <w:highlight w:val="none"/>
        </w:rPr>
        <w:t>优化城市发展规划布局，</w:t>
      </w:r>
      <w:r>
        <w:rPr>
          <w:rFonts w:hint="eastAsia" w:ascii="仿宋_GB2312" w:hAnsi="Calibri" w:eastAsia="仿宋_GB2312"/>
          <w:color w:val="auto"/>
          <w:kern w:val="0"/>
          <w:sz w:val="32"/>
          <w:szCs w:val="32"/>
          <w:highlight w:val="none"/>
          <w:lang w:eastAsia="zh-CN"/>
        </w:rPr>
        <w:t>打造立体化公共交通体系，补齐城市短板，提升城市品质，增强城市功能，高质量建成带动西部、辐射全岛的海南西部中心城市。</w:t>
      </w:r>
    </w:p>
    <w:p>
      <w:pPr>
        <w:pStyle w:val="4"/>
        <w:pageBreakBefore w:val="0"/>
        <w:widowControl w:val="0"/>
        <w:kinsoku/>
        <w:overflowPunct/>
        <w:topLinePunct w:val="0"/>
        <w:bidi w:val="0"/>
        <w:snapToGrid/>
        <w:spacing w:line="560" w:lineRule="exact"/>
        <w:textAlignment w:val="auto"/>
        <w:rPr>
          <w:color w:val="auto"/>
          <w:highlight w:val="none"/>
        </w:rPr>
      </w:pPr>
      <w:bookmarkStart w:id="89" w:name="_Toc57914193"/>
      <w:bookmarkStart w:id="90" w:name="_Toc7414_WPSOffice_Level2"/>
      <w:bookmarkStart w:id="91" w:name="_Toc5221_WPSOffice_Level2"/>
      <w:bookmarkStart w:id="92" w:name="_Toc16352_WPSOffice_Level2"/>
      <w:bookmarkStart w:id="93" w:name="_Toc16862_WPSOffice_Level2"/>
      <w:bookmarkStart w:id="94" w:name="_Toc57914191"/>
      <w:r>
        <w:rPr>
          <w:rFonts w:hint="eastAsia"/>
          <w:color w:val="auto"/>
          <w:highlight w:val="none"/>
        </w:rPr>
        <w:t>第</w:t>
      </w:r>
      <w:r>
        <w:rPr>
          <w:rFonts w:hint="eastAsia"/>
          <w:color w:val="auto"/>
          <w:highlight w:val="none"/>
          <w:lang w:eastAsia="zh-CN"/>
        </w:rPr>
        <w:t>一</w:t>
      </w:r>
      <w:r>
        <w:rPr>
          <w:rFonts w:hint="eastAsia"/>
          <w:color w:val="auto"/>
          <w:highlight w:val="none"/>
        </w:rPr>
        <w:t xml:space="preserve">节 </w:t>
      </w:r>
      <w:bookmarkEnd w:id="89"/>
      <w:r>
        <w:rPr>
          <w:rFonts w:hint="eastAsia"/>
          <w:color w:val="auto"/>
          <w:highlight w:val="none"/>
          <w:lang w:eastAsia="zh-CN"/>
        </w:rPr>
        <w:t>优化国土空间</w:t>
      </w:r>
      <w:bookmarkEnd w:id="90"/>
      <w:r>
        <w:rPr>
          <w:rFonts w:hint="eastAsia"/>
          <w:color w:val="auto"/>
          <w:highlight w:val="none"/>
          <w:lang w:eastAsia="zh-CN"/>
        </w:rPr>
        <w:t>发展格局</w:t>
      </w:r>
      <w:bookmarkEnd w:id="91"/>
      <w:bookmarkEnd w:id="92"/>
    </w:p>
    <w:p>
      <w:pPr>
        <w:pageBreakBefore w:val="0"/>
        <w:widowControl w:val="0"/>
        <w:kinsoku/>
        <w:wordWrap w:val="0"/>
        <w:overflowPunct/>
        <w:topLinePunct w:val="0"/>
        <w:autoSpaceDE w:val="0"/>
        <w:autoSpaceDN w:val="0"/>
        <w:bidi w:val="0"/>
        <w:adjustRightInd w:val="0"/>
        <w:snapToGrid/>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深化国土空间规划，</w:t>
      </w:r>
      <w:r>
        <w:rPr>
          <w:rFonts w:hint="eastAsia" w:ascii="仿宋_GB2312" w:hAnsi="仿宋_GB2312" w:eastAsia="仿宋_GB2312" w:cs="仿宋_GB2312"/>
          <w:color w:val="auto"/>
          <w:kern w:val="0"/>
          <w:sz w:val="32"/>
          <w:szCs w:val="32"/>
          <w:highlight w:val="none"/>
          <w:lang w:eastAsia="zh-CN"/>
        </w:rPr>
        <w:t>实施新型城镇化战略，</w:t>
      </w:r>
      <w:r>
        <w:rPr>
          <w:rFonts w:hint="eastAsia" w:ascii="仿宋_GB2312" w:hAnsi="仿宋_GB2312" w:eastAsia="仿宋_GB2312" w:cs="仿宋_GB2312"/>
          <w:color w:val="auto"/>
          <w:kern w:val="0"/>
          <w:sz w:val="32"/>
          <w:szCs w:val="32"/>
          <w:highlight w:val="none"/>
        </w:rPr>
        <w:t>推进城镇区域协调发展，加快</w:t>
      </w:r>
      <w:r>
        <w:rPr>
          <w:rFonts w:hint="eastAsia" w:ascii="仿宋_GB2312" w:hAnsi="仿宋_GB2312" w:eastAsia="仿宋_GB2312" w:cs="仿宋_GB2312"/>
          <w:color w:val="auto"/>
          <w:kern w:val="0"/>
          <w:sz w:val="32"/>
          <w:szCs w:val="32"/>
          <w:highlight w:val="none"/>
          <w:lang w:eastAsia="zh-CN"/>
        </w:rPr>
        <w:t>儋州</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洋浦</w:t>
      </w:r>
      <w:r>
        <w:rPr>
          <w:rFonts w:hint="eastAsia" w:ascii="仿宋_GB2312" w:hAnsi="仿宋_GB2312" w:eastAsia="仿宋_GB2312" w:cs="仿宋_GB2312"/>
          <w:color w:val="auto"/>
          <w:kern w:val="0"/>
          <w:sz w:val="32"/>
          <w:szCs w:val="32"/>
          <w:highlight w:val="none"/>
          <w:lang w:eastAsia="zh-CN"/>
        </w:rPr>
        <w:t>“环新英湾”</w:t>
      </w:r>
      <w:r>
        <w:rPr>
          <w:rFonts w:hint="eastAsia" w:ascii="仿宋_GB2312" w:hAnsi="仿宋_GB2312" w:eastAsia="仿宋_GB2312" w:cs="仿宋_GB2312"/>
          <w:color w:val="auto"/>
          <w:kern w:val="0"/>
          <w:sz w:val="32"/>
          <w:szCs w:val="32"/>
          <w:highlight w:val="none"/>
        </w:rPr>
        <w:t>港产城</w:t>
      </w:r>
      <w:r>
        <w:rPr>
          <w:rFonts w:hint="eastAsia" w:ascii="仿宋_GB2312" w:hAnsi="仿宋_GB2312" w:eastAsia="仿宋_GB2312" w:cs="仿宋_GB2312"/>
          <w:color w:val="auto"/>
          <w:kern w:val="0"/>
          <w:sz w:val="32"/>
          <w:szCs w:val="32"/>
          <w:highlight w:val="none"/>
          <w:lang w:eastAsia="zh-CN"/>
        </w:rPr>
        <w:t>一体化发展</w:t>
      </w:r>
      <w:r>
        <w:rPr>
          <w:rFonts w:hint="eastAsia" w:ascii="仿宋_GB2312" w:eastAsia="仿宋_GB2312"/>
          <w:color w:val="auto"/>
          <w:sz w:val="32"/>
          <w:szCs w:val="32"/>
          <w:highlight w:val="none"/>
        </w:rPr>
        <w:t>。</w:t>
      </w:r>
    </w:p>
    <w:p>
      <w:pPr>
        <w:pageBreakBefore w:val="0"/>
        <w:widowControl w:val="0"/>
        <w:kinsoku/>
        <w:wordWrap w:val="0"/>
        <w:overflowPunct/>
        <w:topLinePunct w:val="0"/>
        <w:bidi w:val="0"/>
        <w:snapToGrid/>
        <w:spacing w:line="560" w:lineRule="exact"/>
        <w:ind w:firstLine="643" w:firstLineChars="200"/>
        <w:textAlignment w:val="auto"/>
        <w:outlineLvl w:val="2"/>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bCs/>
          <w:color w:val="auto"/>
          <w:sz w:val="32"/>
          <w:szCs w:val="32"/>
          <w:highlight w:val="none"/>
        </w:rPr>
        <w:t>优化空间发展布局</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衔接省域“多规合一”改革工作。以“多规合一”为引领，省级国土空间总体规划为指导，统筹山水林田湖草等全域全要素空间，科学划定国土空间用途分区及重要控制线体系，坚持陆海统筹，落实省下达的耕地、林地保有量指标及建设用地规模，持续推进城镇开发边界内的城市、建制镇及产业园区控制性详细规划</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u w:val="none"/>
          <w:lang w:eastAsia="zh-CN"/>
        </w:rPr>
        <w:t>开展村庄规划编制工作，</w:t>
      </w:r>
      <w:r>
        <w:rPr>
          <w:rFonts w:hint="eastAsia" w:ascii="仿宋_GB2312" w:hAnsi="仿宋_GB2312" w:eastAsia="仿宋_GB2312" w:cs="仿宋_GB2312"/>
          <w:b w:val="0"/>
          <w:bCs w:val="0"/>
          <w:color w:val="auto"/>
          <w:kern w:val="0"/>
          <w:sz w:val="32"/>
          <w:szCs w:val="32"/>
          <w:highlight w:val="none"/>
          <w:u w:val="none"/>
        </w:rPr>
        <w:t>加快完成相关专项规划编制</w:t>
      </w:r>
      <w:r>
        <w:rPr>
          <w:rFonts w:hint="eastAsia" w:ascii="仿宋_GB2312" w:hAnsi="仿宋_GB2312" w:eastAsia="仿宋_GB2312" w:cs="仿宋_GB2312"/>
          <w:b w:val="0"/>
          <w:bCs w:val="0"/>
          <w:color w:val="auto"/>
          <w:kern w:val="0"/>
          <w:sz w:val="32"/>
          <w:szCs w:val="32"/>
          <w:highlight w:val="none"/>
          <w:u w:val="none"/>
          <w:lang w:eastAsia="zh-CN"/>
        </w:rPr>
        <w:t>，实现应编尽编</w:t>
      </w:r>
      <w:r>
        <w:rPr>
          <w:rFonts w:hint="eastAsia" w:ascii="仿宋_GB2312" w:hAnsi="仿宋_GB2312" w:eastAsia="仿宋_GB2312" w:cs="仿宋_GB2312"/>
          <w:b w:val="0"/>
          <w:bCs w:val="0"/>
          <w:color w:val="auto"/>
          <w:kern w:val="0"/>
          <w:sz w:val="32"/>
          <w:szCs w:val="32"/>
          <w:highlight w:val="none"/>
          <w:u w:val="none"/>
        </w:rPr>
        <w:t>。</w:t>
      </w:r>
      <w:r>
        <w:rPr>
          <w:rFonts w:hint="eastAsia" w:ascii="仿宋_GB2312" w:hAnsi="仿宋_GB2312" w:eastAsia="仿宋_GB2312" w:cs="仿宋_GB2312"/>
          <w:b w:val="0"/>
          <w:bCs w:val="0"/>
          <w:color w:val="auto"/>
          <w:kern w:val="0"/>
          <w:sz w:val="32"/>
          <w:szCs w:val="32"/>
          <w:highlight w:val="none"/>
          <w:u w:val="none"/>
          <w:lang w:eastAsia="zh-CN"/>
        </w:rPr>
        <w:t>建设市“多规合一”信息平台，实现“机器管规划”目标。</w:t>
      </w:r>
    </w:p>
    <w:p>
      <w:pPr>
        <w:pageBreakBefore w:val="0"/>
        <w:widowControl w:val="0"/>
        <w:kinsoku/>
        <w:wordWrap w:val="0"/>
        <w:overflowPunct/>
        <w:topLinePunct w:val="0"/>
        <w:bidi w:val="0"/>
        <w:snapToGrid/>
        <w:spacing w:line="560" w:lineRule="exact"/>
        <w:ind w:firstLine="643" w:firstLineChars="200"/>
        <w:textAlignment w:val="auto"/>
        <w:outlineLvl w:val="2"/>
        <w:rPr>
          <w:rFonts w:hint="eastAsia" w:eastAsia="仿宋_GB2312"/>
          <w:b w:val="0"/>
          <w:bCs w:val="0"/>
          <w:color w:val="auto"/>
          <w:kern w:val="0"/>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推动镇域协调发展。</w:t>
      </w:r>
      <w:r>
        <w:rPr>
          <w:rFonts w:hint="eastAsia" w:eastAsia="仿宋_GB2312"/>
          <w:b w:val="0"/>
          <w:bCs w:val="0"/>
          <w:color w:val="auto"/>
          <w:kern w:val="0"/>
          <w:sz w:val="32"/>
          <w:szCs w:val="32"/>
          <w:highlight w:val="none"/>
          <w:lang w:eastAsia="zh-CN"/>
        </w:rPr>
        <w:t>遵循“规划引领、有序推进，注重品质、公共优先，多方参与、共建共享”的原则，坚持重点镇带动，健全镇域统筹、镇域合作互助、市场化一体发展、投资合理增长等镇域协调发展新机制，更好的鼓励镇域共同发展。强镇扩权，资源、资金、人员向镇域倾斜。完善财政转移支付制度，加大对欠发展地区的财力支持，逐步实现基本公共服务均等化。完善那大地区城市功能，推进那大、和庆、兰洋、南丰融合发展。加快滨海新区基础设施建设，促进白马井、排浦、王五、新州集聚发展。支持有条件的地区实施城市更新，稳步推进旧城区、棚户区和老旧小区改造。</w:t>
      </w:r>
    </w:p>
    <w:p>
      <w:pPr>
        <w:pStyle w:val="2"/>
        <w:pageBreakBefore w:val="0"/>
        <w:widowControl w:val="0"/>
        <w:kinsoku/>
        <w:overflowPunct/>
        <w:topLinePunct w:val="0"/>
        <w:bidi w:val="0"/>
        <w:snapToGrid/>
        <w:spacing w:line="560" w:lineRule="exact"/>
        <w:ind w:firstLine="643" w:firstLineChars="200"/>
        <w:textAlignment w:val="auto"/>
        <w:rPr>
          <w:rFonts w:hint="eastAsia"/>
          <w:color w:val="auto"/>
          <w:highlight w:val="none"/>
        </w:rPr>
      </w:pPr>
      <w:r>
        <w:rPr>
          <w:rFonts w:hint="eastAsia" w:eastAsia="仿宋_GB2312"/>
          <w:b/>
          <w:bCs/>
          <w:color w:val="auto"/>
          <w:kern w:val="0"/>
          <w:sz w:val="32"/>
          <w:szCs w:val="32"/>
          <w:highlight w:val="none"/>
          <w:lang w:eastAsia="zh-CN"/>
        </w:rPr>
        <w:t>加快新型城镇化建设。</w:t>
      </w:r>
      <w:r>
        <w:rPr>
          <w:rFonts w:hint="eastAsia" w:eastAsia="仿宋_GB2312"/>
          <w:b w:val="0"/>
          <w:bCs w:val="0"/>
          <w:color w:val="auto"/>
          <w:kern w:val="0"/>
          <w:sz w:val="32"/>
          <w:szCs w:val="32"/>
          <w:highlight w:val="none"/>
          <w:lang w:eastAsia="zh-CN"/>
        </w:rPr>
        <w:t>深化户籍制度改革，进一步放宽户口迁移政策，统筹各类群体落户，整合优化引进人才落户政策。实行以公民身份证为唯一标识、全岛统一的居住证制度。</w:t>
      </w:r>
      <w:r>
        <w:rPr>
          <w:rFonts w:hint="eastAsia" w:ascii="仿宋_GB2312" w:eastAsia="仿宋_GB2312"/>
          <w:color w:val="auto"/>
          <w:sz w:val="32"/>
          <w:szCs w:val="32"/>
          <w:highlight w:val="none"/>
        </w:rPr>
        <w:t>加快农业转移人口市民化，建立健全由政府、企业、个人共同参与的农业转移人口市民化成本分担机制。</w:t>
      </w:r>
      <w:r>
        <w:rPr>
          <w:rFonts w:hint="eastAsia" w:ascii="仿宋_GB2312" w:eastAsia="仿宋_GB2312"/>
          <w:color w:val="auto"/>
          <w:sz w:val="32"/>
          <w:szCs w:val="32"/>
          <w:highlight w:val="none"/>
          <w:lang w:eastAsia="zh-CN"/>
        </w:rPr>
        <w:t>维护进城落户农民土地承包权、宅基地使用权、集体收益分配权，按照自愿有偿原则，探索其转让上述权益的具体办法。促进人口集聚发展。以自愿为原则、以政府为主导、以市场化方式，推动农村地区人口向城区梯度转移。合理引导常住居民及短期居住人口集聚发展。到</w:t>
      </w:r>
      <w:r>
        <w:rPr>
          <w:rFonts w:hint="eastAsia" w:ascii="仿宋_GB2312" w:eastAsia="仿宋_GB2312"/>
          <w:color w:val="auto"/>
          <w:sz w:val="32"/>
          <w:szCs w:val="32"/>
          <w:highlight w:val="none"/>
          <w:lang w:val="en-US" w:eastAsia="zh-CN"/>
        </w:rPr>
        <w:t>2025年，城镇化率达到60%。</w:t>
      </w:r>
    </w:p>
    <w:p>
      <w:pPr>
        <w:pStyle w:val="4"/>
        <w:pageBreakBefore w:val="0"/>
        <w:widowControl w:val="0"/>
        <w:kinsoku/>
        <w:overflowPunct/>
        <w:topLinePunct w:val="0"/>
        <w:bidi w:val="0"/>
        <w:snapToGrid/>
        <w:spacing w:line="560" w:lineRule="exact"/>
        <w:textAlignment w:val="auto"/>
        <w:rPr>
          <w:color w:val="auto"/>
          <w:highlight w:val="none"/>
        </w:rPr>
      </w:pPr>
      <w:bookmarkStart w:id="95" w:name="_Toc32295_WPSOffice_Level2"/>
      <w:bookmarkStart w:id="96" w:name="_Toc5789_WPSOffice_Level2"/>
      <w:r>
        <w:rPr>
          <w:rFonts w:hint="eastAsia"/>
          <w:color w:val="auto"/>
          <w:highlight w:val="none"/>
        </w:rPr>
        <w:t>第</w:t>
      </w:r>
      <w:r>
        <w:rPr>
          <w:rFonts w:hint="eastAsia"/>
          <w:color w:val="auto"/>
          <w:highlight w:val="none"/>
          <w:lang w:eastAsia="zh-CN"/>
        </w:rPr>
        <w:t>二</w:t>
      </w:r>
      <w:r>
        <w:rPr>
          <w:rFonts w:hint="eastAsia"/>
          <w:color w:val="auto"/>
          <w:highlight w:val="none"/>
        </w:rPr>
        <w:t xml:space="preserve">节 </w:t>
      </w:r>
      <w:bookmarkEnd w:id="93"/>
      <w:bookmarkEnd w:id="94"/>
      <w:r>
        <w:rPr>
          <w:rFonts w:hint="eastAsia"/>
          <w:color w:val="auto"/>
          <w:highlight w:val="none"/>
          <w:lang w:eastAsia="zh-CN"/>
        </w:rPr>
        <w:t>五网基础设施提质升级</w:t>
      </w:r>
      <w:bookmarkEnd w:id="95"/>
      <w:bookmarkEnd w:id="96"/>
    </w:p>
    <w:p>
      <w:pPr>
        <w:pageBreakBefore w:val="0"/>
        <w:widowControl w:val="0"/>
        <w:kinsoku/>
        <w:wordWrap w:val="0"/>
        <w:overflowPunct/>
        <w:topLinePunct w:val="0"/>
        <w:autoSpaceDE w:val="0"/>
        <w:autoSpaceDN w:val="0"/>
        <w:bidi w:val="0"/>
        <w:adjustRightInd w:val="0"/>
        <w:snapToGrid/>
        <w:spacing w:line="560" w:lineRule="exact"/>
        <w:ind w:firstLine="640" w:firstLineChars="200"/>
        <w:textAlignment w:val="auto"/>
        <w:rPr>
          <w:rFonts w:ascii="仿宋_GB2312" w:hAnsi="Calibri" w:eastAsia="仿宋_GB2312"/>
          <w:color w:val="auto"/>
          <w:kern w:val="0"/>
          <w:sz w:val="32"/>
          <w:szCs w:val="32"/>
          <w:highlight w:val="none"/>
        </w:rPr>
      </w:pPr>
      <w:r>
        <w:rPr>
          <w:rFonts w:hint="eastAsia" w:ascii="仿宋_GB2312" w:hAnsi="Calibri" w:eastAsia="仿宋_GB2312"/>
          <w:color w:val="auto"/>
          <w:kern w:val="0"/>
          <w:sz w:val="32"/>
          <w:szCs w:val="32"/>
          <w:highlight w:val="none"/>
        </w:rPr>
        <w:t>坚持立体化、枢纽性、通达性原则，</w:t>
      </w:r>
      <w:r>
        <w:rPr>
          <w:rFonts w:hint="eastAsia" w:ascii="仿宋_GB2312" w:hAnsi="Calibri" w:eastAsia="仿宋_GB2312"/>
          <w:color w:val="auto"/>
          <w:kern w:val="0"/>
          <w:sz w:val="32"/>
          <w:szCs w:val="32"/>
          <w:highlight w:val="none"/>
          <w:lang w:eastAsia="zh-CN"/>
        </w:rPr>
        <w:t>以“两港三路”为重点，</w:t>
      </w:r>
      <w:r>
        <w:rPr>
          <w:rFonts w:hint="eastAsia" w:ascii="仿宋_GB2312" w:hAnsi="Calibri" w:eastAsia="仿宋_GB2312"/>
          <w:color w:val="auto"/>
          <w:kern w:val="0"/>
          <w:sz w:val="32"/>
          <w:szCs w:val="32"/>
          <w:highlight w:val="none"/>
        </w:rPr>
        <w:t>构建儋州综合交通运输西北、西南、东北、东南“四大通道”。</w:t>
      </w:r>
    </w:p>
    <w:p>
      <w:pPr>
        <w:pageBreakBefore w:val="0"/>
        <w:widowControl w:val="0"/>
        <w:kinsoku/>
        <w:wordWrap w:val="0"/>
        <w:overflowPunct/>
        <w:topLinePunct w:val="0"/>
        <w:bidi w:val="0"/>
        <w:snapToGrid/>
        <w:spacing w:line="560" w:lineRule="exact"/>
        <w:ind w:firstLine="643" w:firstLineChars="200"/>
        <w:textAlignment w:val="auto"/>
        <w:outlineLvl w:val="2"/>
        <w:rPr>
          <w:rFonts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sz w:val="32"/>
          <w:szCs w:val="32"/>
          <w:highlight w:val="none"/>
          <w:lang w:val="en-US" w:eastAsia="zh-CN"/>
        </w:rPr>
        <w:t>构建现代综合交通运输体系。</w:t>
      </w:r>
      <w:r>
        <w:rPr>
          <w:rFonts w:hint="eastAsia" w:ascii="仿宋_GB2312" w:hAnsi="仿宋_GB2312" w:eastAsia="仿宋_GB2312" w:cs="仿宋_GB2312"/>
          <w:b/>
          <w:bCs/>
          <w:color w:val="auto"/>
          <w:kern w:val="0"/>
          <w:sz w:val="32"/>
          <w:szCs w:val="32"/>
          <w:highlight w:val="none"/>
          <w:lang w:eastAsia="zh-CN"/>
        </w:rPr>
        <w:t>航空体系。</w:t>
      </w:r>
      <w:r>
        <w:rPr>
          <w:rFonts w:hint="eastAsia" w:ascii="仿宋_GB2312" w:hAnsi="仿宋_GB2312" w:eastAsia="仿宋_GB2312" w:cs="仿宋_GB2312"/>
          <w:b w:val="0"/>
          <w:bCs w:val="0"/>
          <w:color w:val="auto"/>
          <w:kern w:val="0"/>
          <w:sz w:val="32"/>
          <w:szCs w:val="32"/>
          <w:highlight w:val="none"/>
          <w:lang w:eastAsia="zh-CN"/>
        </w:rPr>
        <w:t>加快儋州机场建设，补齐航空运输短板。</w:t>
      </w:r>
      <w:r>
        <w:rPr>
          <w:rFonts w:hint="eastAsia" w:ascii="仿宋_GB2312" w:hAnsi="仿宋_GB2312" w:eastAsia="仿宋_GB2312" w:cs="仿宋_GB2312"/>
          <w:color w:val="auto"/>
          <w:sz w:val="32"/>
          <w:szCs w:val="32"/>
          <w:highlight w:val="none"/>
          <w:lang w:val="en-US" w:eastAsia="zh-CN"/>
        </w:rPr>
        <w:t>推进通航机场建设及通航产业导入，加强与深圳市航空业协会等通航企业、机构、俱乐部合作，构筑通航军民融合、旅游、培训、研发、制造、组装、作业产业模式，初步建成航空体系</w:t>
      </w:r>
      <w:r>
        <w:rPr>
          <w:rFonts w:hint="eastAsia" w:ascii="仿宋_GB2312" w:hAnsi="Calibri" w:eastAsia="仿宋_GB2312"/>
          <w:bCs/>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eastAsia="zh-CN"/>
        </w:rPr>
        <w:t>引进航空物流公司，初步建立航空物流体系。</w:t>
      </w:r>
      <w:r>
        <w:rPr>
          <w:rFonts w:hint="eastAsia" w:ascii="仿宋_GB2312" w:hAnsi="仿宋_GB2312" w:eastAsia="仿宋_GB2312" w:cs="仿宋_GB2312"/>
          <w:b/>
          <w:bCs/>
          <w:color w:val="auto"/>
          <w:kern w:val="0"/>
          <w:sz w:val="32"/>
          <w:szCs w:val="32"/>
          <w:highlight w:val="none"/>
        </w:rPr>
        <w:t>港口码头。</w:t>
      </w:r>
      <w:r>
        <w:rPr>
          <w:rFonts w:hint="eastAsia" w:ascii="仿宋_GB2312" w:hAnsi="仿宋_GB2312" w:eastAsia="仿宋_GB2312" w:cs="仿宋_GB2312"/>
          <w:b w:val="0"/>
          <w:bCs w:val="0"/>
          <w:color w:val="auto"/>
          <w:kern w:val="0"/>
          <w:sz w:val="32"/>
          <w:szCs w:val="32"/>
          <w:highlight w:val="none"/>
        </w:rPr>
        <w:t>系统完善港口与码头布局，</w:t>
      </w:r>
      <w:r>
        <w:rPr>
          <w:rFonts w:hint="eastAsia" w:ascii="仿宋_GB2312" w:hAnsi="仿宋_GB2312" w:eastAsia="仿宋_GB2312" w:cs="仿宋_GB2312"/>
          <w:b w:val="0"/>
          <w:bCs w:val="0"/>
          <w:color w:val="auto"/>
          <w:kern w:val="0"/>
          <w:sz w:val="32"/>
          <w:szCs w:val="32"/>
          <w:highlight w:val="none"/>
          <w:lang w:eastAsia="zh-CN"/>
        </w:rPr>
        <w:t>支持建设游艇游轮码头，发展游艇游轮产业。规划建设海头、新英等一批渔港</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b/>
          <w:bCs/>
          <w:color w:val="auto"/>
          <w:kern w:val="0"/>
          <w:sz w:val="32"/>
          <w:szCs w:val="32"/>
          <w:highlight w:val="none"/>
          <w:lang w:eastAsia="zh-CN"/>
        </w:rPr>
        <w:t>对外交通</w:t>
      </w:r>
      <w:r>
        <w:rPr>
          <w:rFonts w:hint="eastAsia" w:ascii="仿宋_GB2312" w:hAnsi="Calibri" w:eastAsia="仿宋_GB2312"/>
          <w:b/>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打造</w:t>
      </w:r>
      <w:r>
        <w:rPr>
          <w:rFonts w:hint="eastAsia" w:ascii="仿宋_GB2312" w:hAnsi="仿宋_GB2312" w:eastAsia="仿宋_GB2312" w:cs="仿宋_GB2312"/>
          <w:color w:val="auto"/>
          <w:kern w:val="0"/>
          <w:sz w:val="32"/>
          <w:szCs w:val="32"/>
          <w:highlight w:val="none"/>
        </w:rPr>
        <w:t>省会城市1小时</w:t>
      </w:r>
      <w:r>
        <w:rPr>
          <w:rFonts w:hint="eastAsia" w:ascii="仿宋_GB2312" w:hAnsi="仿宋_GB2312" w:eastAsia="仿宋_GB2312" w:cs="仿宋_GB2312"/>
          <w:color w:val="auto"/>
          <w:kern w:val="0"/>
          <w:sz w:val="32"/>
          <w:szCs w:val="32"/>
          <w:highlight w:val="none"/>
          <w:lang w:eastAsia="zh-CN"/>
        </w:rPr>
        <w:t>交通</w:t>
      </w:r>
      <w:r>
        <w:rPr>
          <w:rFonts w:hint="eastAsia" w:ascii="仿宋_GB2312" w:hAnsi="仿宋_GB2312" w:eastAsia="仿宋_GB2312" w:cs="仿宋_GB2312"/>
          <w:color w:val="auto"/>
          <w:kern w:val="0"/>
          <w:sz w:val="32"/>
          <w:szCs w:val="32"/>
          <w:highlight w:val="none"/>
        </w:rPr>
        <w:t>圈</w:t>
      </w:r>
      <w:r>
        <w:rPr>
          <w:rFonts w:hint="eastAsia" w:ascii="仿宋_GB2312" w:hAnsi="仿宋_GB2312" w:eastAsia="仿宋_GB2312" w:cs="仿宋_GB2312"/>
          <w:color w:val="auto"/>
          <w:kern w:val="0"/>
          <w:sz w:val="32"/>
          <w:szCs w:val="32"/>
          <w:highlight w:val="none"/>
          <w:lang w:eastAsia="zh-CN"/>
        </w:rPr>
        <w:t>、周边市县</w:t>
      </w:r>
      <w:r>
        <w:rPr>
          <w:rFonts w:hint="eastAsia" w:ascii="仿宋_GB2312" w:hAnsi="仿宋_GB2312" w:eastAsia="仿宋_GB2312" w:cs="仿宋_GB2312"/>
          <w:color w:val="auto"/>
          <w:kern w:val="0"/>
          <w:sz w:val="32"/>
          <w:szCs w:val="32"/>
          <w:highlight w:val="none"/>
          <w:lang w:val="en-US" w:eastAsia="zh-CN"/>
        </w:rPr>
        <w:t>40分钟生活圈，实现</w:t>
      </w:r>
      <w:r>
        <w:rPr>
          <w:rFonts w:hint="eastAsia" w:ascii="仿宋_GB2312" w:hAnsi="仿宋_GB2312" w:eastAsia="仿宋_GB2312" w:cs="仿宋_GB2312"/>
          <w:color w:val="auto"/>
          <w:kern w:val="0"/>
          <w:sz w:val="32"/>
          <w:szCs w:val="32"/>
          <w:highlight w:val="none"/>
        </w:rPr>
        <w:t>儋州交通节点化。</w:t>
      </w:r>
      <w:r>
        <w:rPr>
          <w:rFonts w:hint="eastAsia" w:ascii="仿宋_GB2312" w:hAnsi="仿宋_GB2312" w:eastAsia="仿宋_GB2312" w:cs="仿宋_GB2312"/>
          <w:color w:val="auto"/>
          <w:kern w:val="0"/>
          <w:sz w:val="32"/>
          <w:szCs w:val="32"/>
          <w:highlight w:val="none"/>
          <w:lang w:eastAsia="zh-CN"/>
        </w:rPr>
        <w:t>铁路重点建设儋州</w:t>
      </w:r>
      <w:r>
        <w:rPr>
          <w:rFonts w:hint="eastAsia" w:ascii="仿宋_GB2312" w:hAnsi="仿宋_GB2312" w:eastAsia="仿宋_GB2312" w:cs="仿宋_GB2312"/>
          <w:color w:val="auto"/>
          <w:kern w:val="0"/>
          <w:sz w:val="32"/>
          <w:szCs w:val="32"/>
          <w:highlight w:val="none"/>
          <w:lang w:val="en-US" w:eastAsia="zh-CN"/>
        </w:rPr>
        <w:t>-洋浦高铁、粤海普速铁路电气化旅游化改造。公路重点建设儋州-海口高速、儋州-昌江高速、万洋高速王五互通、南丰互通，推动洋浦疏港高速、环岛旅游公路儋州段建设。</w:t>
      </w:r>
      <w:r>
        <w:rPr>
          <w:rFonts w:hint="eastAsia" w:ascii="仿宋_GB2312" w:hAnsi="仿宋_GB2312" w:eastAsia="仿宋_GB2312" w:cs="仿宋_GB2312"/>
          <w:b/>
          <w:bCs/>
          <w:color w:val="auto"/>
          <w:kern w:val="0"/>
          <w:sz w:val="32"/>
          <w:szCs w:val="32"/>
          <w:highlight w:val="none"/>
          <w:lang w:val="en-US" w:eastAsia="zh-CN"/>
        </w:rPr>
        <w:t>市域交通。</w:t>
      </w:r>
      <w:r>
        <w:rPr>
          <w:rFonts w:hint="eastAsia" w:ascii="仿宋_GB2312" w:hAnsi="仿宋_GB2312" w:eastAsia="仿宋_GB2312" w:cs="仿宋_GB2312"/>
          <w:b w:val="0"/>
          <w:bCs w:val="0"/>
          <w:color w:val="auto"/>
          <w:kern w:val="0"/>
          <w:sz w:val="32"/>
          <w:szCs w:val="32"/>
          <w:highlight w:val="none"/>
          <w:lang w:val="en-US" w:eastAsia="zh-CN"/>
        </w:rPr>
        <w:t>以畅通市内镇村、村村，衔接旅游景区景点为重点，打造半小时镇域经济圈和美丽乡村圈，推进市域公共交通设施建设，提升出行服务便捷化水平。</w:t>
      </w:r>
      <w:r>
        <w:rPr>
          <w:rFonts w:hint="eastAsia" w:ascii="仿宋_GB2312" w:hAnsi="仿宋_GB2312" w:eastAsia="仿宋_GB2312" w:cs="仿宋_GB2312"/>
          <w:color w:val="auto"/>
          <w:sz w:val="32"/>
          <w:szCs w:val="32"/>
          <w:highlight w:val="none"/>
          <w:lang w:val="en-US" w:eastAsia="zh-CN"/>
        </w:rPr>
        <w:t>升级改造省道S308那大至东成段、省道S307兰洋至那大段、省道S315白马井至西培段以及省道S315王五工业园区至白马井段市政化改建工程等国省干线，G225城区段改建工程，拓宽改造新州至中和镇连通工程，提级完善重要乡镇客运站、城市公交换乘枢纽、交通扶贫六大工程等措施，将城市路网与外围交通结合，提升那大城区与各乡镇之间联通的效率和品质。</w:t>
      </w:r>
      <w:r>
        <w:rPr>
          <w:rFonts w:hint="eastAsia" w:ascii="仿宋_GB2312" w:hAnsi="仿宋_GB2312" w:eastAsia="仿宋_GB2312" w:cs="仿宋_GB2312"/>
          <w:b/>
          <w:bCs/>
          <w:color w:val="auto"/>
          <w:kern w:val="0"/>
          <w:sz w:val="32"/>
          <w:szCs w:val="32"/>
          <w:highlight w:val="none"/>
          <w:lang w:eastAsia="zh-CN"/>
        </w:rPr>
        <w:t>城市</w:t>
      </w:r>
      <w:r>
        <w:rPr>
          <w:rFonts w:hint="eastAsia" w:ascii="仿宋_GB2312" w:hAnsi="仿宋_GB2312" w:eastAsia="仿宋_GB2312" w:cs="仿宋_GB2312"/>
          <w:b/>
          <w:bCs/>
          <w:color w:val="auto"/>
          <w:kern w:val="0"/>
          <w:sz w:val="32"/>
          <w:szCs w:val="32"/>
          <w:highlight w:val="none"/>
        </w:rPr>
        <w:t>路网。</w:t>
      </w:r>
      <w:r>
        <w:rPr>
          <w:rFonts w:hint="eastAsia" w:ascii="仿宋_GB2312" w:hAnsi="仿宋_GB2312" w:eastAsia="仿宋_GB2312" w:cs="仿宋_GB2312"/>
          <w:b w:val="0"/>
          <w:bCs w:val="0"/>
          <w:color w:val="auto"/>
          <w:kern w:val="0"/>
          <w:sz w:val="32"/>
          <w:szCs w:val="32"/>
          <w:highlight w:val="none"/>
          <w:lang w:eastAsia="zh-CN"/>
        </w:rPr>
        <w:t>完善优化城市路网建设，</w:t>
      </w:r>
      <w:r>
        <w:rPr>
          <w:rFonts w:hint="eastAsia" w:ascii="仿宋_GB2312" w:hAnsi="仿宋_GB2312" w:eastAsia="仿宋_GB2312" w:cs="仿宋_GB2312"/>
          <w:color w:val="auto"/>
          <w:kern w:val="0"/>
          <w:sz w:val="32"/>
          <w:szCs w:val="32"/>
          <w:highlight w:val="none"/>
        </w:rPr>
        <w:t>调整城市路网级配</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推动那大城区内外“两环”建设，优化南北向道路。</w:t>
      </w:r>
      <w:r>
        <w:rPr>
          <w:rFonts w:hint="eastAsia" w:ascii="仿宋_GB2312" w:hAnsi="仿宋_GB2312" w:eastAsia="仿宋_GB2312" w:cs="仿宋_GB2312"/>
          <w:color w:val="auto"/>
          <w:kern w:val="0"/>
          <w:sz w:val="32"/>
          <w:szCs w:val="32"/>
          <w:highlight w:val="none"/>
          <w:lang w:eastAsia="zh-CN"/>
        </w:rPr>
        <w:t>加快滨海新区骨干市政道路建设</w:t>
      </w:r>
      <w:r>
        <w:rPr>
          <w:rFonts w:hint="eastAsia" w:ascii="仿宋_GB2312" w:hAnsi="仿宋_GB2312" w:eastAsia="仿宋_GB2312" w:cs="仿宋_GB2312"/>
          <w:color w:val="auto"/>
          <w:kern w:val="0"/>
          <w:sz w:val="32"/>
          <w:szCs w:val="32"/>
          <w:highlight w:val="none"/>
        </w:rPr>
        <w:t>，提</w:t>
      </w:r>
      <w:r>
        <w:rPr>
          <w:rFonts w:hint="eastAsia" w:ascii="仿宋_GB2312" w:hAnsi="仿宋_GB2312" w:eastAsia="仿宋_GB2312" w:cs="仿宋_GB2312"/>
          <w:color w:val="auto"/>
          <w:kern w:val="0"/>
          <w:sz w:val="32"/>
          <w:szCs w:val="32"/>
          <w:highlight w:val="none"/>
          <w:lang w:eastAsia="zh-CN"/>
        </w:rPr>
        <w:t>级</w:t>
      </w:r>
      <w:r>
        <w:rPr>
          <w:rFonts w:hint="eastAsia" w:ascii="仿宋_GB2312" w:hAnsi="仿宋_GB2312" w:eastAsia="仿宋_GB2312" w:cs="仿宋_GB2312"/>
          <w:color w:val="auto"/>
          <w:kern w:val="0"/>
          <w:sz w:val="32"/>
          <w:szCs w:val="32"/>
          <w:highlight w:val="none"/>
        </w:rPr>
        <w:t>改造老化道路</w:t>
      </w:r>
      <w:r>
        <w:rPr>
          <w:rFonts w:hint="eastAsia" w:ascii="仿宋_GB2312" w:hAnsi="仿宋_GB2312" w:eastAsia="仿宋_GB2312" w:cs="仿宋_GB2312"/>
          <w:color w:val="auto"/>
          <w:kern w:val="0"/>
          <w:sz w:val="32"/>
          <w:szCs w:val="32"/>
          <w:highlight w:val="none"/>
          <w:lang w:eastAsia="zh-CN"/>
        </w:rPr>
        <w:t>及小街小巷</w:t>
      </w:r>
      <w:r>
        <w:rPr>
          <w:rFonts w:hint="eastAsia" w:ascii="仿宋_GB2312" w:hAnsi="仿宋_GB2312" w:eastAsia="仿宋_GB2312" w:cs="仿宋_GB2312"/>
          <w:color w:val="auto"/>
          <w:kern w:val="0"/>
          <w:sz w:val="32"/>
          <w:szCs w:val="32"/>
          <w:highlight w:val="none"/>
          <w:lang w:val="en-US" w:eastAsia="zh-CN"/>
        </w:rPr>
        <w:t>。</w:t>
      </w:r>
    </w:p>
    <w:p>
      <w:pPr>
        <w:pageBreakBefore w:val="0"/>
        <w:widowControl w:val="0"/>
        <w:kinsoku/>
        <w:overflowPunct/>
        <w:topLinePunct w:val="0"/>
        <w:autoSpaceDE w:val="0"/>
        <w:autoSpaceDN w:val="0"/>
        <w:bidi w:val="0"/>
        <w:adjustRightInd w:val="0"/>
        <w:snapToGrid/>
        <w:spacing w:line="560" w:lineRule="exact"/>
        <w:ind w:firstLine="643" w:firstLineChars="200"/>
        <w:textAlignment w:val="auto"/>
        <w:rPr>
          <w:rFonts w:ascii="仿宋_GB2312" w:hAnsi="Calibri" w:eastAsia="仿宋_GB2312"/>
          <w:bCs/>
          <w:color w:val="auto"/>
          <w:kern w:val="0"/>
          <w:sz w:val="32"/>
          <w:szCs w:val="32"/>
          <w:highlight w:val="none"/>
        </w:rPr>
      </w:pPr>
      <w:r>
        <w:rPr>
          <w:rFonts w:hint="eastAsia" w:ascii="仿宋_GB2312" w:hAnsi="Calibri" w:eastAsia="仿宋_GB2312"/>
          <w:b/>
          <w:color w:val="auto"/>
          <w:kern w:val="0"/>
          <w:sz w:val="32"/>
          <w:szCs w:val="32"/>
          <w:highlight w:val="none"/>
        </w:rPr>
        <w:t>推进城镇电网建设。</w:t>
      </w:r>
      <w:r>
        <w:rPr>
          <w:rFonts w:hint="eastAsia" w:ascii="仿宋_GB2312" w:hAnsi="Calibri" w:eastAsia="仿宋_GB2312"/>
          <w:bCs/>
          <w:color w:val="auto"/>
          <w:kern w:val="0"/>
          <w:sz w:val="32"/>
          <w:szCs w:val="32"/>
          <w:highlight w:val="none"/>
          <w:lang w:eastAsia="zh-CN"/>
        </w:rPr>
        <w:t>根据</w:t>
      </w:r>
      <w:r>
        <w:rPr>
          <w:rFonts w:hint="eastAsia" w:ascii="仿宋_GB2312" w:hAnsi="Calibri" w:eastAsia="仿宋_GB2312"/>
          <w:bCs/>
          <w:color w:val="auto"/>
          <w:kern w:val="0"/>
          <w:sz w:val="32"/>
          <w:szCs w:val="32"/>
          <w:highlight w:val="none"/>
        </w:rPr>
        <w:t>儋州市</w:t>
      </w:r>
      <w:r>
        <w:rPr>
          <w:rFonts w:hint="eastAsia" w:ascii="仿宋_GB2312" w:hAnsi="Calibri" w:eastAsia="仿宋_GB2312"/>
          <w:bCs/>
          <w:color w:val="auto"/>
          <w:kern w:val="0"/>
          <w:sz w:val="32"/>
          <w:szCs w:val="32"/>
          <w:highlight w:val="none"/>
          <w:lang w:eastAsia="zh-CN"/>
        </w:rPr>
        <w:t>发展</w:t>
      </w:r>
      <w:r>
        <w:rPr>
          <w:rFonts w:hint="eastAsia" w:ascii="仿宋_GB2312" w:hAnsi="Calibri" w:eastAsia="仿宋_GB2312"/>
          <w:bCs/>
          <w:color w:val="auto"/>
          <w:kern w:val="0"/>
          <w:sz w:val="32"/>
          <w:szCs w:val="32"/>
          <w:highlight w:val="none"/>
        </w:rPr>
        <w:t>规划，以适度超前满足儋州市经济</w:t>
      </w:r>
      <w:r>
        <w:rPr>
          <w:rFonts w:hint="eastAsia" w:ascii="仿宋_GB2312" w:hAnsi="Calibri" w:eastAsia="仿宋_GB2312"/>
          <w:bCs/>
          <w:color w:val="auto"/>
          <w:kern w:val="0"/>
          <w:sz w:val="32"/>
          <w:szCs w:val="32"/>
          <w:highlight w:val="none"/>
          <w:lang w:eastAsia="zh-CN"/>
        </w:rPr>
        <w:t>社会</w:t>
      </w:r>
      <w:r>
        <w:rPr>
          <w:rFonts w:hint="eastAsia" w:ascii="仿宋_GB2312" w:hAnsi="Calibri" w:eastAsia="仿宋_GB2312"/>
          <w:bCs/>
          <w:color w:val="auto"/>
          <w:kern w:val="0"/>
          <w:sz w:val="32"/>
          <w:szCs w:val="32"/>
          <w:highlight w:val="none"/>
        </w:rPr>
        <w:t>发展电力需求为基本目标，优化电网结构、提高供电能力和可靠性、降低损耗，建设覆盖城乡智能、高效、可靠、绿色的电网体系。加快建设乡镇智能电网示范项目，提高配电网供电可靠性和智能化水平，降低用电成本。加快电缆管沟建设工作，加大住宅用电安全整改工作力度。集中建设或扩容一批110kV和3</w:t>
      </w:r>
      <w:r>
        <w:rPr>
          <w:rFonts w:ascii="仿宋_GB2312" w:hAnsi="Calibri" w:eastAsia="仿宋_GB2312"/>
          <w:bCs/>
          <w:color w:val="auto"/>
          <w:kern w:val="0"/>
          <w:sz w:val="32"/>
          <w:szCs w:val="32"/>
          <w:highlight w:val="none"/>
        </w:rPr>
        <w:t>5</w:t>
      </w:r>
      <w:r>
        <w:rPr>
          <w:rFonts w:hint="eastAsia" w:ascii="仿宋_GB2312" w:hAnsi="Calibri" w:eastAsia="仿宋_GB2312"/>
          <w:bCs/>
          <w:color w:val="auto"/>
          <w:kern w:val="0"/>
          <w:sz w:val="32"/>
          <w:szCs w:val="32"/>
          <w:highlight w:val="none"/>
        </w:rPr>
        <w:t>kV变电站，保障电力基础设施配套。到2</w:t>
      </w:r>
      <w:r>
        <w:rPr>
          <w:rFonts w:ascii="仿宋_GB2312" w:hAnsi="Calibri" w:eastAsia="仿宋_GB2312"/>
          <w:bCs/>
          <w:color w:val="auto"/>
          <w:kern w:val="0"/>
          <w:sz w:val="32"/>
          <w:szCs w:val="32"/>
          <w:highlight w:val="none"/>
        </w:rPr>
        <w:t>025</w:t>
      </w:r>
      <w:r>
        <w:rPr>
          <w:rFonts w:hint="eastAsia" w:ascii="仿宋_GB2312" w:hAnsi="Calibri" w:eastAsia="仿宋_GB2312"/>
          <w:bCs/>
          <w:color w:val="auto"/>
          <w:kern w:val="0"/>
          <w:sz w:val="32"/>
          <w:szCs w:val="32"/>
          <w:highlight w:val="none"/>
        </w:rPr>
        <w:t>年，儋州市供电可靠率达到99.973%，</w:t>
      </w:r>
      <w:r>
        <w:rPr>
          <w:rFonts w:hint="eastAsia" w:ascii="仿宋_GB2312" w:hAnsi="Calibri" w:eastAsia="仿宋_GB2312"/>
          <w:bCs/>
          <w:color w:val="auto"/>
          <w:kern w:val="0"/>
          <w:sz w:val="32"/>
          <w:szCs w:val="32"/>
          <w:highlight w:val="none"/>
          <w:lang w:eastAsia="zh-CN"/>
        </w:rPr>
        <w:t>核心区</w:t>
      </w:r>
      <w:r>
        <w:rPr>
          <w:rFonts w:hint="eastAsia" w:ascii="仿宋_GB2312" w:hAnsi="Calibri" w:eastAsia="仿宋_GB2312"/>
          <w:bCs/>
          <w:color w:val="auto"/>
          <w:kern w:val="0"/>
          <w:sz w:val="32"/>
          <w:szCs w:val="32"/>
          <w:highlight w:val="none"/>
        </w:rPr>
        <w:t>供电可靠率达到99.996%</w:t>
      </w:r>
      <w:r>
        <w:rPr>
          <w:rFonts w:hint="eastAsia" w:ascii="仿宋_GB2312" w:hAnsi="Calibri" w:eastAsia="仿宋_GB2312"/>
          <w:bCs/>
          <w:color w:val="auto"/>
          <w:kern w:val="0"/>
          <w:sz w:val="32"/>
          <w:szCs w:val="32"/>
          <w:highlight w:val="none"/>
          <w:lang w:eastAsia="zh-CN"/>
        </w:rPr>
        <w:t>，重点区域年户均停电时间缩短至</w:t>
      </w:r>
      <w:r>
        <w:rPr>
          <w:rFonts w:hint="eastAsia" w:ascii="仿宋_GB2312" w:hAnsi="Calibri" w:eastAsia="仿宋_GB2312"/>
          <w:bCs/>
          <w:color w:val="auto"/>
          <w:kern w:val="0"/>
          <w:sz w:val="32"/>
          <w:szCs w:val="32"/>
          <w:highlight w:val="none"/>
          <w:lang w:val="en-US" w:eastAsia="zh-CN"/>
        </w:rPr>
        <w:t>3小时以内</w:t>
      </w:r>
      <w:r>
        <w:rPr>
          <w:rFonts w:hint="eastAsia" w:ascii="仿宋_GB2312" w:hAnsi="Calibri" w:eastAsia="仿宋_GB2312"/>
          <w:bCs/>
          <w:color w:val="auto"/>
          <w:kern w:val="0"/>
          <w:sz w:val="32"/>
          <w:szCs w:val="32"/>
          <w:highlight w:val="none"/>
        </w:rPr>
        <w:t>。</w:t>
      </w:r>
    </w:p>
    <w:p>
      <w:pPr>
        <w:pageBreakBefore w:val="0"/>
        <w:widowControl w:val="0"/>
        <w:kinsoku/>
        <w:overflowPunct/>
        <w:topLinePunct w:val="0"/>
        <w:autoSpaceDE w:val="0"/>
        <w:autoSpaceDN w:val="0"/>
        <w:bidi w:val="0"/>
        <w:adjustRightInd w:val="0"/>
        <w:snapToGrid/>
        <w:spacing w:line="560" w:lineRule="exact"/>
        <w:ind w:firstLine="643" w:firstLineChars="200"/>
        <w:textAlignment w:val="auto"/>
        <w:rPr>
          <w:rFonts w:ascii="仿宋_GB2312" w:hAnsi="Calibri" w:eastAsia="仿宋_GB2312"/>
          <w:bCs/>
          <w:color w:val="auto"/>
          <w:kern w:val="0"/>
          <w:sz w:val="32"/>
          <w:szCs w:val="32"/>
          <w:highlight w:val="none"/>
        </w:rPr>
      </w:pPr>
      <w:r>
        <w:rPr>
          <w:rFonts w:hint="eastAsia" w:ascii="仿宋_GB2312" w:hAnsi="Calibri" w:eastAsia="仿宋_GB2312"/>
          <w:b/>
          <w:color w:val="auto"/>
          <w:kern w:val="0"/>
          <w:sz w:val="32"/>
          <w:szCs w:val="32"/>
          <w:highlight w:val="none"/>
        </w:rPr>
        <w:t>加快水</w:t>
      </w:r>
      <w:r>
        <w:rPr>
          <w:rFonts w:hint="eastAsia" w:ascii="仿宋_GB2312" w:hAnsi="Calibri" w:eastAsia="仿宋_GB2312"/>
          <w:b/>
          <w:color w:val="auto"/>
          <w:kern w:val="0"/>
          <w:sz w:val="32"/>
          <w:szCs w:val="32"/>
          <w:highlight w:val="none"/>
          <w:lang w:eastAsia="zh-CN"/>
        </w:rPr>
        <w:t>网</w:t>
      </w:r>
      <w:r>
        <w:rPr>
          <w:rFonts w:hint="eastAsia" w:ascii="仿宋_GB2312" w:hAnsi="Calibri" w:eastAsia="仿宋_GB2312"/>
          <w:b/>
          <w:color w:val="auto"/>
          <w:kern w:val="0"/>
          <w:sz w:val="32"/>
          <w:szCs w:val="32"/>
          <w:highlight w:val="none"/>
        </w:rPr>
        <w:t>工程建设。</w:t>
      </w:r>
      <w:r>
        <w:rPr>
          <w:rFonts w:hint="eastAsia" w:ascii="仿宋_GB2312" w:hAnsi="Calibri" w:eastAsia="仿宋_GB2312"/>
          <w:b/>
          <w:bCs w:val="0"/>
          <w:color w:val="auto"/>
          <w:kern w:val="0"/>
          <w:sz w:val="32"/>
          <w:szCs w:val="32"/>
          <w:highlight w:val="none"/>
        </w:rPr>
        <w:t>水利工程</w:t>
      </w:r>
      <w:r>
        <w:rPr>
          <w:rFonts w:hint="eastAsia" w:ascii="仿宋_GB2312" w:hAnsi="Calibri" w:eastAsia="仿宋_GB2312"/>
          <w:b/>
          <w:bCs w:val="0"/>
          <w:color w:val="auto"/>
          <w:kern w:val="0"/>
          <w:sz w:val="32"/>
          <w:szCs w:val="32"/>
          <w:highlight w:val="none"/>
          <w:lang w:eastAsia="zh-CN"/>
        </w:rPr>
        <w:t>。</w:t>
      </w:r>
      <w:r>
        <w:rPr>
          <w:rFonts w:hint="eastAsia" w:ascii="仿宋_GB2312" w:hAnsi="Calibri" w:eastAsia="仿宋_GB2312"/>
          <w:bCs/>
          <w:color w:val="auto"/>
          <w:kern w:val="0"/>
          <w:sz w:val="32"/>
          <w:szCs w:val="32"/>
          <w:highlight w:val="none"/>
        </w:rPr>
        <w:t>加快推进杨桥江水利枢纽工程、两院试验场水源工程，</w:t>
      </w:r>
      <w:r>
        <w:rPr>
          <w:rFonts w:hint="eastAsia" w:ascii="仿宋_GB2312" w:hAnsi="Calibri" w:eastAsia="仿宋_GB2312"/>
          <w:bCs/>
          <w:color w:val="auto"/>
          <w:kern w:val="0"/>
          <w:sz w:val="32"/>
          <w:szCs w:val="32"/>
          <w:highlight w:val="none"/>
          <w:lang w:eastAsia="zh-CN"/>
        </w:rPr>
        <w:t>实施</w:t>
      </w:r>
      <w:r>
        <w:rPr>
          <w:rFonts w:hint="eastAsia" w:ascii="仿宋_GB2312" w:hAnsi="Calibri" w:eastAsia="仿宋_GB2312"/>
          <w:bCs/>
          <w:color w:val="auto"/>
          <w:kern w:val="0"/>
          <w:sz w:val="32"/>
          <w:szCs w:val="32"/>
          <w:highlight w:val="none"/>
        </w:rPr>
        <w:t>松涛东干渠改线工程</w:t>
      </w:r>
      <w:r>
        <w:rPr>
          <w:rFonts w:hint="eastAsia" w:ascii="仿宋_GB2312" w:hAnsi="Calibri" w:eastAsia="仿宋_GB2312"/>
          <w:bCs/>
          <w:color w:val="auto"/>
          <w:kern w:val="0"/>
          <w:sz w:val="32"/>
          <w:szCs w:val="32"/>
          <w:highlight w:val="none"/>
          <w:lang w:eastAsia="zh-CN"/>
        </w:rPr>
        <w:t>，服务保障天角潭水利枢纽工程和琼西北供水工程，</w:t>
      </w:r>
      <w:r>
        <w:rPr>
          <w:rFonts w:hint="eastAsia" w:ascii="仿宋_GB2312" w:hAnsi="Calibri" w:eastAsia="仿宋_GB2312"/>
          <w:bCs/>
          <w:color w:val="auto"/>
          <w:kern w:val="0"/>
          <w:sz w:val="32"/>
          <w:szCs w:val="32"/>
          <w:highlight w:val="none"/>
        </w:rPr>
        <w:t>提升</w:t>
      </w:r>
      <w:r>
        <w:rPr>
          <w:rFonts w:hint="eastAsia" w:ascii="仿宋_GB2312" w:hAnsi="Calibri" w:eastAsia="仿宋_GB2312"/>
          <w:bCs/>
          <w:color w:val="auto"/>
          <w:kern w:val="0"/>
          <w:sz w:val="32"/>
          <w:szCs w:val="32"/>
          <w:highlight w:val="none"/>
          <w:lang w:eastAsia="zh-CN"/>
        </w:rPr>
        <w:t>生活</w:t>
      </w:r>
      <w:r>
        <w:rPr>
          <w:rFonts w:hint="eastAsia" w:ascii="仿宋_GB2312" w:hAnsi="Calibri" w:eastAsia="仿宋_GB2312"/>
          <w:bCs/>
          <w:color w:val="auto"/>
          <w:kern w:val="0"/>
          <w:sz w:val="32"/>
          <w:szCs w:val="32"/>
          <w:highlight w:val="none"/>
        </w:rPr>
        <w:t>生产用水保障能力。</w:t>
      </w:r>
      <w:r>
        <w:rPr>
          <w:rFonts w:hint="eastAsia" w:ascii="仿宋_GB2312" w:hAnsi="Calibri" w:eastAsia="仿宋_GB2312"/>
          <w:b/>
          <w:bCs w:val="0"/>
          <w:color w:val="auto"/>
          <w:kern w:val="0"/>
          <w:sz w:val="32"/>
          <w:szCs w:val="32"/>
          <w:highlight w:val="none"/>
          <w:lang w:eastAsia="zh-CN"/>
        </w:rPr>
        <w:t>城乡供水。</w:t>
      </w:r>
      <w:r>
        <w:rPr>
          <w:rFonts w:hint="eastAsia" w:ascii="仿宋_GB2312" w:hAnsi="Calibri" w:eastAsia="仿宋_GB2312"/>
          <w:bCs/>
          <w:color w:val="auto"/>
          <w:kern w:val="0"/>
          <w:sz w:val="32"/>
          <w:szCs w:val="32"/>
          <w:highlight w:val="none"/>
        </w:rPr>
        <w:t>建立“从源头到龙头”的城乡</w:t>
      </w:r>
      <w:r>
        <w:rPr>
          <w:rFonts w:hint="eastAsia" w:ascii="仿宋_GB2312" w:hAnsi="Calibri" w:eastAsia="仿宋_GB2312"/>
          <w:bCs/>
          <w:color w:val="auto"/>
          <w:kern w:val="0"/>
          <w:sz w:val="32"/>
          <w:szCs w:val="32"/>
          <w:highlight w:val="none"/>
          <w:lang w:eastAsia="zh-CN"/>
        </w:rPr>
        <w:t>一体化</w:t>
      </w:r>
      <w:r>
        <w:rPr>
          <w:rFonts w:hint="eastAsia" w:ascii="仿宋_GB2312" w:hAnsi="Calibri" w:eastAsia="仿宋_GB2312"/>
          <w:bCs/>
          <w:color w:val="auto"/>
          <w:kern w:val="0"/>
          <w:sz w:val="32"/>
          <w:szCs w:val="32"/>
          <w:highlight w:val="none"/>
        </w:rPr>
        <w:t>供水保障网络，新建与扩建一批水厂。</w:t>
      </w:r>
      <w:r>
        <w:rPr>
          <w:rFonts w:hint="eastAsia" w:ascii="仿宋_GB2312" w:hAnsi="Calibri" w:eastAsia="仿宋_GB2312"/>
          <w:b/>
          <w:bCs w:val="0"/>
          <w:color w:val="auto"/>
          <w:kern w:val="0"/>
          <w:sz w:val="32"/>
          <w:szCs w:val="32"/>
          <w:highlight w:val="none"/>
          <w:lang w:eastAsia="zh-CN"/>
        </w:rPr>
        <w:t>城乡</w:t>
      </w:r>
      <w:r>
        <w:rPr>
          <w:rFonts w:hint="eastAsia" w:ascii="仿宋_GB2312" w:hAnsi="Calibri" w:eastAsia="仿宋_GB2312"/>
          <w:b/>
          <w:bCs w:val="0"/>
          <w:color w:val="auto"/>
          <w:kern w:val="0"/>
          <w:sz w:val="32"/>
          <w:szCs w:val="32"/>
          <w:highlight w:val="none"/>
        </w:rPr>
        <w:t>污水</w:t>
      </w:r>
      <w:r>
        <w:rPr>
          <w:rFonts w:hint="eastAsia" w:ascii="仿宋_GB2312" w:hAnsi="Calibri" w:eastAsia="仿宋_GB2312"/>
          <w:b/>
          <w:bCs w:val="0"/>
          <w:color w:val="auto"/>
          <w:kern w:val="0"/>
          <w:sz w:val="32"/>
          <w:szCs w:val="32"/>
          <w:highlight w:val="none"/>
          <w:lang w:eastAsia="zh-CN"/>
        </w:rPr>
        <w:t>。</w:t>
      </w:r>
      <w:r>
        <w:rPr>
          <w:rFonts w:hint="eastAsia" w:ascii="仿宋_GB2312" w:hAnsi="Calibri" w:eastAsia="仿宋_GB2312"/>
          <w:bCs/>
          <w:color w:val="auto"/>
          <w:kern w:val="0"/>
          <w:sz w:val="32"/>
          <w:szCs w:val="32"/>
          <w:highlight w:val="none"/>
        </w:rPr>
        <w:t>全面推进建制镇和农村（含垦区）污水</w:t>
      </w:r>
      <w:r>
        <w:rPr>
          <w:rFonts w:hint="eastAsia" w:ascii="仿宋_GB2312" w:hAnsi="Calibri" w:eastAsia="仿宋_GB2312"/>
          <w:bCs/>
          <w:color w:val="auto"/>
          <w:kern w:val="0"/>
          <w:sz w:val="32"/>
          <w:szCs w:val="32"/>
          <w:highlight w:val="none"/>
          <w:lang w:eastAsia="zh-CN"/>
        </w:rPr>
        <w:t>处理</w:t>
      </w:r>
      <w:r>
        <w:rPr>
          <w:rFonts w:hint="eastAsia" w:ascii="仿宋_GB2312" w:hAnsi="Calibri" w:eastAsia="仿宋_GB2312"/>
          <w:bCs/>
          <w:color w:val="auto"/>
          <w:kern w:val="0"/>
          <w:sz w:val="32"/>
          <w:szCs w:val="32"/>
          <w:highlight w:val="none"/>
        </w:rPr>
        <w:t>设施建设、城镇污水配套管网建设</w:t>
      </w:r>
      <w:r>
        <w:rPr>
          <w:rFonts w:hint="eastAsia" w:ascii="仿宋_GB2312" w:hAnsi="Calibri" w:eastAsia="仿宋_GB2312"/>
          <w:bCs/>
          <w:color w:val="auto"/>
          <w:kern w:val="0"/>
          <w:sz w:val="32"/>
          <w:szCs w:val="32"/>
          <w:highlight w:val="none"/>
          <w:lang w:eastAsia="zh-CN"/>
        </w:rPr>
        <w:t>以及雨污分流改造</w:t>
      </w:r>
      <w:r>
        <w:rPr>
          <w:rFonts w:hint="eastAsia" w:ascii="仿宋_GB2312" w:hAnsi="Calibri" w:eastAsia="仿宋_GB2312"/>
          <w:bCs/>
          <w:color w:val="auto"/>
          <w:kern w:val="0"/>
          <w:sz w:val="32"/>
          <w:szCs w:val="32"/>
          <w:highlight w:val="none"/>
        </w:rPr>
        <w:t>，推进污泥处理处置设施建设，推动</w:t>
      </w:r>
      <w:r>
        <w:rPr>
          <w:rFonts w:hint="eastAsia" w:ascii="仿宋_GB2312" w:hAnsi="Calibri" w:eastAsia="仿宋_GB2312"/>
          <w:bCs/>
          <w:color w:val="auto"/>
          <w:kern w:val="0"/>
          <w:sz w:val="32"/>
          <w:szCs w:val="32"/>
          <w:highlight w:val="none"/>
          <w:lang w:eastAsia="zh-CN"/>
        </w:rPr>
        <w:t>污水处理厂网</w:t>
      </w:r>
      <w:r>
        <w:rPr>
          <w:rFonts w:hint="eastAsia" w:ascii="仿宋_GB2312" w:hAnsi="Calibri" w:eastAsia="仿宋_GB2312"/>
          <w:bCs/>
          <w:color w:val="auto"/>
          <w:kern w:val="0"/>
          <w:sz w:val="32"/>
          <w:szCs w:val="32"/>
          <w:highlight w:val="none"/>
        </w:rPr>
        <w:t>运营管理一体化，开展再生水利用工程。</w:t>
      </w:r>
      <w:r>
        <w:rPr>
          <w:rFonts w:hint="eastAsia" w:ascii="仿宋_GB2312" w:hAnsi="Calibri" w:eastAsia="仿宋_GB2312"/>
          <w:b/>
          <w:bCs w:val="0"/>
          <w:color w:val="auto"/>
          <w:kern w:val="0"/>
          <w:sz w:val="32"/>
          <w:szCs w:val="32"/>
          <w:highlight w:val="none"/>
        </w:rPr>
        <w:t>管理保障体系</w:t>
      </w:r>
      <w:r>
        <w:rPr>
          <w:rFonts w:hint="eastAsia" w:ascii="仿宋_GB2312" w:hAnsi="Calibri" w:eastAsia="仿宋_GB2312"/>
          <w:b/>
          <w:bCs w:val="0"/>
          <w:color w:val="auto"/>
          <w:kern w:val="0"/>
          <w:sz w:val="32"/>
          <w:szCs w:val="32"/>
          <w:highlight w:val="none"/>
          <w:lang w:eastAsia="zh-CN"/>
        </w:rPr>
        <w:t>。</w:t>
      </w:r>
      <w:r>
        <w:rPr>
          <w:rFonts w:hint="eastAsia" w:ascii="仿宋_GB2312" w:hAnsi="Calibri" w:eastAsia="仿宋_GB2312"/>
          <w:bCs/>
          <w:color w:val="auto"/>
          <w:kern w:val="0"/>
          <w:sz w:val="32"/>
          <w:szCs w:val="32"/>
          <w:highlight w:val="none"/>
        </w:rPr>
        <w:t>以构建现代</w:t>
      </w:r>
      <w:r>
        <w:rPr>
          <w:rFonts w:hint="eastAsia" w:ascii="仿宋_GB2312" w:hAnsi="Calibri" w:eastAsia="仿宋_GB2312"/>
          <w:bCs/>
          <w:color w:val="auto"/>
          <w:kern w:val="0"/>
          <w:sz w:val="32"/>
          <w:szCs w:val="32"/>
          <w:highlight w:val="none"/>
          <w:lang w:eastAsia="zh-CN"/>
        </w:rPr>
        <w:t>智慧</w:t>
      </w:r>
      <w:r>
        <w:rPr>
          <w:rFonts w:hint="eastAsia" w:ascii="仿宋_GB2312" w:hAnsi="Calibri" w:eastAsia="仿宋_GB2312"/>
          <w:bCs/>
          <w:color w:val="auto"/>
          <w:kern w:val="0"/>
          <w:sz w:val="32"/>
          <w:szCs w:val="32"/>
          <w:highlight w:val="none"/>
        </w:rPr>
        <w:t>水管理体系为抓手，实现高效节水、多源供水、智能调配、洪涝可控、水城共融的现代化水安全保障格局。</w:t>
      </w:r>
    </w:p>
    <w:p>
      <w:pPr>
        <w:pageBreakBefore w:val="0"/>
        <w:widowControl w:val="0"/>
        <w:kinsoku/>
        <w:overflowPunct/>
        <w:topLinePunct w:val="0"/>
        <w:autoSpaceDE w:val="0"/>
        <w:autoSpaceDN w:val="0"/>
        <w:bidi w:val="0"/>
        <w:adjustRightInd w:val="0"/>
        <w:snapToGrid/>
        <w:spacing w:line="560" w:lineRule="exact"/>
        <w:ind w:firstLine="643" w:firstLineChars="200"/>
        <w:textAlignment w:val="auto"/>
        <w:rPr>
          <w:rFonts w:ascii="仿宋_GB2312" w:hAnsi="Calibri" w:eastAsia="仿宋_GB2312"/>
          <w:bCs/>
          <w:color w:val="auto"/>
          <w:kern w:val="0"/>
          <w:sz w:val="32"/>
          <w:szCs w:val="32"/>
          <w:highlight w:val="none"/>
        </w:rPr>
      </w:pPr>
      <w:r>
        <w:rPr>
          <w:rFonts w:hint="eastAsia" w:ascii="仿宋_GB2312" w:hAnsi="Calibri" w:eastAsia="仿宋_GB2312"/>
          <w:b/>
          <w:color w:val="auto"/>
          <w:kern w:val="0"/>
          <w:sz w:val="32"/>
          <w:szCs w:val="32"/>
          <w:highlight w:val="none"/>
        </w:rPr>
        <w:t>推进城镇天然气配套管网建设。</w:t>
      </w:r>
      <w:r>
        <w:rPr>
          <w:rFonts w:hint="eastAsia" w:ascii="仿宋_GB2312" w:hAnsi="Calibri" w:eastAsia="仿宋_GB2312"/>
          <w:b w:val="0"/>
          <w:bCs/>
          <w:color w:val="auto"/>
          <w:kern w:val="0"/>
          <w:sz w:val="32"/>
          <w:szCs w:val="32"/>
          <w:highlight w:val="none"/>
          <w:lang w:eastAsia="zh-CN"/>
        </w:rPr>
        <w:t>以提高管道燃气普及率为目标，</w:t>
      </w:r>
      <w:r>
        <w:rPr>
          <w:rFonts w:hint="eastAsia" w:ascii="仿宋_GB2312" w:hAnsi="Calibri" w:eastAsia="仿宋_GB2312"/>
          <w:bCs/>
          <w:color w:val="auto"/>
          <w:kern w:val="0"/>
          <w:sz w:val="32"/>
          <w:szCs w:val="32"/>
          <w:highlight w:val="none"/>
        </w:rPr>
        <w:t>加</w:t>
      </w:r>
      <w:r>
        <w:rPr>
          <w:rFonts w:hint="eastAsia" w:ascii="仿宋_GB2312" w:hAnsi="Calibri" w:eastAsia="仿宋_GB2312"/>
          <w:bCs/>
          <w:color w:val="auto"/>
          <w:kern w:val="0"/>
          <w:sz w:val="32"/>
          <w:szCs w:val="32"/>
          <w:highlight w:val="none"/>
          <w:lang w:eastAsia="zh-CN"/>
        </w:rPr>
        <w:t>快推进那大城区和滨海新区燃气骨干网建设，加大</w:t>
      </w:r>
      <w:r>
        <w:rPr>
          <w:rFonts w:hint="eastAsia" w:ascii="仿宋_GB2312" w:hAnsi="Calibri" w:eastAsia="仿宋_GB2312"/>
          <w:bCs/>
          <w:color w:val="auto"/>
          <w:kern w:val="0"/>
          <w:sz w:val="32"/>
          <w:szCs w:val="32"/>
          <w:highlight w:val="none"/>
        </w:rPr>
        <w:t>老旧小区</w:t>
      </w:r>
      <w:r>
        <w:rPr>
          <w:rFonts w:hint="eastAsia" w:ascii="仿宋_GB2312" w:hAnsi="Calibri" w:eastAsia="仿宋_GB2312"/>
          <w:bCs/>
          <w:color w:val="auto"/>
          <w:kern w:val="0"/>
          <w:sz w:val="32"/>
          <w:szCs w:val="32"/>
          <w:highlight w:val="none"/>
          <w:lang w:eastAsia="zh-CN"/>
        </w:rPr>
        <w:t>燃气</w:t>
      </w:r>
      <w:r>
        <w:rPr>
          <w:rFonts w:hint="eastAsia" w:ascii="仿宋_GB2312" w:hAnsi="Calibri" w:eastAsia="仿宋_GB2312"/>
          <w:bCs/>
          <w:color w:val="auto"/>
          <w:kern w:val="0"/>
          <w:sz w:val="32"/>
          <w:szCs w:val="32"/>
          <w:highlight w:val="none"/>
        </w:rPr>
        <w:t>管网铺设</w:t>
      </w:r>
      <w:r>
        <w:rPr>
          <w:rFonts w:hint="eastAsia" w:ascii="仿宋_GB2312" w:hAnsi="Calibri" w:eastAsia="仿宋_GB2312"/>
          <w:bCs/>
          <w:color w:val="auto"/>
          <w:kern w:val="0"/>
          <w:sz w:val="32"/>
          <w:szCs w:val="32"/>
          <w:highlight w:val="none"/>
          <w:lang w:eastAsia="zh-CN"/>
        </w:rPr>
        <w:t>，推进管道燃气向镇墟延伸，实施“气代柴薪”工程，</w:t>
      </w:r>
      <w:r>
        <w:rPr>
          <w:rFonts w:hint="eastAsia" w:ascii="仿宋_GB2312" w:hAnsi="Calibri" w:eastAsia="仿宋_GB2312"/>
          <w:b w:val="0"/>
          <w:bCs/>
          <w:color w:val="auto"/>
          <w:kern w:val="0"/>
          <w:sz w:val="32"/>
          <w:szCs w:val="32"/>
          <w:highlight w:val="none"/>
          <w:lang w:eastAsia="zh-CN"/>
        </w:rPr>
        <w:t>补齐城镇燃气管网短板，</w:t>
      </w:r>
      <w:r>
        <w:rPr>
          <w:rFonts w:hint="eastAsia" w:ascii="仿宋_GB2312" w:hAnsi="Calibri" w:eastAsia="仿宋_GB2312"/>
          <w:bCs/>
          <w:color w:val="auto"/>
          <w:kern w:val="0"/>
          <w:sz w:val="32"/>
          <w:szCs w:val="32"/>
          <w:highlight w:val="none"/>
          <w:lang w:eastAsia="zh-CN"/>
        </w:rPr>
        <w:t>构建以那大为中心的东北片区、以滨海新区为中心的西北片区、以八一农场为中心的西南片区的管道燃气布局。到</w:t>
      </w:r>
      <w:r>
        <w:rPr>
          <w:rFonts w:hint="eastAsia" w:ascii="仿宋_GB2312" w:hAnsi="Calibri" w:eastAsia="仿宋_GB2312"/>
          <w:bCs/>
          <w:color w:val="auto"/>
          <w:kern w:val="0"/>
          <w:sz w:val="32"/>
          <w:szCs w:val="32"/>
          <w:highlight w:val="none"/>
          <w:lang w:val="en-US" w:eastAsia="zh-CN"/>
        </w:rPr>
        <w:t>2025年，基本实现建制镇周边5公里范围内天然气骨干网全覆盖。</w:t>
      </w:r>
    </w:p>
    <w:p>
      <w:pPr>
        <w:pageBreakBefore w:val="0"/>
        <w:widowControl w:val="0"/>
        <w:kinsoku/>
        <w:overflowPunct/>
        <w:topLinePunct w:val="0"/>
        <w:autoSpaceDE w:val="0"/>
        <w:autoSpaceDN w:val="0"/>
        <w:bidi w:val="0"/>
        <w:adjustRightInd w:val="0"/>
        <w:snapToGrid/>
        <w:spacing w:line="560" w:lineRule="exact"/>
        <w:ind w:firstLine="643" w:firstLineChars="200"/>
        <w:textAlignment w:val="auto"/>
        <w:rPr>
          <w:rFonts w:ascii="仿宋_GB2312" w:hAnsi="Calibri" w:eastAsia="仿宋_GB2312"/>
          <w:bCs/>
          <w:color w:val="auto"/>
          <w:kern w:val="0"/>
          <w:sz w:val="32"/>
          <w:szCs w:val="32"/>
          <w:highlight w:val="none"/>
        </w:rPr>
      </w:pPr>
      <w:r>
        <w:rPr>
          <w:rFonts w:hint="eastAsia" w:ascii="仿宋_GB2312" w:hAnsi="Calibri" w:eastAsia="仿宋_GB2312"/>
          <w:b/>
          <w:color w:val="auto"/>
          <w:kern w:val="0"/>
          <w:sz w:val="32"/>
          <w:szCs w:val="32"/>
          <w:highlight w:val="none"/>
        </w:rPr>
        <w:t>加强信息基础设施建设。</w:t>
      </w:r>
      <w:r>
        <w:rPr>
          <w:rFonts w:hint="eastAsia" w:ascii="仿宋_GB2312" w:hAnsi="Calibri" w:eastAsia="仿宋_GB2312"/>
          <w:bCs/>
          <w:color w:val="auto"/>
          <w:kern w:val="0"/>
          <w:sz w:val="32"/>
          <w:szCs w:val="32"/>
          <w:highlight w:val="none"/>
        </w:rPr>
        <w:t>构建高速、移动、安全、泛在的新一代信息基础设施，大力推进骨干网、城域网和接入网升级改造工作，完成基础通信网络向下一代高性能互联网转型，提升网络容量和智能调度能力。增加儋州汇聚机房、综合接入机房建设，增加干线光缆等通信廊道资源建设，进一步推进乡村</w:t>
      </w:r>
      <w:r>
        <w:rPr>
          <w:rFonts w:hint="eastAsia" w:ascii="仿宋_GB2312" w:hAnsi="仿宋" w:eastAsia="仿宋_GB2312" w:cs="仿宋"/>
          <w:color w:val="auto"/>
          <w:kern w:val="0"/>
          <w:sz w:val="32"/>
          <w:szCs w:val="32"/>
          <w:highlight w:val="none"/>
        </w:rPr>
        <w:t>光纤全覆盖，城区家庭具备1000Mbps网络接入能力，城区宽带用户平均接入速率超过300Mbps，农村宽带用户平均接入速率达到100Mbps</w:t>
      </w:r>
      <w:r>
        <w:rPr>
          <w:rFonts w:hint="eastAsia" w:ascii="仿宋_GB2312" w:hAnsi="Calibri" w:eastAsia="仿宋_GB2312"/>
          <w:bCs/>
          <w:color w:val="auto"/>
          <w:kern w:val="0"/>
          <w:sz w:val="32"/>
          <w:szCs w:val="32"/>
          <w:highlight w:val="none"/>
        </w:rPr>
        <w:t>。开展联通、移动、电信5G基站和相关配套项目建设和改造升级，</w:t>
      </w:r>
      <w:r>
        <w:rPr>
          <w:rFonts w:hint="eastAsia" w:ascii="仿宋_GB2312" w:hAnsi="Calibri" w:eastAsia="仿宋_GB2312"/>
          <w:bCs/>
          <w:color w:val="auto"/>
          <w:kern w:val="0"/>
          <w:sz w:val="32"/>
          <w:szCs w:val="32"/>
          <w:highlight w:val="none"/>
          <w:lang w:eastAsia="zh-CN"/>
        </w:rPr>
        <w:t>加快</w:t>
      </w:r>
      <w:r>
        <w:rPr>
          <w:rFonts w:hint="eastAsia" w:ascii="仿宋_GB2312" w:hAnsi="Calibri" w:eastAsia="仿宋_GB2312"/>
          <w:bCs/>
          <w:color w:val="auto"/>
          <w:kern w:val="0"/>
          <w:sz w:val="32"/>
          <w:szCs w:val="32"/>
          <w:highlight w:val="none"/>
          <w:lang w:val="en-US" w:eastAsia="zh-CN"/>
        </w:rPr>
        <w:t>5G网络广域低频覆盖</w:t>
      </w:r>
      <w:r>
        <w:rPr>
          <w:rFonts w:hint="eastAsia" w:ascii="仿宋_GB2312" w:hAnsi="Calibri" w:eastAsia="仿宋_GB2312"/>
          <w:bCs/>
          <w:color w:val="auto"/>
          <w:kern w:val="0"/>
          <w:sz w:val="32"/>
          <w:szCs w:val="32"/>
          <w:highlight w:val="none"/>
        </w:rPr>
        <w:t>。</w:t>
      </w:r>
      <w:r>
        <w:rPr>
          <w:rFonts w:hint="eastAsia" w:ascii="仿宋_GB2312" w:hAnsi="Calibri" w:eastAsia="仿宋_GB2312"/>
          <w:bCs/>
          <w:color w:val="auto"/>
          <w:kern w:val="0"/>
          <w:sz w:val="32"/>
          <w:szCs w:val="32"/>
          <w:highlight w:val="none"/>
          <w:lang w:eastAsia="zh-CN"/>
        </w:rPr>
        <w:t>布局</w:t>
      </w:r>
      <w:r>
        <w:rPr>
          <w:rFonts w:hint="eastAsia" w:ascii="仿宋_GB2312" w:hAnsi="Calibri" w:eastAsia="仿宋_GB2312"/>
          <w:bCs/>
          <w:color w:val="auto"/>
          <w:kern w:val="0"/>
          <w:sz w:val="32"/>
          <w:szCs w:val="32"/>
          <w:highlight w:val="none"/>
        </w:rPr>
        <w:t>5G智慧化应用试点</w:t>
      </w:r>
      <w:r>
        <w:rPr>
          <w:rFonts w:hint="eastAsia" w:ascii="仿宋_GB2312" w:hAnsi="Calibri" w:eastAsia="仿宋_GB2312"/>
          <w:bCs/>
          <w:color w:val="auto"/>
          <w:kern w:val="0"/>
          <w:sz w:val="32"/>
          <w:szCs w:val="32"/>
          <w:highlight w:val="none"/>
          <w:lang w:eastAsia="zh-CN"/>
        </w:rPr>
        <w:t>。</w:t>
      </w:r>
    </w:p>
    <w:p>
      <w:pPr>
        <w:pStyle w:val="4"/>
        <w:pageBreakBefore w:val="0"/>
        <w:widowControl w:val="0"/>
        <w:kinsoku/>
        <w:overflowPunct/>
        <w:topLinePunct w:val="0"/>
        <w:bidi w:val="0"/>
        <w:snapToGrid/>
        <w:spacing w:line="560" w:lineRule="exact"/>
        <w:textAlignment w:val="auto"/>
        <w:rPr>
          <w:rFonts w:hint="eastAsia"/>
          <w:color w:val="auto"/>
          <w:highlight w:val="none"/>
          <w:lang w:val="en-US" w:eastAsia="zh-CN"/>
        </w:rPr>
      </w:pPr>
      <w:bookmarkStart w:id="97" w:name="_Toc32367_WPSOffice_Level2"/>
      <w:bookmarkStart w:id="98" w:name="_Toc24503_WPSOffice_Level2"/>
      <w:r>
        <w:rPr>
          <w:rFonts w:hint="eastAsia"/>
          <w:color w:val="auto"/>
          <w:highlight w:val="none"/>
          <w:lang w:val="en-US" w:eastAsia="zh-CN"/>
        </w:rPr>
        <w:t>第三节 提升西部中心城市功能品质</w:t>
      </w:r>
      <w:bookmarkEnd w:id="97"/>
      <w:bookmarkEnd w:id="98"/>
    </w:p>
    <w:p>
      <w:pPr>
        <w:pageBreakBefore w:val="0"/>
        <w:widowControl w:val="0"/>
        <w:kinsoku/>
        <w:overflowPunct/>
        <w:topLinePunct w:val="0"/>
        <w:autoSpaceDE w:val="0"/>
        <w:autoSpaceDN w:val="0"/>
        <w:bidi w:val="0"/>
        <w:adjustRightInd w:val="0"/>
        <w:snapToGrid/>
        <w:spacing w:line="560" w:lineRule="exact"/>
        <w:ind w:firstLine="640" w:firstLineChars="200"/>
        <w:textAlignment w:val="auto"/>
        <w:rPr>
          <w:rFonts w:eastAsia="黑体"/>
          <w:bCs/>
          <w:color w:val="auto"/>
          <w:kern w:val="44"/>
          <w:sz w:val="32"/>
          <w:szCs w:val="32"/>
          <w:highlight w:val="none"/>
        </w:rPr>
      </w:pPr>
      <w:r>
        <w:rPr>
          <w:rFonts w:hint="eastAsia" w:ascii="仿宋_GB2312" w:hAnsi="Calibri" w:eastAsia="仿宋_GB2312"/>
          <w:bCs/>
          <w:color w:val="auto"/>
          <w:kern w:val="0"/>
          <w:sz w:val="32"/>
          <w:szCs w:val="32"/>
          <w:highlight w:val="none"/>
        </w:rPr>
        <w:t>坚持“全省一盘棋、全岛同城化”要求，立足于西部中心城市功能定位，继续坚持推进教育、医疗、文体、消费、服务“五大中心”功能项目化，不断增强城市公共服务品质和能力。</w:t>
      </w:r>
      <w:r>
        <w:rPr>
          <w:rFonts w:hint="eastAsia" w:ascii="仿宋_GB2312" w:hAnsi="Calibri" w:eastAsia="仿宋_GB2312"/>
          <w:b/>
          <w:bCs w:val="0"/>
          <w:color w:val="auto"/>
          <w:kern w:val="0"/>
          <w:sz w:val="32"/>
          <w:szCs w:val="32"/>
          <w:highlight w:val="none"/>
        </w:rPr>
        <w:t>西部教育中心</w:t>
      </w:r>
      <w:r>
        <w:rPr>
          <w:rFonts w:hint="eastAsia" w:ascii="仿宋_GB2312" w:hAnsi="Calibri" w:eastAsia="仿宋_GB2312"/>
          <w:b/>
          <w:bCs w:val="0"/>
          <w:color w:val="auto"/>
          <w:kern w:val="0"/>
          <w:sz w:val="32"/>
          <w:szCs w:val="32"/>
          <w:highlight w:val="none"/>
          <w:lang w:eastAsia="zh-CN"/>
        </w:rPr>
        <w:t>。</w:t>
      </w:r>
      <w:r>
        <w:rPr>
          <w:rFonts w:hint="eastAsia" w:ascii="仿宋_GB2312" w:hAnsi="Calibri" w:eastAsia="仿宋_GB2312"/>
          <w:bCs/>
          <w:color w:val="auto"/>
          <w:kern w:val="0"/>
          <w:sz w:val="32"/>
          <w:szCs w:val="32"/>
          <w:highlight w:val="none"/>
        </w:rPr>
        <w:t>大力引进优质教育资源，优化教育资源布局，提高教学质量水平</w:t>
      </w:r>
      <w:r>
        <w:rPr>
          <w:rFonts w:hint="eastAsia" w:ascii="仿宋_GB2312" w:hAnsi="Calibri" w:eastAsia="仿宋_GB2312"/>
          <w:bCs/>
          <w:color w:val="auto"/>
          <w:kern w:val="0"/>
          <w:sz w:val="32"/>
          <w:szCs w:val="32"/>
          <w:highlight w:val="none"/>
          <w:lang w:eastAsia="zh-CN"/>
        </w:rPr>
        <w:t>，鼓励联合办学、社会力量投资办学</w:t>
      </w:r>
      <w:r>
        <w:rPr>
          <w:rFonts w:hint="eastAsia" w:ascii="仿宋_GB2312" w:hAnsi="Calibri" w:eastAsia="仿宋_GB2312"/>
          <w:bCs/>
          <w:color w:val="auto"/>
          <w:kern w:val="0"/>
          <w:sz w:val="32"/>
          <w:szCs w:val="32"/>
          <w:highlight w:val="none"/>
        </w:rPr>
        <w:t>。</w:t>
      </w:r>
      <w:r>
        <w:rPr>
          <w:rFonts w:hint="eastAsia" w:ascii="仿宋_GB2312" w:hAnsi="Calibri" w:eastAsia="仿宋_GB2312"/>
          <w:bCs/>
          <w:color w:val="auto"/>
          <w:kern w:val="0"/>
          <w:sz w:val="32"/>
          <w:szCs w:val="32"/>
          <w:highlight w:val="none"/>
          <w:lang w:eastAsia="zh-CN"/>
        </w:rPr>
        <w:t>大力发展职业教育和高等教育，</w:t>
      </w:r>
      <w:r>
        <w:rPr>
          <w:rFonts w:hint="eastAsia" w:ascii="仿宋_GB2312" w:hAnsi="Calibri" w:eastAsia="仿宋_GB2312"/>
          <w:bCs/>
          <w:color w:val="auto"/>
          <w:kern w:val="0"/>
          <w:sz w:val="32"/>
          <w:szCs w:val="32"/>
          <w:highlight w:val="none"/>
        </w:rPr>
        <w:t>积极引进境外理工农医类高水平大学、职业院校在儋独立办学，加快海南电影学院建设。</w:t>
      </w:r>
      <w:r>
        <w:rPr>
          <w:rFonts w:hint="eastAsia" w:ascii="仿宋_GB2312" w:hAnsi="Calibri" w:eastAsia="仿宋_GB2312"/>
          <w:b/>
          <w:bCs w:val="0"/>
          <w:color w:val="auto"/>
          <w:kern w:val="0"/>
          <w:sz w:val="32"/>
          <w:szCs w:val="32"/>
          <w:highlight w:val="none"/>
        </w:rPr>
        <w:t>西部医疗中心</w:t>
      </w:r>
      <w:r>
        <w:rPr>
          <w:rFonts w:hint="eastAsia" w:ascii="仿宋_GB2312" w:hAnsi="Calibri" w:eastAsia="仿宋_GB2312"/>
          <w:b/>
          <w:bCs w:val="0"/>
          <w:color w:val="auto"/>
          <w:kern w:val="0"/>
          <w:sz w:val="32"/>
          <w:szCs w:val="32"/>
          <w:highlight w:val="none"/>
          <w:lang w:eastAsia="zh-CN"/>
        </w:rPr>
        <w:t>。</w:t>
      </w:r>
      <w:r>
        <w:rPr>
          <w:rFonts w:hint="eastAsia" w:ascii="仿宋_GB2312" w:hAnsi="Calibri" w:eastAsia="仿宋_GB2312"/>
          <w:bCs/>
          <w:color w:val="auto"/>
          <w:kern w:val="0"/>
          <w:sz w:val="32"/>
          <w:szCs w:val="32"/>
          <w:highlight w:val="none"/>
        </w:rPr>
        <w:t>引进优质医疗资源，加快推进医疗卫生系统项目建设。</w:t>
      </w:r>
      <w:r>
        <w:rPr>
          <w:rFonts w:hint="eastAsia" w:ascii="仿宋_GB2312" w:hAnsi="仿宋_GB2312" w:eastAsia="仿宋_GB2312" w:cs="仿宋_GB2312"/>
          <w:color w:val="auto"/>
          <w:sz w:val="32"/>
          <w:szCs w:val="32"/>
          <w:highlight w:val="none"/>
        </w:rPr>
        <w:t>继续推进海南西部中心医院三期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市妇幼保健院（市妇女儿童医院）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滨海新区三级医院</w:t>
      </w:r>
      <w:r>
        <w:rPr>
          <w:rFonts w:hint="eastAsia" w:ascii="仿宋_GB2312" w:hAnsi="仿宋_GB2312" w:eastAsia="仿宋_GB2312" w:cs="仿宋_GB2312"/>
          <w:color w:val="auto"/>
          <w:sz w:val="32"/>
          <w:szCs w:val="32"/>
          <w:highlight w:val="none"/>
          <w:lang w:eastAsia="zh-CN"/>
        </w:rPr>
        <w:t>、市中医医院、市疾控中心等项目建设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到</w:t>
      </w:r>
      <w:r>
        <w:rPr>
          <w:rFonts w:hint="eastAsia" w:ascii="仿宋_GB2312" w:hAnsi="仿宋_GB2312" w:eastAsia="仿宋_GB2312" w:cs="仿宋_GB2312"/>
          <w:color w:val="auto"/>
          <w:sz w:val="32"/>
          <w:szCs w:val="32"/>
          <w:highlight w:val="none"/>
          <w:lang w:val="en-US" w:eastAsia="zh-CN"/>
        </w:rPr>
        <w:t>2025年，实现每千常住人口医疗卫生机构床位数达到6.5张，每千常住人口执业（助理）医师3.1名，每千常住人口注册护士3.6名，每千常住人口公共卫生人员1.0名，每万常住人口全科医生3名；三级甲等医院二、三级手术率50%，市外就诊率60%。</w:t>
      </w:r>
      <w:r>
        <w:rPr>
          <w:rFonts w:hint="eastAsia" w:ascii="仿宋_GB2312" w:hAnsi="仿宋_GB2312" w:eastAsia="仿宋_GB2312" w:cs="仿宋_GB2312"/>
          <w:color w:val="auto"/>
          <w:sz w:val="32"/>
          <w:szCs w:val="32"/>
          <w:highlight w:val="none"/>
        </w:rPr>
        <w:t>鼓励社会办医，</w:t>
      </w:r>
      <w:r>
        <w:rPr>
          <w:rFonts w:hint="eastAsia" w:ascii="仿宋_GB2312" w:hAnsi="仿宋_GB2312" w:eastAsia="仿宋_GB2312" w:cs="仿宋_GB2312"/>
          <w:color w:val="auto"/>
          <w:sz w:val="32"/>
          <w:szCs w:val="32"/>
          <w:highlight w:val="none"/>
          <w:lang w:eastAsia="zh-CN"/>
        </w:rPr>
        <w:t>支持</w:t>
      </w:r>
      <w:r>
        <w:rPr>
          <w:rFonts w:hint="eastAsia" w:ascii="仿宋_GB2312" w:hAnsi="仿宋_GB2312" w:eastAsia="仿宋_GB2312" w:cs="仿宋_GB2312"/>
          <w:color w:val="auto"/>
          <w:sz w:val="32"/>
          <w:szCs w:val="32"/>
          <w:highlight w:val="none"/>
        </w:rPr>
        <w:t>紫荆心理康复医院</w:t>
      </w:r>
      <w:r>
        <w:rPr>
          <w:rFonts w:hint="eastAsia" w:ascii="仿宋_GB2312" w:hAnsi="仿宋_GB2312" w:eastAsia="仿宋_GB2312" w:cs="仿宋_GB2312"/>
          <w:color w:val="auto"/>
          <w:sz w:val="32"/>
          <w:szCs w:val="32"/>
          <w:highlight w:val="none"/>
          <w:lang w:eastAsia="zh-CN"/>
        </w:rPr>
        <w:t>建设</w:t>
      </w:r>
      <w:r>
        <w:rPr>
          <w:rFonts w:hint="eastAsia" w:ascii="仿宋_GB2312" w:hAnsi="仿宋_GB2312" w:eastAsia="仿宋_GB2312" w:cs="仿宋_GB2312"/>
          <w:color w:val="auto"/>
          <w:sz w:val="32"/>
          <w:szCs w:val="32"/>
          <w:highlight w:val="none"/>
        </w:rPr>
        <w:t>，补齐心理康复医院短板。完善基层医疗服务体系</w:t>
      </w:r>
      <w:r>
        <w:rPr>
          <w:rFonts w:hint="eastAsia" w:ascii="仿宋_GB2312" w:hAnsi="仿宋_GB2312" w:eastAsia="仿宋_GB2312" w:cs="仿宋_GB2312"/>
          <w:color w:val="auto"/>
          <w:sz w:val="32"/>
          <w:szCs w:val="32"/>
          <w:highlight w:val="none"/>
          <w:lang w:eastAsia="zh-CN"/>
        </w:rPr>
        <w:t>。强化基层医疗机构的基本医疗服务和基本公共卫生功能。</w:t>
      </w:r>
      <w:r>
        <w:rPr>
          <w:rFonts w:hint="eastAsia" w:ascii="仿宋_GB2312" w:hAnsi="Calibri" w:eastAsia="仿宋_GB2312"/>
          <w:b/>
          <w:bCs w:val="0"/>
          <w:color w:val="auto"/>
          <w:kern w:val="0"/>
          <w:sz w:val="32"/>
          <w:szCs w:val="32"/>
          <w:highlight w:val="none"/>
        </w:rPr>
        <w:t>西部文体中心</w:t>
      </w:r>
      <w:r>
        <w:rPr>
          <w:rFonts w:hint="eastAsia" w:ascii="仿宋_GB2312" w:hAnsi="Calibri" w:eastAsia="仿宋_GB2312"/>
          <w:b/>
          <w:bCs w:val="0"/>
          <w:color w:val="auto"/>
          <w:kern w:val="0"/>
          <w:sz w:val="32"/>
          <w:szCs w:val="32"/>
          <w:highlight w:val="none"/>
          <w:lang w:eastAsia="zh-CN"/>
        </w:rPr>
        <w:t>。</w:t>
      </w:r>
      <w:r>
        <w:rPr>
          <w:rFonts w:hint="eastAsia" w:ascii="仿宋_GB2312" w:hAnsi="Calibri" w:eastAsia="仿宋_GB2312"/>
          <w:bCs/>
          <w:color w:val="auto"/>
          <w:kern w:val="0"/>
          <w:sz w:val="32"/>
          <w:szCs w:val="32"/>
          <w:highlight w:val="none"/>
        </w:rPr>
        <w:t>高质量推进“一场两馆”项目建设，高质量举办2022年第六届省运会</w:t>
      </w:r>
      <w:r>
        <w:rPr>
          <w:rFonts w:hint="eastAsia" w:ascii="仿宋_GB2312" w:hAnsi="Calibri" w:eastAsia="仿宋_GB2312"/>
          <w:bCs/>
          <w:color w:val="auto"/>
          <w:kern w:val="0"/>
          <w:sz w:val="32"/>
          <w:szCs w:val="32"/>
          <w:highlight w:val="none"/>
          <w:lang w:eastAsia="zh-CN"/>
        </w:rPr>
        <w:t>。发挥场馆功能，</w:t>
      </w:r>
      <w:r>
        <w:rPr>
          <w:rFonts w:hint="eastAsia" w:ascii="仿宋_GB2312" w:hAnsi="Calibri" w:eastAsia="仿宋_GB2312"/>
          <w:bCs/>
          <w:color w:val="auto"/>
          <w:kern w:val="0"/>
          <w:sz w:val="32"/>
          <w:szCs w:val="32"/>
          <w:highlight w:val="none"/>
        </w:rPr>
        <w:t>策划引进一批高品质文体赛事</w:t>
      </w:r>
      <w:r>
        <w:rPr>
          <w:rFonts w:hint="eastAsia" w:ascii="仿宋_GB2312" w:hAnsi="Calibri" w:eastAsia="仿宋_GB2312"/>
          <w:bCs/>
          <w:color w:val="auto"/>
          <w:kern w:val="0"/>
          <w:sz w:val="32"/>
          <w:szCs w:val="32"/>
          <w:highlight w:val="none"/>
          <w:lang w:eastAsia="zh-CN"/>
        </w:rPr>
        <w:t>和文艺</w:t>
      </w:r>
      <w:r>
        <w:rPr>
          <w:rFonts w:hint="eastAsia" w:ascii="仿宋_GB2312" w:hAnsi="Calibri" w:eastAsia="仿宋_GB2312"/>
          <w:bCs/>
          <w:color w:val="auto"/>
          <w:kern w:val="0"/>
          <w:sz w:val="32"/>
          <w:szCs w:val="32"/>
          <w:highlight w:val="none"/>
        </w:rPr>
        <w:t>演出活动</w:t>
      </w:r>
      <w:r>
        <w:rPr>
          <w:rFonts w:hint="eastAsia" w:ascii="仿宋_GB2312" w:hAnsi="Calibri" w:eastAsia="仿宋_GB2312"/>
          <w:bCs/>
          <w:color w:val="auto"/>
          <w:kern w:val="0"/>
          <w:sz w:val="32"/>
          <w:szCs w:val="32"/>
          <w:highlight w:val="none"/>
          <w:lang w:eastAsia="zh-CN"/>
        </w:rPr>
        <w:t>。</w:t>
      </w:r>
      <w:r>
        <w:rPr>
          <w:rFonts w:hint="eastAsia" w:ascii="仿宋_GB2312" w:hAnsi="Calibri" w:eastAsia="仿宋_GB2312"/>
          <w:bCs/>
          <w:color w:val="auto"/>
          <w:kern w:val="0"/>
          <w:sz w:val="32"/>
          <w:szCs w:val="32"/>
          <w:highlight w:val="none"/>
        </w:rPr>
        <w:t>办好“三节两赛”</w:t>
      </w:r>
      <w:r>
        <w:rPr>
          <w:rFonts w:hint="eastAsia" w:ascii="仿宋_GB2312" w:hAnsi="Calibri" w:eastAsia="仿宋_GB2312"/>
          <w:bCs/>
          <w:color w:val="auto"/>
          <w:kern w:val="0"/>
          <w:sz w:val="32"/>
          <w:szCs w:val="32"/>
          <w:highlight w:val="none"/>
          <w:lang w:eastAsia="zh-CN"/>
        </w:rPr>
        <w:t>，提升拓展文化活动和体育赛事</w:t>
      </w:r>
      <w:r>
        <w:rPr>
          <w:rFonts w:hint="eastAsia" w:ascii="仿宋_GB2312" w:hAnsi="Calibri" w:eastAsia="仿宋_GB2312"/>
          <w:bCs/>
          <w:color w:val="auto"/>
          <w:kern w:val="0"/>
          <w:sz w:val="32"/>
          <w:szCs w:val="32"/>
          <w:highlight w:val="none"/>
        </w:rPr>
        <w:t>。</w:t>
      </w:r>
      <w:r>
        <w:rPr>
          <w:rFonts w:hint="eastAsia" w:ascii="仿宋_GB2312" w:hAnsi="Calibri" w:eastAsia="仿宋_GB2312"/>
          <w:bCs/>
          <w:color w:val="auto"/>
          <w:kern w:val="0"/>
          <w:sz w:val="32"/>
          <w:szCs w:val="32"/>
          <w:highlight w:val="none"/>
          <w:lang w:eastAsia="zh-CN"/>
        </w:rPr>
        <w:t>深化</w:t>
      </w:r>
      <w:r>
        <w:rPr>
          <w:rFonts w:hint="eastAsia" w:ascii="仿宋_GB2312" w:hAnsi="Calibri" w:eastAsia="仿宋_GB2312"/>
          <w:bCs/>
          <w:color w:val="auto"/>
          <w:kern w:val="0"/>
          <w:sz w:val="32"/>
          <w:szCs w:val="32"/>
          <w:highlight w:val="none"/>
        </w:rPr>
        <w:t>文体领域对外交流合作</w:t>
      </w:r>
      <w:r>
        <w:rPr>
          <w:rFonts w:hint="eastAsia" w:ascii="仿宋_GB2312" w:hAnsi="Calibri" w:eastAsia="仿宋_GB2312"/>
          <w:bCs/>
          <w:color w:val="auto"/>
          <w:kern w:val="0"/>
          <w:sz w:val="32"/>
          <w:szCs w:val="32"/>
          <w:highlight w:val="none"/>
          <w:lang w:eastAsia="zh-CN"/>
        </w:rPr>
        <w:t>，提升儋州国际国内知名度。</w:t>
      </w:r>
      <w:r>
        <w:rPr>
          <w:rFonts w:hint="eastAsia" w:ascii="仿宋_GB2312" w:hAnsi="Calibri" w:eastAsia="仿宋_GB2312"/>
          <w:b/>
          <w:bCs w:val="0"/>
          <w:color w:val="auto"/>
          <w:kern w:val="0"/>
          <w:sz w:val="32"/>
          <w:szCs w:val="32"/>
          <w:highlight w:val="none"/>
        </w:rPr>
        <w:t>西部消费中心</w:t>
      </w:r>
      <w:r>
        <w:rPr>
          <w:rFonts w:hint="eastAsia" w:ascii="仿宋_GB2312" w:hAnsi="Calibri" w:eastAsia="仿宋_GB2312"/>
          <w:b/>
          <w:bCs w:val="0"/>
          <w:color w:val="auto"/>
          <w:kern w:val="0"/>
          <w:sz w:val="32"/>
          <w:szCs w:val="32"/>
          <w:highlight w:val="none"/>
          <w:lang w:eastAsia="zh-CN"/>
        </w:rPr>
        <w:t>。</w:t>
      </w:r>
      <w:r>
        <w:rPr>
          <w:rFonts w:hint="eastAsia" w:ascii="仿宋_GB2312" w:hAnsi="Calibri" w:eastAsia="仿宋_GB2312"/>
          <w:b w:val="0"/>
          <w:bCs/>
          <w:color w:val="auto"/>
          <w:kern w:val="0"/>
          <w:sz w:val="32"/>
          <w:szCs w:val="32"/>
          <w:highlight w:val="none"/>
          <w:lang w:eastAsia="zh-CN"/>
        </w:rPr>
        <w:t>培育消费新业态。创新消费新模式，扩大优质消费供给，不断培育多极消费增长点。</w:t>
      </w:r>
      <w:r>
        <w:rPr>
          <w:rFonts w:hint="eastAsia" w:ascii="仿宋_GB2312" w:hAnsi="Calibri" w:eastAsia="仿宋_GB2312"/>
          <w:bCs/>
          <w:color w:val="auto"/>
          <w:kern w:val="0"/>
          <w:sz w:val="32"/>
          <w:szCs w:val="32"/>
          <w:highlight w:val="none"/>
          <w:lang w:eastAsia="zh-CN"/>
        </w:rPr>
        <w:t>拓展网上消费，推进线上线下深度融合。规划建设免税店，打造特色消费品牌。支持传统商圈和夜市步行街建设，打造一批有知名度的夜市和美食街。推动汽车消费转型升级。适当增加公共消费。</w:t>
      </w:r>
      <w:r>
        <w:rPr>
          <w:rFonts w:hint="eastAsia" w:ascii="仿宋_GB2312" w:hAnsi="Calibri" w:eastAsia="仿宋_GB2312"/>
          <w:b/>
          <w:bCs w:val="0"/>
          <w:color w:val="auto"/>
          <w:kern w:val="0"/>
          <w:sz w:val="32"/>
          <w:szCs w:val="32"/>
          <w:highlight w:val="none"/>
        </w:rPr>
        <w:t>西部服务中心</w:t>
      </w:r>
      <w:r>
        <w:rPr>
          <w:rFonts w:hint="eastAsia" w:ascii="仿宋_GB2312" w:hAnsi="Calibri" w:eastAsia="仿宋_GB2312"/>
          <w:b/>
          <w:bCs w:val="0"/>
          <w:color w:val="auto"/>
          <w:kern w:val="0"/>
          <w:sz w:val="32"/>
          <w:szCs w:val="32"/>
          <w:highlight w:val="none"/>
          <w:lang w:eastAsia="zh-CN"/>
        </w:rPr>
        <w:t>。</w:t>
      </w:r>
      <w:r>
        <w:rPr>
          <w:rFonts w:hint="eastAsia" w:ascii="仿宋_GB2312" w:hAnsi="Calibri" w:eastAsia="仿宋_GB2312"/>
          <w:bCs/>
          <w:color w:val="auto"/>
          <w:kern w:val="0"/>
          <w:sz w:val="32"/>
          <w:szCs w:val="32"/>
          <w:highlight w:val="none"/>
        </w:rPr>
        <w:t>全力做好现代服务业项目策划和资源储备，大力引入商务服务、咨询服务、金融贸易等现代服务业项目，努力构建多元化人力资源服务体系，加快推进海南西部数据中心等新型信息基础设施建设，发展云计算服务等新型技术服务业。</w:t>
      </w:r>
    </w:p>
    <w:p>
      <w:pPr>
        <w:pStyle w:val="3"/>
        <w:pageBreakBefore w:val="0"/>
        <w:widowControl w:val="0"/>
        <w:kinsoku/>
        <w:overflowPunct/>
        <w:topLinePunct w:val="0"/>
        <w:bidi w:val="0"/>
        <w:snapToGrid/>
        <w:spacing w:line="560" w:lineRule="exact"/>
        <w:textAlignment w:val="auto"/>
        <w:rPr>
          <w:color w:val="auto"/>
          <w:highlight w:val="none"/>
        </w:rPr>
      </w:pPr>
      <w:bookmarkStart w:id="99" w:name="_Toc57914194"/>
      <w:bookmarkStart w:id="100" w:name="_Toc20561_WPSOffice_Level1"/>
      <w:bookmarkStart w:id="101" w:name="_Toc23017_WPSOffice_Level1"/>
      <w:bookmarkStart w:id="102" w:name="_Toc17772_WPSOffice_Level1"/>
      <w:r>
        <w:rPr>
          <w:rFonts w:hint="eastAsia"/>
          <w:color w:val="auto"/>
          <w:highlight w:val="none"/>
        </w:rPr>
        <w:t>第四章 加快产业集聚</w:t>
      </w:r>
      <w:bookmarkEnd w:id="99"/>
      <w:bookmarkEnd w:id="100"/>
      <w:r>
        <w:rPr>
          <w:rFonts w:hint="eastAsia"/>
          <w:color w:val="auto"/>
          <w:highlight w:val="none"/>
          <w:lang w:val="en-US" w:eastAsia="zh-CN"/>
        </w:rPr>
        <w:t xml:space="preserve"> </w:t>
      </w:r>
      <w:r>
        <w:rPr>
          <w:rFonts w:hint="eastAsia"/>
          <w:color w:val="auto"/>
          <w:highlight w:val="none"/>
          <w:lang w:eastAsia="zh-CN"/>
        </w:rPr>
        <w:t>推动经济高质量发展</w:t>
      </w:r>
      <w:bookmarkEnd w:id="101"/>
      <w:bookmarkEnd w:id="102"/>
    </w:p>
    <w:p>
      <w:pPr>
        <w:pageBreakBefore w:val="0"/>
        <w:widowControl w:val="0"/>
        <w:kinsoku/>
        <w:overflowPunct/>
        <w:topLinePunct w:val="0"/>
        <w:bidi w:val="0"/>
        <w:snapToGrid/>
        <w:spacing w:line="560" w:lineRule="exact"/>
        <w:ind w:firstLine="643"/>
        <w:textAlignment w:val="auto"/>
        <w:rPr>
          <w:rFonts w:ascii="仿宋_GB2312" w:hAnsi="仿宋_GB2312" w:eastAsia="仿宋_GB2312" w:cs="仿宋_GB2312"/>
          <w:bCs/>
          <w:color w:val="auto"/>
          <w:spacing w:val="-6"/>
          <w:highlight w:val="none"/>
        </w:rPr>
      </w:pPr>
      <w:r>
        <w:rPr>
          <w:rFonts w:hint="eastAsia" w:ascii="仿宋_GB2312" w:hAnsi="仿宋_GB2312" w:eastAsia="仿宋_GB2312" w:cs="仿宋_GB2312"/>
          <w:color w:val="auto"/>
          <w:sz w:val="32"/>
          <w:szCs w:val="32"/>
          <w:highlight w:val="none"/>
        </w:rPr>
        <w:t>围绕全省产业布局，以“补短板、强优势、显特色”为基本思路，强化产业资源要素吸引和配置能力，不断增强产业集聚功能。打造旅游业、现代服务业、高新技术产业、热带高效农业四大</w:t>
      </w:r>
      <w:r>
        <w:rPr>
          <w:rFonts w:hint="eastAsia" w:ascii="仿宋_GB2312" w:hAnsi="仿宋_GB2312" w:eastAsia="仿宋_GB2312" w:cs="仿宋_GB2312"/>
          <w:color w:val="auto"/>
          <w:spacing w:val="-6"/>
          <w:sz w:val="32"/>
          <w:szCs w:val="32"/>
          <w:highlight w:val="none"/>
        </w:rPr>
        <w:t>主导产业</w:t>
      </w:r>
      <w:r>
        <w:rPr>
          <w:rFonts w:hint="eastAsia" w:ascii="仿宋_GB2312" w:hAnsi="仿宋_GB2312" w:eastAsia="仿宋_GB2312" w:cs="仿宋_GB2312"/>
          <w:color w:val="auto"/>
          <w:spacing w:val="-6"/>
          <w:sz w:val="32"/>
          <w:szCs w:val="32"/>
          <w:highlight w:val="none"/>
          <w:lang w:eastAsia="zh-CN"/>
        </w:rPr>
        <w:t>，推进“儋州</w:t>
      </w:r>
      <w:r>
        <w:rPr>
          <w:rFonts w:hint="eastAsia" w:ascii="仿宋_GB2312" w:hAnsi="仿宋_GB2312" w:eastAsia="仿宋_GB2312" w:cs="仿宋_GB2312"/>
          <w:color w:val="auto"/>
          <w:spacing w:val="-6"/>
          <w:sz w:val="32"/>
          <w:szCs w:val="32"/>
          <w:highlight w:val="none"/>
          <w:lang w:val="en-US" w:eastAsia="zh-CN"/>
        </w:rPr>
        <w:t>-洋浦-临高-昌江-东方”临港产业带建设。</w:t>
      </w:r>
    </w:p>
    <w:p>
      <w:pPr>
        <w:pStyle w:val="4"/>
        <w:pageBreakBefore w:val="0"/>
        <w:widowControl w:val="0"/>
        <w:kinsoku/>
        <w:overflowPunct/>
        <w:topLinePunct w:val="0"/>
        <w:bidi w:val="0"/>
        <w:snapToGrid/>
        <w:spacing w:line="560" w:lineRule="exact"/>
        <w:textAlignment w:val="auto"/>
        <w:rPr>
          <w:color w:val="auto"/>
          <w:highlight w:val="none"/>
        </w:rPr>
      </w:pPr>
      <w:bookmarkStart w:id="103" w:name="_Toc57914195"/>
      <w:bookmarkStart w:id="104" w:name="_Toc32667_WPSOffice_Level2"/>
      <w:bookmarkStart w:id="105" w:name="_Toc27045_WPSOffice_Level2"/>
      <w:bookmarkStart w:id="106" w:name="_Toc21926_WPSOffice_Level2"/>
      <w:r>
        <w:rPr>
          <w:rFonts w:hint="eastAsia"/>
          <w:color w:val="auto"/>
          <w:highlight w:val="none"/>
        </w:rPr>
        <w:t xml:space="preserve">第一节 </w:t>
      </w:r>
      <w:bookmarkEnd w:id="103"/>
      <w:r>
        <w:rPr>
          <w:rFonts w:hint="eastAsia"/>
          <w:color w:val="auto"/>
          <w:highlight w:val="none"/>
          <w:lang w:eastAsia="zh-CN"/>
        </w:rPr>
        <w:t>建设海南国际旅游消费新高地</w:t>
      </w:r>
      <w:bookmarkEnd w:id="104"/>
      <w:bookmarkEnd w:id="105"/>
      <w:bookmarkEnd w:id="106"/>
    </w:p>
    <w:p>
      <w:pPr>
        <w:pageBreakBefore w:val="0"/>
        <w:widowControl w:val="0"/>
        <w:kinsoku/>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以海花岛旅游产业园为</w:t>
      </w:r>
      <w:r>
        <w:rPr>
          <w:rFonts w:hint="eastAsia" w:ascii="仿宋_GB2312" w:hAnsi="仿宋_GB2312" w:eastAsia="仿宋_GB2312" w:cs="仿宋_GB2312"/>
          <w:color w:val="auto"/>
          <w:sz w:val="32"/>
          <w:szCs w:val="32"/>
          <w:highlight w:val="none"/>
          <w:lang w:eastAsia="zh-CN"/>
        </w:rPr>
        <w:t>引爆点，打造“</w:t>
      </w:r>
      <w:r>
        <w:rPr>
          <w:rFonts w:hint="eastAsia" w:ascii="仿宋_GB2312" w:hAnsi="仿宋_GB2312" w:eastAsia="仿宋_GB2312" w:cs="仿宋_GB2312"/>
          <w:color w:val="auto"/>
          <w:sz w:val="32"/>
          <w:szCs w:val="32"/>
          <w:highlight w:val="none"/>
        </w:rPr>
        <w:t>西部旅游黄金</w:t>
      </w:r>
      <w:r>
        <w:rPr>
          <w:rFonts w:hint="eastAsia" w:ascii="仿宋_GB2312" w:hAnsi="仿宋_GB2312" w:eastAsia="仿宋_GB2312" w:cs="仿宋_GB2312"/>
          <w:color w:val="auto"/>
          <w:sz w:val="32"/>
          <w:szCs w:val="32"/>
          <w:highlight w:val="none"/>
          <w:lang w:eastAsia="zh-CN"/>
        </w:rPr>
        <w:t>圈”</w:t>
      </w:r>
      <w:r>
        <w:rPr>
          <w:rFonts w:hint="eastAsia" w:ascii="仿宋_GB2312" w:hAnsi="仿宋_GB2312" w:eastAsia="仿宋_GB2312" w:cs="仿宋_GB2312"/>
          <w:color w:val="auto"/>
          <w:sz w:val="32"/>
          <w:szCs w:val="32"/>
          <w:highlight w:val="none"/>
        </w:rPr>
        <w:t>，推动旅游国际化、品质化，将儋州打造为“业态丰富、品牌集聚、环境舒适、特色鲜明”的海南国际旅游消费新高地，成为海南</w:t>
      </w:r>
      <w:r>
        <w:rPr>
          <w:rFonts w:hint="eastAsia" w:ascii="仿宋_GB2312" w:hAnsi="仿宋_GB2312" w:eastAsia="仿宋_GB2312" w:cs="仿宋_GB2312"/>
          <w:color w:val="auto"/>
          <w:sz w:val="32"/>
          <w:szCs w:val="32"/>
          <w:highlight w:val="none"/>
          <w:lang w:eastAsia="zh-CN"/>
        </w:rPr>
        <w:t>国际</w:t>
      </w:r>
      <w:r>
        <w:rPr>
          <w:rFonts w:hint="eastAsia" w:ascii="仿宋_GB2312" w:hAnsi="仿宋_GB2312" w:eastAsia="仿宋_GB2312" w:cs="仿宋_GB2312"/>
          <w:color w:val="auto"/>
          <w:sz w:val="32"/>
          <w:szCs w:val="32"/>
          <w:highlight w:val="none"/>
        </w:rPr>
        <w:t>旅游消费增长极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rPr>
        <w:t>实现旅游业增加值突破百亿。</w:t>
      </w:r>
    </w:p>
    <w:p>
      <w:pPr>
        <w:pageBreakBefore w:val="0"/>
        <w:widowControl w:val="0"/>
        <w:kinsoku/>
        <w:wordWrap w:val="0"/>
        <w:overflowPunct/>
        <w:topLinePunct w:val="0"/>
        <w:bidi w:val="0"/>
        <w:snapToGrid/>
        <w:spacing w:line="560" w:lineRule="exact"/>
        <w:ind w:firstLine="643" w:firstLineChars="200"/>
        <w:textAlignment w:val="auto"/>
        <w:outlineLvl w:val="2"/>
        <w:rPr>
          <w:rFonts w:ascii="仿宋_GB2312" w:hAnsi="仿宋_GB2312" w:eastAsia="仿宋_GB2312" w:cs="仿宋_GB2312"/>
          <w:b/>
          <w:bCs/>
          <w:color w:val="auto"/>
          <w:sz w:val="32"/>
          <w:szCs w:val="32"/>
          <w:highlight w:val="none"/>
        </w:rPr>
      </w:pPr>
      <w:r>
        <w:rPr>
          <w:rFonts w:hint="eastAsia" w:ascii="楷体_GB2312" w:hAnsi="楷体_GB2312" w:eastAsia="楷体_GB2312" w:cs="楷体_GB2312"/>
          <w:b/>
          <w:bCs/>
          <w:color w:val="auto"/>
          <w:sz w:val="32"/>
          <w:szCs w:val="32"/>
          <w:highlight w:val="none"/>
        </w:rPr>
        <w:t>（一）</w:t>
      </w:r>
      <w:r>
        <w:rPr>
          <w:rFonts w:hint="eastAsia" w:ascii="楷体_GB2312" w:hAnsi="楷体_GB2312" w:eastAsia="楷体_GB2312" w:cs="楷体_GB2312"/>
          <w:b/>
          <w:bCs/>
          <w:color w:val="auto"/>
          <w:sz w:val="32"/>
          <w:szCs w:val="32"/>
          <w:highlight w:val="none"/>
          <w:lang w:eastAsia="zh-CN"/>
        </w:rPr>
        <w:t>强化旅游产品供给，打造旅游消费增长极</w:t>
      </w:r>
    </w:p>
    <w:p>
      <w:pPr>
        <w:pageBreakBefore w:val="0"/>
        <w:widowControl w:val="0"/>
        <w:kinsoku/>
        <w:overflowPunct/>
        <w:topLinePunct w:val="0"/>
        <w:bidi w:val="0"/>
        <w:snapToGrid/>
        <w:spacing w:line="560" w:lineRule="exact"/>
        <w:ind w:firstLine="643" w:firstLineChars="200"/>
        <w:textAlignment w:val="auto"/>
        <w:rPr>
          <w:rFonts w:ascii="仿宋_GB2312" w:hAnsi="仿宋_GB2312" w:eastAsia="仿宋_GB2312" w:cs="仿宋_GB2312"/>
          <w:b/>
          <w:bCs/>
          <w:color w:val="auto"/>
          <w:sz w:val="32"/>
          <w:szCs w:val="32"/>
          <w:highlight w:val="none"/>
        </w:rPr>
      </w:pPr>
      <w:r>
        <w:rPr>
          <w:rFonts w:hint="eastAsia" w:hAnsi="Times New Roman" w:eastAsia="仿宋_GB2312"/>
          <w:b/>
          <w:bCs/>
          <w:color w:val="auto"/>
          <w:sz w:val="32"/>
          <w:szCs w:val="32"/>
          <w:highlight w:val="none"/>
        </w:rPr>
        <w:t>打造西部旅游黄金</w:t>
      </w:r>
      <w:r>
        <w:rPr>
          <w:rFonts w:hint="eastAsia" w:hAnsi="Times New Roman" w:eastAsia="仿宋_GB2312"/>
          <w:b/>
          <w:bCs/>
          <w:color w:val="auto"/>
          <w:sz w:val="32"/>
          <w:szCs w:val="32"/>
          <w:highlight w:val="none"/>
          <w:lang w:eastAsia="zh-CN"/>
        </w:rPr>
        <w:t>圈</w:t>
      </w:r>
      <w:r>
        <w:rPr>
          <w:rFonts w:hint="eastAsia" w:hAnsi="Times New Roman" w:eastAsia="仿宋_GB2312"/>
          <w:b/>
          <w:bCs/>
          <w:color w:val="auto"/>
          <w:sz w:val="32"/>
          <w:szCs w:val="32"/>
          <w:highlight w:val="none"/>
        </w:rPr>
        <w:t>。</w:t>
      </w:r>
      <w:r>
        <w:rPr>
          <w:rFonts w:hint="eastAsia" w:ascii="仿宋_GB2312" w:hAnsi="仿宋_GB2312" w:eastAsia="仿宋_GB2312" w:cs="仿宋_GB2312"/>
          <w:color w:val="auto"/>
          <w:sz w:val="32"/>
          <w:szCs w:val="32"/>
          <w:highlight w:val="none"/>
        </w:rPr>
        <w:t>推动海花岛旅游产业园</w:t>
      </w:r>
      <w:r>
        <w:rPr>
          <w:rFonts w:hint="eastAsia" w:ascii="仿宋_GB2312" w:hAnsi="仿宋_GB2312" w:eastAsia="仿宋_GB2312" w:cs="仿宋_GB2312"/>
          <w:color w:val="auto"/>
          <w:sz w:val="32"/>
          <w:szCs w:val="32"/>
          <w:highlight w:val="none"/>
          <w:lang w:eastAsia="zh-CN"/>
        </w:rPr>
        <w:t>全面开业，</w:t>
      </w:r>
      <w:r>
        <w:rPr>
          <w:rFonts w:hint="eastAsia" w:ascii="仿宋_GB2312" w:hAnsi="仿宋_GB2312" w:eastAsia="仿宋_GB2312" w:cs="仿宋_GB2312"/>
          <w:b w:val="0"/>
          <w:bCs w:val="0"/>
          <w:color w:val="auto"/>
          <w:sz w:val="32"/>
          <w:szCs w:val="32"/>
          <w:highlight w:val="none"/>
        </w:rPr>
        <w:t>加</w:t>
      </w:r>
      <w:r>
        <w:rPr>
          <w:rFonts w:hint="eastAsia" w:ascii="仿宋_GB2312" w:hAnsi="仿宋_GB2312" w:eastAsia="仿宋_GB2312" w:cs="仿宋_GB2312"/>
          <w:b w:val="0"/>
          <w:bCs w:val="0"/>
          <w:color w:val="auto"/>
          <w:sz w:val="32"/>
          <w:szCs w:val="32"/>
          <w:highlight w:val="none"/>
          <w:lang w:eastAsia="zh-CN"/>
        </w:rPr>
        <w:t>速形成</w:t>
      </w:r>
      <w:r>
        <w:rPr>
          <w:rFonts w:hint="eastAsia" w:ascii="仿宋_GB2312" w:hAnsi="仿宋_GB2312" w:eastAsia="仿宋_GB2312" w:cs="仿宋_GB2312"/>
          <w:b w:val="0"/>
          <w:bCs w:val="0"/>
          <w:color w:val="auto"/>
          <w:sz w:val="32"/>
          <w:szCs w:val="32"/>
          <w:highlight w:val="none"/>
        </w:rPr>
        <w:t>旅游流量集聚中心。</w:t>
      </w:r>
      <w:r>
        <w:rPr>
          <w:rFonts w:hint="eastAsia" w:ascii="仿宋_GB2312" w:hAnsi="仿宋_GB2312" w:eastAsia="仿宋_GB2312" w:cs="仿宋_GB2312"/>
          <w:color w:val="auto"/>
          <w:sz w:val="32"/>
          <w:szCs w:val="32"/>
          <w:highlight w:val="none"/>
        </w:rPr>
        <w:t>重点开发休闲度假、免税购物、</w:t>
      </w:r>
      <w:r>
        <w:rPr>
          <w:rFonts w:hint="eastAsia" w:ascii="仿宋_GB2312" w:hAnsi="仿宋_GB2312" w:eastAsia="仿宋_GB2312" w:cs="仿宋_GB2312"/>
          <w:color w:val="auto"/>
          <w:sz w:val="32"/>
          <w:szCs w:val="32"/>
          <w:highlight w:val="none"/>
          <w:lang w:eastAsia="zh-CN"/>
        </w:rPr>
        <w:t>餐饮</w:t>
      </w:r>
      <w:r>
        <w:rPr>
          <w:rFonts w:hint="eastAsia" w:ascii="仿宋_GB2312" w:hAnsi="仿宋_GB2312" w:eastAsia="仿宋_GB2312" w:cs="仿宋_GB2312"/>
          <w:color w:val="auto"/>
          <w:sz w:val="32"/>
          <w:szCs w:val="32"/>
          <w:highlight w:val="none"/>
        </w:rPr>
        <w:t>娱乐</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特色旅游</w:t>
      </w:r>
      <w:r>
        <w:rPr>
          <w:rFonts w:hint="eastAsia" w:ascii="仿宋_GB2312" w:hAnsi="仿宋_GB2312" w:eastAsia="仿宋_GB2312" w:cs="仿宋_GB2312"/>
          <w:color w:val="auto"/>
          <w:sz w:val="32"/>
          <w:szCs w:val="32"/>
          <w:highlight w:val="none"/>
          <w:lang w:eastAsia="zh-CN"/>
        </w:rPr>
        <w:t>业态</w:t>
      </w:r>
      <w:r>
        <w:rPr>
          <w:rFonts w:hint="eastAsia" w:ascii="仿宋_GB2312" w:hAnsi="仿宋_GB2312" w:eastAsia="仿宋_GB2312" w:cs="仿宋_GB2312"/>
          <w:color w:val="auto"/>
          <w:sz w:val="32"/>
          <w:szCs w:val="32"/>
          <w:highlight w:val="none"/>
        </w:rPr>
        <w:t>，加快发展国际邮轮旅游、游艇旅游。突出联合发展原则，</w:t>
      </w:r>
      <w:r>
        <w:rPr>
          <w:rFonts w:hint="eastAsia" w:ascii="仿宋_GB2312" w:hAnsi="仿宋_GB2312" w:eastAsia="仿宋_GB2312" w:cs="仿宋_GB2312"/>
          <w:color w:val="auto"/>
          <w:sz w:val="32"/>
          <w:szCs w:val="32"/>
          <w:highlight w:val="none"/>
          <w:lang w:eastAsia="zh-CN"/>
        </w:rPr>
        <w:t>以</w:t>
      </w:r>
      <w:r>
        <w:rPr>
          <w:rFonts w:hint="eastAsia" w:ascii="仿宋_GB2312" w:hAnsi="仿宋_GB2312" w:eastAsia="仿宋_GB2312" w:cs="仿宋_GB2312"/>
          <w:color w:val="auto"/>
          <w:sz w:val="32"/>
          <w:szCs w:val="32"/>
          <w:highlight w:val="none"/>
        </w:rPr>
        <w:t>海花岛旅游产业园</w:t>
      </w:r>
      <w:r>
        <w:rPr>
          <w:rFonts w:hint="eastAsia" w:ascii="仿宋_GB2312" w:hAnsi="仿宋_GB2312" w:eastAsia="仿宋_GB2312" w:cs="仿宋_GB2312"/>
          <w:color w:val="auto"/>
          <w:sz w:val="32"/>
          <w:szCs w:val="32"/>
          <w:highlight w:val="none"/>
          <w:lang w:eastAsia="zh-CN"/>
        </w:rPr>
        <w:t>作为聚流核心，高标准建设升级一批旅游度假区、</w:t>
      </w:r>
      <w:r>
        <w:rPr>
          <w:rFonts w:hint="eastAsia" w:ascii="仿宋_GB2312" w:hAnsi="仿宋_GB2312" w:eastAsia="仿宋_GB2312" w:cs="仿宋_GB2312"/>
          <w:color w:val="auto"/>
          <w:sz w:val="32"/>
          <w:szCs w:val="32"/>
          <w:highlight w:val="none"/>
          <w:lang w:val="en-US" w:eastAsia="zh-CN"/>
        </w:rPr>
        <w:t>A级景区、主题公园和椰级乡村旅游点。推动旅游公路儋州段建设，加快环岛旅游站点布局，尽快融入全省“串珠成链”的旅游格局。</w:t>
      </w:r>
      <w:r>
        <w:rPr>
          <w:rFonts w:hint="eastAsia" w:ascii="仿宋_GB2312" w:hAnsi="仿宋_GB2312" w:eastAsia="仿宋_GB2312" w:cs="仿宋_GB2312"/>
          <w:color w:val="auto"/>
          <w:sz w:val="32"/>
          <w:szCs w:val="32"/>
          <w:highlight w:val="none"/>
          <w:lang w:eastAsia="zh-CN"/>
        </w:rPr>
        <w:t>完善旅游</w:t>
      </w:r>
      <w:r>
        <w:rPr>
          <w:rFonts w:hint="eastAsia" w:ascii="仿宋_GB2312" w:hAnsi="仿宋_GB2312" w:eastAsia="仿宋_GB2312" w:cs="仿宋_GB2312"/>
          <w:color w:val="auto"/>
          <w:sz w:val="32"/>
          <w:szCs w:val="32"/>
          <w:highlight w:val="none"/>
        </w:rPr>
        <w:t>接待设施，建设与</w:t>
      </w:r>
      <w:r>
        <w:rPr>
          <w:rFonts w:hint="eastAsia" w:ascii="仿宋_GB2312" w:hAnsi="仿宋_GB2312" w:eastAsia="仿宋_GB2312" w:cs="仿宋_GB2312"/>
          <w:color w:val="auto"/>
          <w:sz w:val="32"/>
          <w:szCs w:val="32"/>
          <w:highlight w:val="none"/>
          <w:lang w:eastAsia="zh-CN"/>
        </w:rPr>
        <w:t>白马井动车站、</w:t>
      </w:r>
      <w:r>
        <w:rPr>
          <w:rFonts w:hint="eastAsia" w:ascii="仿宋_GB2312" w:hAnsi="仿宋_GB2312" w:eastAsia="仿宋_GB2312" w:cs="仿宋_GB2312"/>
          <w:color w:val="auto"/>
          <w:sz w:val="32"/>
          <w:szCs w:val="32"/>
          <w:highlight w:val="none"/>
        </w:rPr>
        <w:t>儋州机场等交通枢纽的便利化接驳体系。</w:t>
      </w:r>
      <w:r>
        <w:rPr>
          <w:rFonts w:hint="eastAsia" w:ascii="仿宋_GB2312" w:hAnsi="仿宋_GB2312" w:eastAsia="仿宋_GB2312" w:cs="仿宋_GB2312"/>
          <w:color w:val="auto"/>
          <w:sz w:val="32"/>
          <w:szCs w:val="32"/>
          <w:highlight w:val="none"/>
          <w:lang w:val="en-US" w:eastAsia="zh-CN"/>
        </w:rPr>
        <w:t>布局不同形态通用机场、起降点，发展“通航+旅游”新模式。</w:t>
      </w:r>
    </w:p>
    <w:p>
      <w:pPr>
        <w:pStyle w:val="2"/>
        <w:pageBreakBefore w:val="0"/>
        <w:widowControl w:val="0"/>
        <w:kinsoku/>
        <w:overflowPunct/>
        <w:topLinePunct w:val="0"/>
        <w:bidi w:val="0"/>
        <w:snapToGrid/>
        <w:spacing w:line="560" w:lineRule="exact"/>
        <w:ind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建设度假旅游区。</w:t>
      </w:r>
      <w:r>
        <w:rPr>
          <w:rFonts w:hint="eastAsia" w:ascii="仿宋_GB2312" w:hAnsi="仿宋_GB2312" w:eastAsia="仿宋_GB2312" w:cs="仿宋_GB2312"/>
          <w:color w:val="auto"/>
          <w:sz w:val="32"/>
          <w:szCs w:val="32"/>
          <w:highlight w:val="none"/>
        </w:rPr>
        <w:t>依托那大城区，以度假旅游为主体，重点发展</w:t>
      </w:r>
      <w:r>
        <w:rPr>
          <w:rFonts w:hint="eastAsia" w:ascii="仿宋_GB2312" w:hAnsi="仿宋_GB2312" w:eastAsia="仿宋_GB2312" w:cs="仿宋_GB2312"/>
          <w:color w:val="auto"/>
          <w:sz w:val="32"/>
          <w:szCs w:val="32"/>
          <w:highlight w:val="none"/>
          <w:lang w:eastAsia="zh-CN"/>
        </w:rPr>
        <w:t>康养</w:t>
      </w:r>
      <w:r>
        <w:rPr>
          <w:rFonts w:hint="eastAsia" w:ascii="仿宋_GB2312" w:hAnsi="仿宋_GB2312" w:eastAsia="仿宋_GB2312" w:cs="仿宋_GB2312"/>
          <w:color w:val="auto"/>
          <w:sz w:val="32"/>
          <w:szCs w:val="32"/>
          <w:highlight w:val="none"/>
        </w:rPr>
        <w:t>旅游、生态旅游、</w:t>
      </w:r>
      <w:r>
        <w:rPr>
          <w:rFonts w:hint="eastAsia" w:ascii="仿宋_GB2312" w:hAnsi="仿宋_GB2312" w:eastAsia="仿宋_GB2312" w:cs="仿宋_GB2312"/>
          <w:color w:val="auto"/>
          <w:sz w:val="32"/>
          <w:szCs w:val="32"/>
          <w:highlight w:val="none"/>
          <w:lang w:eastAsia="zh-CN"/>
        </w:rPr>
        <w:t>研学</w:t>
      </w:r>
      <w:r>
        <w:rPr>
          <w:rFonts w:hint="eastAsia" w:ascii="仿宋_GB2312" w:hAnsi="仿宋_GB2312" w:eastAsia="仿宋_GB2312" w:cs="仿宋_GB2312"/>
          <w:color w:val="auto"/>
          <w:sz w:val="32"/>
          <w:szCs w:val="32"/>
          <w:highlight w:val="none"/>
        </w:rPr>
        <w:t>旅游</w:t>
      </w:r>
      <w:r>
        <w:rPr>
          <w:rFonts w:hint="eastAsia" w:ascii="仿宋_GB2312" w:hAnsi="仿宋_GB2312" w:eastAsia="仿宋_GB2312" w:cs="仿宋_GB2312"/>
          <w:color w:val="auto"/>
          <w:sz w:val="32"/>
          <w:szCs w:val="32"/>
          <w:highlight w:val="none"/>
          <w:lang w:eastAsia="zh-CN"/>
        </w:rPr>
        <w:t>等特色旅游</w:t>
      </w:r>
      <w:r>
        <w:rPr>
          <w:rFonts w:hint="eastAsia" w:ascii="仿宋_GB2312" w:hAnsi="仿宋_GB2312" w:eastAsia="仿宋_GB2312" w:cs="仿宋_GB2312"/>
          <w:color w:val="auto"/>
          <w:sz w:val="32"/>
          <w:szCs w:val="32"/>
          <w:highlight w:val="none"/>
        </w:rPr>
        <w:t>。推动现有</w:t>
      </w:r>
      <w:r>
        <w:rPr>
          <w:rFonts w:ascii="仿宋_GB2312" w:hAnsi="仿宋_GB2312" w:eastAsia="仿宋_GB2312" w:cs="仿宋_GB2312"/>
          <w:color w:val="auto"/>
          <w:sz w:val="32"/>
          <w:szCs w:val="32"/>
          <w:highlight w:val="none"/>
        </w:rPr>
        <w:t>3A级景区升级为4A景区，争创1-2个5A级景区。</w:t>
      </w:r>
      <w:r>
        <w:rPr>
          <w:rFonts w:hint="eastAsia" w:ascii="仿宋_GB2312" w:hAnsi="仿宋_GB2312" w:eastAsia="仿宋_GB2312" w:cs="仿宋_GB2312"/>
          <w:color w:val="auto"/>
          <w:sz w:val="32"/>
          <w:szCs w:val="32"/>
          <w:highlight w:val="none"/>
        </w:rPr>
        <w:t>构建以兰洋温泉为核心的康</w:t>
      </w:r>
      <w:r>
        <w:rPr>
          <w:rFonts w:hint="eastAsia" w:ascii="仿宋_GB2312" w:hAnsi="仿宋_GB2312" w:eastAsia="仿宋_GB2312" w:cs="仿宋_GB2312"/>
          <w:color w:val="auto"/>
          <w:sz w:val="32"/>
          <w:szCs w:val="32"/>
          <w:highlight w:val="none"/>
          <w:lang w:eastAsia="zh-CN"/>
        </w:rPr>
        <w:t>养</w:t>
      </w:r>
      <w:r>
        <w:rPr>
          <w:rFonts w:hint="eastAsia" w:ascii="仿宋_GB2312" w:hAnsi="仿宋_GB2312" w:eastAsia="仿宋_GB2312" w:cs="仿宋_GB2312"/>
          <w:color w:val="auto"/>
          <w:sz w:val="32"/>
          <w:szCs w:val="32"/>
          <w:highlight w:val="none"/>
        </w:rPr>
        <w:t>度假区，推进莲花山文化景区（争创</w:t>
      </w:r>
      <w:r>
        <w:rPr>
          <w:rFonts w:ascii="仿宋_GB2312" w:hAnsi="仿宋_GB2312" w:eastAsia="仿宋_GB2312" w:cs="仿宋_GB2312"/>
          <w:color w:val="auto"/>
          <w:sz w:val="32"/>
          <w:szCs w:val="32"/>
          <w:highlight w:val="none"/>
        </w:rPr>
        <w:t>5A</w:t>
      </w:r>
      <w:r>
        <w:rPr>
          <w:rFonts w:hint="eastAsia" w:ascii="仿宋_GB2312" w:hAnsi="仿宋_GB2312" w:eastAsia="仿宋_GB2312" w:cs="仿宋_GB2312"/>
          <w:color w:val="auto"/>
          <w:sz w:val="32"/>
          <w:szCs w:val="32"/>
          <w:highlight w:val="none"/>
        </w:rPr>
        <w:t>级旅游区）、</w:t>
      </w:r>
      <w:r>
        <w:rPr>
          <w:rFonts w:hint="eastAsia" w:ascii="仿宋_GB2312" w:hAnsi="仿宋_GB2312" w:eastAsia="仿宋_GB2312" w:cs="仿宋_GB2312"/>
          <w:color w:val="auto"/>
          <w:sz w:val="32"/>
          <w:szCs w:val="32"/>
          <w:highlight w:val="none"/>
          <w:lang w:eastAsia="zh-CN"/>
        </w:rPr>
        <w:t>兰</w:t>
      </w:r>
      <w:r>
        <w:rPr>
          <w:rFonts w:hint="eastAsia" w:ascii="仿宋_GB2312" w:hAnsi="仿宋_GB2312" w:eastAsia="仿宋_GB2312" w:cs="仿宋_GB2312"/>
          <w:color w:val="auto"/>
          <w:sz w:val="32"/>
          <w:szCs w:val="32"/>
          <w:highlight w:val="none"/>
        </w:rPr>
        <w:t>洋温泉医疗康养中心等项目建设。构建</w:t>
      </w:r>
      <w:r>
        <w:rPr>
          <w:rFonts w:hint="eastAsia" w:ascii="仿宋_GB2312" w:hAnsi="仿宋_GB2312" w:eastAsia="仿宋_GB2312" w:cs="仿宋_GB2312"/>
          <w:color w:val="auto"/>
          <w:sz w:val="32"/>
          <w:szCs w:val="32"/>
          <w:highlight w:val="none"/>
          <w:lang w:eastAsia="zh-CN"/>
        </w:rPr>
        <w:t>以热带植物园和石化水洞为核心的研学旅游区，推进石化水洞、东坡书院、热带植物园升级改造（争创</w:t>
      </w:r>
      <w:r>
        <w:rPr>
          <w:rFonts w:hint="eastAsia" w:ascii="仿宋_GB2312" w:hAnsi="仿宋_GB2312" w:eastAsia="仿宋_GB2312" w:cs="仿宋_GB2312"/>
          <w:color w:val="auto"/>
          <w:sz w:val="32"/>
          <w:szCs w:val="32"/>
          <w:highlight w:val="none"/>
          <w:lang w:val="en-US" w:eastAsia="zh-CN"/>
        </w:rPr>
        <w:t>4A级景区），推动峨蔓火山海岸建设。</w:t>
      </w:r>
    </w:p>
    <w:p>
      <w:pPr>
        <w:pStyle w:val="2"/>
        <w:pageBreakBefore w:val="0"/>
        <w:widowControl w:val="0"/>
        <w:kinsoku/>
        <w:overflowPunct/>
        <w:topLinePunct w:val="0"/>
        <w:bidi w:val="0"/>
        <w:snapToGrid/>
        <w:spacing w:line="560" w:lineRule="exact"/>
        <w:ind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建设文化旅游区。</w:t>
      </w:r>
      <w:r>
        <w:rPr>
          <w:rFonts w:hint="eastAsia" w:ascii="仿宋_GB2312" w:hAnsi="仿宋_GB2312" w:eastAsia="仿宋_GB2312" w:cs="仿宋_GB2312"/>
          <w:color w:val="auto"/>
          <w:sz w:val="32"/>
          <w:szCs w:val="32"/>
          <w:highlight w:val="none"/>
        </w:rPr>
        <w:t>依托中和古镇与东坡书院，以东坡文化旅游产品为主体，打造海南文化旅游特色品牌，构建以东坡书院（争创</w:t>
      </w:r>
      <w:r>
        <w:rPr>
          <w:rFonts w:hint="eastAsia" w:eastAsia="仿宋_GB2312"/>
          <w:color w:val="auto"/>
          <w:sz w:val="32"/>
          <w:szCs w:val="32"/>
          <w:highlight w:val="none"/>
          <w:lang w:val="en-US" w:eastAsia="zh-CN"/>
        </w:rPr>
        <w:t>4</w:t>
      </w:r>
      <w:r>
        <w:rPr>
          <w:rFonts w:eastAsia="仿宋_GB2312"/>
          <w:color w:val="auto"/>
          <w:sz w:val="32"/>
          <w:szCs w:val="32"/>
          <w:highlight w:val="none"/>
        </w:rPr>
        <w:t>A级景区</w:t>
      </w:r>
      <w:r>
        <w:rPr>
          <w:rFonts w:hint="eastAsia" w:ascii="仿宋_GB2312" w:hAnsi="仿宋_GB2312" w:eastAsia="仿宋_GB2312" w:cs="仿宋_GB2312"/>
          <w:color w:val="auto"/>
          <w:sz w:val="32"/>
          <w:szCs w:val="32"/>
          <w:highlight w:val="none"/>
        </w:rPr>
        <w:t>）和儋州故城为核心的文化旅游区</w:t>
      </w:r>
      <w:r>
        <w:rPr>
          <w:rFonts w:hint="eastAsia" w:ascii="仿宋_GB2312" w:hAnsi="仿宋_GB2312" w:eastAsia="仿宋_GB2312" w:cs="仿宋_GB2312"/>
          <w:color w:val="auto"/>
          <w:sz w:val="32"/>
          <w:szCs w:val="32"/>
          <w:highlight w:val="none"/>
          <w:lang w:eastAsia="zh-CN"/>
        </w:rPr>
        <w:t>，打造千年古盐田</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中和古镇（东坡书院）</w:t>
      </w:r>
      <w:r>
        <w:rPr>
          <w:rFonts w:hint="eastAsia" w:ascii="仿宋_GB2312" w:hAnsi="仿宋_GB2312" w:eastAsia="仿宋_GB2312" w:cs="仿宋_GB2312"/>
          <w:color w:val="auto"/>
          <w:sz w:val="32"/>
          <w:szCs w:val="32"/>
          <w:highlight w:val="none"/>
          <w:lang w:val="en-US" w:eastAsia="zh-CN"/>
        </w:rPr>
        <w:t>-百年胶园-儋阳楼文化旅游路线。</w:t>
      </w:r>
    </w:p>
    <w:p>
      <w:pPr>
        <w:pStyle w:val="2"/>
        <w:pageBreakBefore w:val="0"/>
        <w:widowControl w:val="0"/>
        <w:kinsoku/>
        <w:overflowPunct/>
        <w:topLinePunct w:val="0"/>
        <w:bidi w:val="0"/>
        <w:snapToGrid/>
        <w:spacing w:line="560" w:lineRule="exact"/>
        <w:ind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建设乡村旅游集群。</w:t>
      </w:r>
      <w:r>
        <w:rPr>
          <w:rFonts w:hint="eastAsia" w:ascii="仿宋_GB2312" w:hAnsi="仿宋_GB2312" w:eastAsia="仿宋_GB2312" w:cs="仿宋_GB2312"/>
          <w:color w:val="auto"/>
          <w:sz w:val="32"/>
          <w:szCs w:val="32"/>
          <w:highlight w:val="none"/>
          <w:lang w:eastAsia="zh-CN"/>
        </w:rPr>
        <w:t>建设</w:t>
      </w:r>
      <w:r>
        <w:rPr>
          <w:rFonts w:hint="eastAsia" w:ascii="仿宋_GB2312" w:hAnsi="仿宋_GB2312" w:eastAsia="仿宋_GB2312" w:cs="仿宋_GB2312"/>
          <w:color w:val="auto"/>
          <w:sz w:val="32"/>
          <w:szCs w:val="32"/>
          <w:highlight w:val="none"/>
        </w:rPr>
        <w:t>以</w:t>
      </w:r>
      <w:r>
        <w:rPr>
          <w:rFonts w:hint="eastAsia" w:ascii="仿宋_GB2312" w:hAnsi="仿宋_GB2312" w:eastAsia="仿宋_GB2312" w:cs="仿宋_GB2312"/>
          <w:color w:val="auto"/>
          <w:sz w:val="32"/>
          <w:szCs w:val="32"/>
          <w:highlight w:val="none"/>
          <w:lang w:eastAsia="zh-CN"/>
        </w:rPr>
        <w:t>兰洋温泉养生休闲小镇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中和东坡文化风情小镇、</w:t>
      </w:r>
      <w:r>
        <w:rPr>
          <w:rFonts w:hint="eastAsia" w:ascii="仿宋_GB2312" w:hAnsi="仿宋_GB2312" w:eastAsia="仿宋_GB2312" w:cs="仿宋_GB2312"/>
          <w:color w:val="auto"/>
          <w:sz w:val="32"/>
          <w:szCs w:val="32"/>
          <w:highlight w:val="none"/>
        </w:rPr>
        <w:t>光村雪茄风情小镇为代表的</w:t>
      </w:r>
      <w:r>
        <w:rPr>
          <w:rFonts w:hint="eastAsia" w:ascii="仿宋_GB2312" w:hAnsi="仿宋_GB2312" w:eastAsia="仿宋_GB2312" w:cs="仿宋_GB2312"/>
          <w:color w:val="auto"/>
          <w:sz w:val="32"/>
          <w:szCs w:val="32"/>
          <w:highlight w:val="none"/>
          <w:lang w:eastAsia="zh-CN"/>
        </w:rPr>
        <w:t>一批</w:t>
      </w:r>
      <w:r>
        <w:rPr>
          <w:rFonts w:hint="eastAsia" w:ascii="仿宋_GB2312" w:hAnsi="仿宋_GB2312" w:eastAsia="仿宋_GB2312" w:cs="仿宋_GB2312"/>
          <w:color w:val="auto"/>
          <w:sz w:val="32"/>
          <w:szCs w:val="32"/>
          <w:highlight w:val="none"/>
        </w:rPr>
        <w:t>特色小镇</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建设以大成新风村、中和七里村、兰洋大塘村、那大屋基村为代表的一批美丽乡村，大力</w:t>
      </w:r>
      <w:r>
        <w:rPr>
          <w:rFonts w:hint="eastAsia" w:ascii="仿宋_GB2312" w:hAnsi="仿宋_GB2312" w:eastAsia="仿宋_GB2312" w:cs="仿宋_GB2312"/>
          <w:color w:val="auto"/>
          <w:sz w:val="32"/>
          <w:szCs w:val="32"/>
          <w:highlight w:val="none"/>
        </w:rPr>
        <w:t>发展度假民宿、乡村康养等新型业态，推动乡村旅游发展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实现乡村旅游</w:t>
      </w:r>
      <w:r>
        <w:rPr>
          <w:rFonts w:ascii="仿宋_GB2312" w:hAnsi="仿宋_GB2312" w:eastAsia="仿宋_GB2312" w:cs="仿宋_GB2312"/>
          <w:color w:val="auto"/>
          <w:sz w:val="32"/>
          <w:szCs w:val="32"/>
          <w:highlight w:val="none"/>
        </w:rPr>
        <w:t>年接待过夜游客300万人次以上</w:t>
      </w:r>
      <w:r>
        <w:rPr>
          <w:rFonts w:hint="eastAsia" w:ascii="仿宋_GB2312" w:hAnsi="仿宋_GB2312" w:eastAsia="仿宋_GB2312" w:cs="仿宋_GB2312"/>
          <w:color w:val="auto"/>
          <w:sz w:val="32"/>
          <w:szCs w:val="32"/>
          <w:highlight w:val="none"/>
        </w:rPr>
        <w:t>，成为儋州旅游名片。</w:t>
      </w:r>
      <w:r>
        <w:rPr>
          <w:rFonts w:ascii="仿宋_GB2312" w:hAnsi="仿宋_GB2312" w:eastAsia="仿宋_GB2312" w:cs="仿宋_GB2312"/>
          <w:color w:val="auto"/>
          <w:sz w:val="32"/>
          <w:szCs w:val="32"/>
          <w:highlight w:val="none"/>
        </w:rPr>
        <w:t xml:space="preserve"> </w:t>
      </w:r>
    </w:p>
    <w:p>
      <w:pPr>
        <w:pageBreakBefore w:val="0"/>
        <w:widowControl w:val="0"/>
        <w:kinsoku/>
        <w:wordWrap w:val="0"/>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二</w:t>
      </w:r>
      <w:r>
        <w:rPr>
          <w:rFonts w:hint="eastAsia" w:ascii="楷体_GB2312" w:hAnsi="楷体_GB2312" w:eastAsia="楷体_GB2312" w:cs="楷体_GB2312"/>
          <w:b/>
          <w:bCs/>
          <w:color w:val="auto"/>
          <w:sz w:val="32"/>
          <w:szCs w:val="32"/>
          <w:highlight w:val="none"/>
        </w:rPr>
        <w:t>）推进旅游业对外交流合作</w:t>
      </w:r>
    </w:p>
    <w:p>
      <w:pPr>
        <w:pStyle w:val="2"/>
        <w:pageBreakBefore w:val="0"/>
        <w:widowControl w:val="0"/>
        <w:kinsoku/>
        <w:overflowPunct/>
        <w:topLinePunct w:val="0"/>
        <w:bidi w:val="0"/>
        <w:snapToGrid/>
        <w:spacing w:line="560" w:lineRule="exact"/>
        <w:ind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扩大国内旅游市场朋友圈。</w:t>
      </w:r>
      <w:r>
        <w:rPr>
          <w:rFonts w:hint="eastAsia" w:ascii="仿宋_GB2312" w:hAnsi="仿宋_GB2312" w:eastAsia="仿宋_GB2312" w:cs="仿宋_GB2312"/>
          <w:color w:val="auto"/>
          <w:sz w:val="32"/>
          <w:szCs w:val="32"/>
          <w:highlight w:val="none"/>
        </w:rPr>
        <w:t>在海南西部层面，夯实西部旅游联盟盟主影响力，联合西部市县开展联合促销活动。在全省层面，积极融入全省自驾车旅居车生态圈，推</w:t>
      </w:r>
      <w:r>
        <w:rPr>
          <w:rFonts w:hint="eastAsia" w:ascii="仿宋_GB2312" w:hAnsi="仿宋_GB2312" w:eastAsia="仿宋_GB2312" w:cs="仿宋_GB2312"/>
          <w:color w:val="auto"/>
          <w:sz w:val="32"/>
          <w:szCs w:val="32"/>
          <w:highlight w:val="none"/>
          <w:lang w:eastAsia="zh-CN"/>
        </w:rPr>
        <w:t>动</w:t>
      </w:r>
      <w:r>
        <w:rPr>
          <w:rFonts w:hint="eastAsia" w:ascii="仿宋_GB2312" w:hAnsi="仿宋_GB2312" w:eastAsia="仿宋_GB2312" w:cs="仿宋_GB2312"/>
          <w:color w:val="auto"/>
          <w:sz w:val="32"/>
          <w:szCs w:val="32"/>
          <w:highlight w:val="none"/>
        </w:rPr>
        <w:t>自驾露营基地</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建设。在省级区域层面，借助东坡文化五市联盟、北部湾城市联盟等国内旅游合作营销联盟，大力推动省级区域合作，建立线路互推、客源互送、产品互补的旅游合作发展新格局。</w:t>
      </w:r>
    </w:p>
    <w:p>
      <w:pPr>
        <w:pStyle w:val="2"/>
        <w:pageBreakBefore w:val="0"/>
        <w:widowControl w:val="0"/>
        <w:kinsoku/>
        <w:overflowPunct/>
        <w:topLinePunct w:val="0"/>
        <w:bidi w:val="0"/>
        <w:snapToGrid/>
        <w:spacing w:line="560" w:lineRule="exact"/>
        <w:ind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拓展境外国际市场。</w:t>
      </w:r>
      <w:r>
        <w:rPr>
          <w:rFonts w:hint="eastAsia" w:ascii="仿宋_GB2312" w:hAnsi="仿宋_GB2312" w:eastAsia="仿宋_GB2312" w:cs="仿宋_GB2312"/>
          <w:color w:val="auto"/>
          <w:sz w:val="32"/>
          <w:szCs w:val="32"/>
          <w:highlight w:val="none"/>
        </w:rPr>
        <w:t>主动与希腊马拉松市、荷兰霍腾市等境外友好城市</w:t>
      </w:r>
      <w:r>
        <w:rPr>
          <w:rFonts w:hint="eastAsia" w:ascii="仿宋_GB2312" w:hAnsi="仿宋_GB2312" w:eastAsia="仿宋_GB2312" w:cs="仿宋_GB2312"/>
          <w:color w:val="auto"/>
          <w:sz w:val="32"/>
          <w:szCs w:val="32"/>
          <w:highlight w:val="none"/>
          <w:lang w:eastAsia="zh-CN"/>
        </w:rPr>
        <w:t>（含意向）</w:t>
      </w:r>
      <w:r>
        <w:rPr>
          <w:rFonts w:hint="eastAsia" w:ascii="仿宋_GB2312" w:hAnsi="仿宋_GB2312" w:eastAsia="仿宋_GB2312" w:cs="仿宋_GB2312"/>
          <w:color w:val="auto"/>
          <w:sz w:val="32"/>
          <w:szCs w:val="32"/>
          <w:highlight w:val="none"/>
        </w:rPr>
        <w:t>、旅游合作城市对接，加强文化、体育、旅游等各项活动的合作交流</w:t>
      </w:r>
      <w:r>
        <w:rPr>
          <w:rFonts w:hint="eastAsia" w:ascii="仿宋_GB2312" w:hAnsi="仿宋_GB2312" w:eastAsia="仿宋_GB2312" w:cs="仿宋_GB2312"/>
          <w:color w:val="auto"/>
          <w:sz w:val="32"/>
          <w:szCs w:val="32"/>
          <w:highlight w:val="none"/>
          <w:lang w:eastAsia="zh-CN"/>
        </w:rPr>
        <w:t>，拓展与东盟各国旅游合作项目</w:t>
      </w:r>
      <w:r>
        <w:rPr>
          <w:rFonts w:hint="eastAsia" w:ascii="仿宋_GB2312" w:hAnsi="仿宋_GB2312" w:eastAsia="仿宋_GB2312" w:cs="仿宋_GB2312"/>
          <w:color w:val="auto"/>
          <w:sz w:val="32"/>
          <w:szCs w:val="32"/>
          <w:highlight w:val="none"/>
        </w:rPr>
        <w:t>。探索以政府购买服务等方式引入社会力量开发儋州入境旅游市场，吸引国际旅游营销商向世界推介儋州旅游。</w:t>
      </w:r>
    </w:p>
    <w:p>
      <w:pPr>
        <w:pageBreakBefore w:val="0"/>
        <w:widowControl w:val="0"/>
        <w:kinsoku/>
        <w:wordWrap w:val="0"/>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三</w:t>
      </w:r>
      <w:r>
        <w:rPr>
          <w:rFonts w:hint="eastAsia" w:ascii="楷体_GB2312" w:hAnsi="楷体_GB2312" w:eastAsia="楷体_GB2312" w:cs="楷体_GB2312"/>
          <w:b/>
          <w:bCs/>
          <w:color w:val="auto"/>
          <w:sz w:val="32"/>
          <w:szCs w:val="32"/>
          <w:highlight w:val="none"/>
        </w:rPr>
        <w:t>）完善旅游服务和宣传体系</w:t>
      </w:r>
    </w:p>
    <w:p>
      <w:pPr>
        <w:pStyle w:val="2"/>
        <w:pageBreakBefore w:val="0"/>
        <w:widowControl w:val="0"/>
        <w:kinsoku/>
        <w:wordWrap w:val="0"/>
        <w:overflowPunct/>
        <w:topLinePunct w:val="0"/>
        <w:bidi w:val="0"/>
        <w:snapToGrid/>
        <w:spacing w:line="600" w:lineRule="exact"/>
        <w:ind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完善旅游公共服务体系。</w:t>
      </w:r>
      <w:r>
        <w:rPr>
          <w:rFonts w:hint="eastAsia" w:ascii="仿宋_GB2312" w:hAnsi="仿宋_GB2312" w:eastAsia="仿宋_GB2312" w:cs="仿宋_GB2312"/>
          <w:b w:val="0"/>
          <w:bCs w:val="0"/>
          <w:color w:val="auto"/>
          <w:sz w:val="32"/>
          <w:szCs w:val="32"/>
          <w:highlight w:val="none"/>
          <w:lang w:eastAsia="zh-CN"/>
        </w:rPr>
        <w:t>优化旅游服务管理机制，推动旅游服务国际化、数字化、规范化，营造一流的旅游消费环境。</w:t>
      </w:r>
      <w:r>
        <w:rPr>
          <w:rFonts w:hint="eastAsia" w:ascii="仿宋_GB2312" w:hAnsi="仿宋_GB2312" w:eastAsia="仿宋_GB2312" w:cs="仿宋_GB2312"/>
          <w:color w:val="auto"/>
          <w:sz w:val="32"/>
          <w:szCs w:val="32"/>
          <w:highlight w:val="none"/>
        </w:rPr>
        <w:t>建立健全游客服务中心网络，建设海花岛旅游产业园</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兰洋</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旅游服务中心。打造旅游信息化体系，建立涵盖旅游景区、乡村旅游点、旅行社、宾馆、饭店</w:t>
      </w:r>
      <w:r>
        <w:rPr>
          <w:rFonts w:hint="eastAsia" w:ascii="仿宋_GB2312" w:hAnsi="仿宋_GB2312" w:eastAsia="仿宋_GB2312" w:cs="仿宋_GB2312"/>
          <w:color w:val="auto"/>
          <w:sz w:val="32"/>
          <w:szCs w:val="32"/>
          <w:highlight w:val="none"/>
          <w:lang w:eastAsia="zh-CN"/>
        </w:rPr>
        <w:t>、导游等的</w:t>
      </w:r>
      <w:r>
        <w:rPr>
          <w:rFonts w:hint="eastAsia" w:ascii="仿宋_GB2312" w:hAnsi="仿宋_GB2312" w:eastAsia="仿宋_GB2312" w:cs="仿宋_GB2312"/>
          <w:color w:val="auto"/>
          <w:sz w:val="32"/>
          <w:szCs w:val="32"/>
          <w:highlight w:val="none"/>
        </w:rPr>
        <w:t>旅游行业数据库，推进旅游行业智能监管、智慧服务。完善旅游标识系统建设，增设英语语言标识，统一使用“千年古郡·魅力儋州”和“苏小坡”旅文形象标识系统开展宣传。完善旅游景区、特色小镇、美丽乡村、共享农庄等区域的公共厕所建设。完善旅游市场综合监管机制，健全旅游综合执法体系，建立旅游领域社会信用体系，整体提升旅游市场统筹管理能力。健全完善旅文企业突发事件风险管控体系，强化旅文企业应急管理能力建设，完善监测预警服务体系。</w:t>
      </w:r>
    </w:p>
    <w:p>
      <w:pPr>
        <w:pStyle w:val="2"/>
        <w:pageBreakBefore w:val="0"/>
        <w:widowControl w:val="0"/>
        <w:kinsoku/>
        <w:overflowPunct/>
        <w:topLinePunct w:val="0"/>
        <w:bidi w:val="0"/>
        <w:snapToGrid/>
        <w:spacing w:line="600" w:lineRule="exact"/>
        <w:ind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加强儋州旅游城市形象推广。</w:t>
      </w:r>
      <w:r>
        <w:rPr>
          <w:rFonts w:hint="eastAsia" w:ascii="仿宋_GB2312" w:hAnsi="仿宋_GB2312" w:eastAsia="仿宋_GB2312" w:cs="仿宋_GB2312"/>
          <w:color w:val="auto"/>
          <w:sz w:val="32"/>
          <w:szCs w:val="32"/>
          <w:highlight w:val="none"/>
        </w:rPr>
        <w:t>制定儋州旅游城市形象宣传计划，开展国内和国外旅游城市形象推介会，利用海南与</w:t>
      </w:r>
      <w:r>
        <w:rPr>
          <w:rFonts w:hint="eastAsia" w:ascii="仿宋_GB2312" w:hAnsi="仿宋_GB2312" w:eastAsia="仿宋_GB2312" w:cs="仿宋_GB2312"/>
          <w:color w:val="auto"/>
          <w:sz w:val="32"/>
          <w:szCs w:val="32"/>
          <w:highlight w:val="none"/>
          <w:lang w:eastAsia="zh-CN"/>
        </w:rPr>
        <w:t>境内外的</w:t>
      </w:r>
      <w:r>
        <w:rPr>
          <w:rFonts w:hint="eastAsia" w:ascii="仿宋_GB2312" w:hAnsi="仿宋_GB2312" w:eastAsia="仿宋_GB2312" w:cs="仿宋_GB2312"/>
          <w:color w:val="auto"/>
          <w:sz w:val="32"/>
          <w:szCs w:val="32"/>
          <w:highlight w:val="none"/>
        </w:rPr>
        <w:t>合作宣传平台、国内外主流媒体、影视作品植入等方式宣传儋州旅游产品。进一步扩大儋州国际马拉松赛、国际象棋特级大师超霸战、雪茄文化旅游节</w:t>
      </w:r>
      <w:r>
        <w:rPr>
          <w:rFonts w:hint="eastAsia" w:ascii="仿宋_GB2312" w:hAnsi="仿宋_GB2312" w:eastAsia="仿宋_GB2312" w:cs="仿宋_GB2312"/>
          <w:color w:val="auto"/>
          <w:sz w:val="32"/>
          <w:szCs w:val="32"/>
          <w:highlight w:val="none"/>
          <w:lang w:eastAsia="zh-CN"/>
        </w:rPr>
        <w:t>、东坡文化节</w:t>
      </w:r>
      <w:r>
        <w:rPr>
          <w:rFonts w:hint="eastAsia" w:ascii="仿宋_GB2312" w:hAnsi="仿宋_GB2312" w:eastAsia="仿宋_GB2312" w:cs="仿宋_GB2312"/>
          <w:color w:val="auto"/>
          <w:sz w:val="32"/>
          <w:szCs w:val="32"/>
          <w:highlight w:val="none"/>
        </w:rPr>
        <w:t>等节庆赛事活动影响力，依托</w:t>
      </w:r>
      <w:r>
        <w:rPr>
          <w:rFonts w:hint="eastAsia" w:ascii="仿宋_GB2312" w:hAnsi="仿宋_GB2312" w:eastAsia="仿宋_GB2312" w:cs="仿宋_GB2312"/>
          <w:color w:val="auto"/>
          <w:sz w:val="32"/>
          <w:szCs w:val="32"/>
          <w:highlight w:val="none"/>
          <w:lang w:eastAsia="zh-CN"/>
        </w:rPr>
        <w:t>海花岛、儋州体育中心、海南电影学院</w:t>
      </w:r>
      <w:r>
        <w:rPr>
          <w:rFonts w:hint="eastAsia" w:ascii="仿宋_GB2312" w:hAnsi="仿宋_GB2312" w:eastAsia="仿宋_GB2312" w:cs="仿宋_GB2312"/>
          <w:color w:val="auto"/>
          <w:sz w:val="32"/>
          <w:szCs w:val="32"/>
          <w:highlight w:val="none"/>
        </w:rPr>
        <w:t>，引进一批国际化体育赛事、体育训练、会展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文艺演出</w:t>
      </w:r>
      <w:r>
        <w:rPr>
          <w:rFonts w:hint="eastAsia" w:ascii="仿宋_GB2312" w:hAnsi="仿宋_GB2312" w:eastAsia="仿宋_GB2312" w:cs="仿宋_GB2312"/>
          <w:color w:val="auto"/>
          <w:sz w:val="32"/>
          <w:szCs w:val="32"/>
          <w:highlight w:val="none"/>
          <w:lang w:eastAsia="zh-CN"/>
        </w:rPr>
        <w:t>和影视论坛</w:t>
      </w:r>
      <w:r>
        <w:rPr>
          <w:rFonts w:hint="eastAsia" w:ascii="仿宋_GB2312" w:hAnsi="仿宋_GB2312" w:eastAsia="仿宋_GB2312" w:cs="仿宋_GB2312"/>
          <w:color w:val="auto"/>
          <w:sz w:val="32"/>
          <w:szCs w:val="32"/>
          <w:highlight w:val="none"/>
        </w:rPr>
        <w:t>。</w:t>
      </w:r>
      <w:r>
        <w:rPr>
          <w:rFonts w:hAnsi="Times New Roman" w:eastAsia="仿宋_GB2312"/>
          <w:color w:val="auto"/>
          <w:sz w:val="32"/>
          <w:szCs w:val="32"/>
          <w:highlight w:val="none"/>
        </w:rPr>
        <w:t>大力拓展旅游宣传</w:t>
      </w:r>
      <w:r>
        <w:rPr>
          <w:rFonts w:hint="eastAsia" w:hAnsi="Times New Roman" w:eastAsia="仿宋_GB2312"/>
          <w:color w:val="auto"/>
          <w:sz w:val="32"/>
          <w:szCs w:val="32"/>
          <w:highlight w:val="none"/>
          <w:lang w:eastAsia="zh-CN"/>
        </w:rPr>
        <w:t>营</w:t>
      </w:r>
      <w:r>
        <w:rPr>
          <w:rFonts w:hAnsi="Times New Roman" w:eastAsia="仿宋_GB2312"/>
          <w:color w:val="auto"/>
          <w:sz w:val="32"/>
          <w:szCs w:val="32"/>
          <w:highlight w:val="none"/>
        </w:rPr>
        <w:t>销空间，把节庆活动和旅游招商、</w:t>
      </w:r>
      <w:r>
        <w:rPr>
          <w:rFonts w:hint="eastAsia" w:hAnsi="Times New Roman" w:eastAsia="仿宋_GB2312"/>
          <w:color w:val="auto"/>
          <w:sz w:val="32"/>
          <w:szCs w:val="32"/>
          <w:highlight w:val="none"/>
          <w:lang w:eastAsia="zh-CN"/>
        </w:rPr>
        <w:t>旅游消费、</w:t>
      </w:r>
      <w:r>
        <w:rPr>
          <w:rFonts w:hAnsi="Times New Roman" w:eastAsia="仿宋_GB2312"/>
          <w:color w:val="auto"/>
          <w:sz w:val="32"/>
          <w:szCs w:val="32"/>
          <w:highlight w:val="none"/>
        </w:rPr>
        <w:t>市场营销结合起来，形成节庆旅游品牌效应，提高</w:t>
      </w:r>
      <w:r>
        <w:rPr>
          <w:rFonts w:hint="eastAsia" w:hAnsi="Times New Roman" w:eastAsia="仿宋_GB2312"/>
          <w:color w:val="auto"/>
          <w:sz w:val="32"/>
          <w:szCs w:val="32"/>
          <w:highlight w:val="none"/>
          <w:lang w:eastAsia="zh-CN"/>
        </w:rPr>
        <w:t>儋州旅游</w:t>
      </w:r>
      <w:r>
        <w:rPr>
          <w:rFonts w:hAnsi="Times New Roman" w:eastAsia="仿宋_GB2312"/>
          <w:color w:val="auto"/>
          <w:sz w:val="32"/>
          <w:szCs w:val="32"/>
          <w:highlight w:val="none"/>
        </w:rPr>
        <w:t>的经济文化效益。</w:t>
      </w:r>
    </w:p>
    <w:p>
      <w:pPr>
        <w:pStyle w:val="4"/>
        <w:pageBreakBefore w:val="0"/>
        <w:widowControl w:val="0"/>
        <w:kinsoku/>
        <w:overflowPunct/>
        <w:topLinePunct w:val="0"/>
        <w:bidi w:val="0"/>
        <w:snapToGrid/>
        <w:spacing w:line="600" w:lineRule="exact"/>
        <w:jc w:val="center"/>
        <w:textAlignment w:val="auto"/>
        <w:rPr>
          <w:color w:val="auto"/>
          <w:highlight w:val="none"/>
        </w:rPr>
      </w:pPr>
      <w:bookmarkStart w:id="107" w:name="_Toc29850_WPSOffice_Level2"/>
      <w:bookmarkStart w:id="108" w:name="_Toc1534_WPSOffice_Level2"/>
      <w:bookmarkStart w:id="109" w:name="_Toc13418_WPSOffice_Level2"/>
      <w:bookmarkStart w:id="110" w:name="_Toc57914197"/>
      <w:r>
        <w:rPr>
          <w:rFonts w:hint="eastAsia"/>
          <w:color w:val="auto"/>
          <w:highlight w:val="none"/>
        </w:rPr>
        <w:t>第</w:t>
      </w:r>
      <w:r>
        <w:rPr>
          <w:rFonts w:hint="eastAsia"/>
          <w:color w:val="auto"/>
          <w:highlight w:val="none"/>
          <w:lang w:eastAsia="zh-CN"/>
        </w:rPr>
        <w:t>二</w:t>
      </w:r>
      <w:r>
        <w:rPr>
          <w:rFonts w:hint="eastAsia"/>
          <w:color w:val="auto"/>
          <w:highlight w:val="none"/>
        </w:rPr>
        <w:t xml:space="preserve">节 </w:t>
      </w:r>
      <w:r>
        <w:rPr>
          <w:rFonts w:hint="eastAsia"/>
          <w:color w:val="auto"/>
          <w:highlight w:val="none"/>
          <w:lang w:eastAsia="zh-CN"/>
        </w:rPr>
        <w:t>加快发展</w:t>
      </w:r>
      <w:r>
        <w:rPr>
          <w:rFonts w:hint="eastAsia"/>
          <w:color w:val="auto"/>
          <w:highlight w:val="none"/>
        </w:rPr>
        <w:t>现代服务业</w:t>
      </w:r>
      <w:bookmarkEnd w:id="107"/>
      <w:bookmarkEnd w:id="108"/>
      <w:bookmarkEnd w:id="109"/>
      <w:bookmarkEnd w:id="110"/>
    </w:p>
    <w:p>
      <w:pPr>
        <w:pStyle w:val="2"/>
        <w:pageBreakBefore w:val="0"/>
        <w:widowControl w:val="0"/>
        <w:kinsoku/>
        <w:wordWrap w:val="0"/>
        <w:overflowPunct/>
        <w:topLinePunct w:val="0"/>
        <w:bidi w:val="0"/>
        <w:snapToGrid/>
        <w:spacing w:line="600" w:lineRule="exact"/>
        <w:ind w:firstLine="640" w:firstLineChars="200"/>
        <w:jc w:val="both"/>
        <w:textAlignment w:val="auto"/>
        <w:rPr>
          <w:rFonts w:eastAsia="仿宋_GB2312"/>
          <w:color w:val="auto"/>
          <w:sz w:val="32"/>
          <w:szCs w:val="32"/>
          <w:highlight w:val="none"/>
        </w:rPr>
      </w:pPr>
      <w:r>
        <w:rPr>
          <w:rFonts w:hint="eastAsia" w:ascii="仿宋_GB2312" w:hAnsi="仿宋" w:eastAsia="仿宋_GB2312"/>
          <w:color w:val="auto"/>
          <w:sz w:val="32"/>
          <w:szCs w:val="32"/>
          <w:highlight w:val="none"/>
          <w:lang w:eastAsia="zh-CN"/>
        </w:rPr>
        <w:t>坚持对标国际一流水平，持续优化现代服务业产业空间布局。推动生产性服务业向专业化、高端化发展，推动生活型服务业向品质化、多样化升级，推进服务业数字化、标准化、品牌化建设。</w:t>
      </w:r>
    </w:p>
    <w:p>
      <w:pPr>
        <w:pageBreakBefore w:val="0"/>
        <w:widowControl w:val="0"/>
        <w:kinsoku/>
        <w:wordWrap w:val="0"/>
        <w:overflowPunct/>
        <w:topLinePunct w:val="0"/>
        <w:bidi w:val="0"/>
        <w:snapToGrid/>
        <w:spacing w:line="60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（一）推动</w:t>
      </w:r>
      <w:r>
        <w:rPr>
          <w:rFonts w:hint="eastAsia" w:ascii="楷体_GB2312" w:hAnsi="楷体_GB2312" w:eastAsia="楷体_GB2312" w:cs="楷体_GB2312"/>
          <w:b/>
          <w:bCs/>
          <w:color w:val="auto"/>
          <w:sz w:val="32"/>
          <w:szCs w:val="32"/>
          <w:highlight w:val="none"/>
          <w:lang w:eastAsia="zh-CN"/>
        </w:rPr>
        <w:t>生产性服务业</w:t>
      </w:r>
      <w:r>
        <w:rPr>
          <w:rFonts w:hint="eastAsia" w:ascii="楷体_GB2312" w:hAnsi="楷体_GB2312" w:eastAsia="楷体_GB2312" w:cs="楷体_GB2312"/>
          <w:b/>
          <w:bCs/>
          <w:color w:val="auto"/>
          <w:sz w:val="32"/>
          <w:szCs w:val="32"/>
          <w:highlight w:val="none"/>
        </w:rPr>
        <w:t>发展</w:t>
      </w:r>
    </w:p>
    <w:p>
      <w:pPr>
        <w:pStyle w:val="2"/>
        <w:pageBreakBefore w:val="0"/>
        <w:widowControl w:val="0"/>
        <w:kinsoku/>
        <w:wordWrap w:val="0"/>
        <w:overflowPunct/>
        <w:topLinePunct w:val="0"/>
        <w:bidi w:val="0"/>
        <w:snapToGrid/>
        <w:spacing w:line="560" w:lineRule="exact"/>
        <w:ind w:firstLine="640" w:firstLineChars="200"/>
        <w:jc w:val="both"/>
        <w:textAlignment w:val="auto"/>
        <w:rPr>
          <w:color w:val="auto"/>
          <w:highlight w:val="none"/>
        </w:rPr>
      </w:pPr>
      <w:r>
        <w:rPr>
          <w:rFonts w:hint="eastAsia" w:ascii="仿宋_GB2312" w:hAnsi="仿宋_GB2312" w:eastAsia="仿宋_GB2312" w:cs="仿宋_GB2312"/>
          <w:b w:val="0"/>
          <w:bCs w:val="0"/>
          <w:color w:val="auto"/>
          <w:sz w:val="32"/>
          <w:szCs w:val="32"/>
          <w:highlight w:val="none"/>
          <w:lang w:eastAsia="zh-CN"/>
        </w:rPr>
        <w:t>大力吸引跨国企业、国内大企业集团到儋州设立设计、金融、交易、结算等功能性总部和区域总部，发展总部经济。重点发展会议会展、影视文化、现代物流、服务贸易、技术服务和现代金融等现代服务业。</w:t>
      </w:r>
      <w:r>
        <w:rPr>
          <w:rFonts w:hint="eastAsia" w:ascii="仿宋_GB2312" w:hAnsi="仿宋" w:eastAsia="仿宋_GB2312"/>
          <w:color w:val="auto"/>
          <w:sz w:val="32"/>
          <w:szCs w:val="32"/>
          <w:highlight w:val="none"/>
          <w:lang w:eastAsia="zh-CN"/>
        </w:rPr>
        <w:t>依托</w:t>
      </w:r>
      <w:r>
        <w:rPr>
          <w:rFonts w:hint="eastAsia" w:ascii="仿宋_GB2312" w:hAnsi="仿宋_GB2312" w:eastAsia="仿宋_GB2312" w:cs="仿宋_GB2312"/>
          <w:color w:val="auto"/>
          <w:sz w:val="32"/>
          <w:szCs w:val="32"/>
          <w:highlight w:val="none"/>
        </w:rPr>
        <w:t>海花岛旅游产业园</w:t>
      </w:r>
      <w:r>
        <w:rPr>
          <w:rFonts w:hint="eastAsia" w:ascii="仿宋_GB2312" w:hAnsi="仿宋" w:eastAsia="仿宋_GB2312"/>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完善产业配套设施和服务，</w:t>
      </w:r>
      <w:r>
        <w:rPr>
          <w:rFonts w:hint="eastAsia" w:ascii="仿宋_GB2312" w:hAnsi="仿宋" w:eastAsia="仿宋_GB2312"/>
          <w:color w:val="auto"/>
          <w:sz w:val="32"/>
          <w:szCs w:val="32"/>
          <w:highlight w:val="none"/>
          <w:lang w:eastAsia="zh-CN"/>
        </w:rPr>
        <w:t>大力发展</w:t>
      </w:r>
      <w:r>
        <w:rPr>
          <w:rFonts w:hint="eastAsia" w:ascii="仿宋_GB2312" w:hAnsi="仿宋" w:eastAsia="仿宋_GB2312"/>
          <w:color w:val="auto"/>
          <w:sz w:val="32"/>
          <w:szCs w:val="32"/>
          <w:highlight w:val="none"/>
        </w:rPr>
        <w:t>集商务、金融、咨询等高端业态为一体的商务会展</w:t>
      </w:r>
      <w:r>
        <w:rPr>
          <w:rFonts w:hint="eastAsia" w:ascii="仿宋_GB2312" w:hAnsi="仿宋" w:eastAsia="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积极创建区域性国际会展中心</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依托海南电影学院和</w:t>
      </w:r>
      <w:r>
        <w:rPr>
          <w:rFonts w:hint="eastAsia" w:ascii="仿宋_GB2312" w:hAnsi="仿宋_GB2312" w:eastAsia="仿宋_GB2312" w:cs="仿宋_GB2312"/>
          <w:color w:val="auto"/>
          <w:sz w:val="32"/>
          <w:szCs w:val="32"/>
          <w:highlight w:val="none"/>
        </w:rPr>
        <w:t>海花岛旅游产业园</w:t>
      </w:r>
      <w:r>
        <w:rPr>
          <w:rFonts w:hint="eastAsia" w:ascii="仿宋_GB2312" w:hAnsi="仿宋" w:eastAsia="仿宋_GB2312"/>
          <w:color w:val="auto"/>
          <w:sz w:val="32"/>
          <w:szCs w:val="32"/>
          <w:highlight w:val="none"/>
        </w:rPr>
        <w:t>影视基地</w:t>
      </w:r>
      <w:r>
        <w:rPr>
          <w:rFonts w:ascii="仿宋_GB2312" w:hAnsi="宋体" w:eastAsia="仿宋_GB2312" w:cs="宋体"/>
          <w:color w:val="auto"/>
          <w:sz w:val="32"/>
          <w:szCs w:val="32"/>
          <w:highlight w:val="none"/>
        </w:rPr>
        <w:t>，</w:t>
      </w:r>
      <w:r>
        <w:rPr>
          <w:rFonts w:hint="eastAsia" w:ascii="仿宋_GB2312" w:hAnsi="宋体" w:eastAsia="仿宋_GB2312" w:cs="宋体"/>
          <w:color w:val="auto"/>
          <w:sz w:val="32"/>
          <w:szCs w:val="32"/>
          <w:highlight w:val="none"/>
          <w:lang w:eastAsia="zh-CN"/>
        </w:rPr>
        <w:t>发展</w:t>
      </w:r>
      <w:r>
        <w:rPr>
          <w:rFonts w:ascii="仿宋_GB2312" w:hAnsi="宋体" w:eastAsia="仿宋_GB2312" w:cs="宋体"/>
          <w:color w:val="auto"/>
          <w:sz w:val="32"/>
          <w:szCs w:val="32"/>
          <w:highlight w:val="none"/>
        </w:rPr>
        <w:t>影视制作产业、动漫游戏产业、旅游演艺</w:t>
      </w:r>
      <w:r>
        <w:rPr>
          <w:rFonts w:hint="eastAsia" w:ascii="仿宋_GB2312" w:hAnsi="宋体" w:eastAsia="仿宋_GB2312" w:cs="宋体"/>
          <w:color w:val="auto"/>
          <w:sz w:val="32"/>
          <w:szCs w:val="32"/>
          <w:highlight w:val="none"/>
          <w:lang w:eastAsia="zh-CN"/>
        </w:rPr>
        <w:t>等</w:t>
      </w:r>
      <w:r>
        <w:rPr>
          <w:rFonts w:ascii="仿宋_GB2312" w:hAnsi="宋体" w:eastAsia="仿宋_GB2312" w:cs="宋体"/>
          <w:color w:val="auto"/>
          <w:sz w:val="32"/>
          <w:szCs w:val="32"/>
          <w:highlight w:val="none"/>
        </w:rPr>
        <w:t>产业，</w:t>
      </w:r>
      <w:r>
        <w:rPr>
          <w:rFonts w:hint="eastAsia" w:ascii="仿宋_GB2312" w:hAnsi="宋体" w:eastAsia="仿宋_GB2312" w:cs="宋体"/>
          <w:color w:val="auto"/>
          <w:sz w:val="32"/>
          <w:szCs w:val="32"/>
          <w:highlight w:val="none"/>
          <w:lang w:eastAsia="zh-CN"/>
        </w:rPr>
        <w:t>促进</w:t>
      </w:r>
      <w:r>
        <w:rPr>
          <w:rFonts w:ascii="仿宋_GB2312" w:hAnsi="宋体" w:eastAsia="仿宋_GB2312" w:cs="宋体"/>
          <w:color w:val="auto"/>
          <w:sz w:val="32"/>
          <w:szCs w:val="32"/>
          <w:highlight w:val="none"/>
        </w:rPr>
        <w:t>影视</w:t>
      </w:r>
      <w:r>
        <w:rPr>
          <w:rFonts w:hint="eastAsia" w:ascii="仿宋_GB2312" w:hAnsi="宋体" w:eastAsia="仿宋_GB2312" w:cs="宋体"/>
          <w:color w:val="auto"/>
          <w:sz w:val="32"/>
          <w:szCs w:val="32"/>
          <w:highlight w:val="none"/>
        </w:rPr>
        <w:t>文化</w:t>
      </w:r>
      <w:r>
        <w:rPr>
          <w:rFonts w:ascii="仿宋_GB2312" w:hAnsi="宋体" w:eastAsia="仿宋_GB2312" w:cs="宋体"/>
          <w:color w:val="auto"/>
          <w:sz w:val="32"/>
          <w:szCs w:val="32"/>
          <w:highlight w:val="none"/>
        </w:rPr>
        <w:t>产业发展</w:t>
      </w:r>
      <w:r>
        <w:rPr>
          <w:rFonts w:hint="eastAsia" w:ascii="仿宋_GB2312" w:hAnsi="仿宋" w:eastAsia="仿宋_GB2312"/>
          <w:color w:val="auto"/>
          <w:sz w:val="32"/>
          <w:szCs w:val="32"/>
          <w:highlight w:val="none"/>
          <w:lang w:eastAsia="zh-CN"/>
        </w:rPr>
        <w:t>；依托儋州</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lang w:eastAsia="zh-CN"/>
        </w:rPr>
        <w:t>洋浦“环新英湾”一体化发展</w:t>
      </w:r>
      <w:r>
        <w:rPr>
          <w:rFonts w:hint="eastAsia" w:ascii="仿宋_GB2312" w:hAnsi="仿宋" w:eastAsia="仿宋_GB2312"/>
          <w:color w:val="auto"/>
          <w:sz w:val="32"/>
          <w:szCs w:val="32"/>
          <w:highlight w:val="none"/>
          <w:lang w:val="en-US" w:eastAsia="zh-CN"/>
        </w:rPr>
        <w:t>，发展物流仓储、跨境电商、保税维修等业务，加快推动商贸流通等生产性服务业集聚发展，打造区域性的物流配送枢纽。丰富金融业态，完善产业链金融，增强金融服务实体经济的能力。</w:t>
      </w:r>
    </w:p>
    <w:p>
      <w:pPr>
        <w:pageBreakBefore w:val="0"/>
        <w:widowControl w:val="0"/>
        <w:kinsoku/>
        <w:wordWrap w:val="0"/>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（二）发展生活性服务业</w:t>
      </w:r>
    </w:p>
    <w:p>
      <w:pPr>
        <w:pStyle w:val="2"/>
        <w:pageBreakBefore w:val="0"/>
        <w:widowControl w:val="0"/>
        <w:kinsoku/>
        <w:wordWrap w:val="0"/>
        <w:overflowPunct/>
        <w:topLinePunct w:val="0"/>
        <w:bidi w:val="0"/>
        <w:snapToGrid/>
        <w:spacing w:line="560" w:lineRule="exact"/>
        <w:ind w:firstLine="640"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加强公益性、基础性服务业供给。依托海南建设自由贸易港的政策优势，引进一批国内外优质教育资源，吸引世界知名国际学校、双语学校和其它教育资源落地，构建现代教育产业体系。大力发展大健康医疗产业。依托兰洋温泉和健全的医疗体系，建设生殖中心、月子中心、康复中心。依托西部家庭服务中心和“儋州月嫂”劳务品牌，建立家政服务标准体系，提高服务品质，促进家政服务健康发展。依托海花岛旅游产业园、夏日商场、鼎尚广场、夜市，建设餐饮购物消费商圈。支持发展养老育幼、物业维修等产业。</w:t>
      </w:r>
    </w:p>
    <w:p>
      <w:pPr>
        <w:pStyle w:val="2"/>
        <w:pageBreakBefore w:val="0"/>
        <w:widowControl w:val="0"/>
        <w:kinsoku/>
        <w:wordWrap w:val="0"/>
        <w:overflowPunct/>
        <w:topLinePunct w:val="0"/>
        <w:bidi w:val="0"/>
        <w:snapToGrid/>
        <w:spacing w:line="560" w:lineRule="exact"/>
        <w:ind w:firstLine="643"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（三）推进服务业“三化”建设</w:t>
      </w:r>
    </w:p>
    <w:p>
      <w:pPr>
        <w:pStyle w:val="2"/>
        <w:pageBreakBefore w:val="0"/>
        <w:widowControl w:val="0"/>
        <w:kinsoku/>
        <w:wordWrap w:val="0"/>
        <w:overflowPunct/>
        <w:topLinePunct w:val="0"/>
        <w:bidi w:val="0"/>
        <w:snapToGrid/>
        <w:spacing w:line="560" w:lineRule="exact"/>
        <w:ind w:firstLine="640" w:firstLineChars="200"/>
        <w:jc w:val="both"/>
        <w:textAlignment w:val="auto"/>
        <w:rPr>
          <w:rFonts w:hint="eastAsia" w:ascii="仿宋_GB2312" w:hAnsi="仿宋" w:eastAsia="仿宋_GB2312"/>
          <w:b w:val="0"/>
          <w:bCs w:val="0"/>
          <w:color w:val="auto"/>
          <w:sz w:val="32"/>
          <w:szCs w:val="32"/>
          <w:highlight w:val="none"/>
          <w:lang w:eastAsia="zh-CN"/>
        </w:rPr>
      </w:pPr>
      <w:r>
        <w:rPr>
          <w:rFonts w:hint="eastAsia" w:ascii="仿宋_GB2312" w:hAnsi="仿宋" w:eastAsia="仿宋_GB2312"/>
          <w:b w:val="0"/>
          <w:bCs w:val="0"/>
          <w:color w:val="auto"/>
          <w:sz w:val="32"/>
          <w:szCs w:val="32"/>
          <w:highlight w:val="none"/>
          <w:lang w:eastAsia="zh-CN"/>
        </w:rPr>
        <w:t>实施服务业数字化工程，开展以数字化为核心的服务创新，着力打造面向服务领域的技术平台，推动新一代信息技术在服务领域深度应用，大力推广“互联网</w:t>
      </w:r>
      <w:r>
        <w:rPr>
          <w:rFonts w:hint="eastAsia" w:ascii="仿宋_GB2312" w:hAnsi="仿宋" w:eastAsia="仿宋_GB2312"/>
          <w:b w:val="0"/>
          <w:bCs w:val="0"/>
          <w:color w:val="auto"/>
          <w:sz w:val="32"/>
          <w:szCs w:val="32"/>
          <w:highlight w:val="none"/>
          <w:lang w:val="en-US" w:eastAsia="zh-CN"/>
        </w:rPr>
        <w:t>+”服务业，鼓励开展线上零售、线上教育、线上娱乐、视频会议、远程办公等，发展以无接触为特征的新业态。</w:t>
      </w:r>
      <w:r>
        <w:rPr>
          <w:rFonts w:hint="eastAsia" w:ascii="仿宋_GB2312" w:hAnsi="仿宋" w:eastAsia="仿宋_GB2312"/>
          <w:b w:val="0"/>
          <w:bCs w:val="0"/>
          <w:color w:val="auto"/>
          <w:sz w:val="32"/>
          <w:szCs w:val="32"/>
          <w:highlight w:val="none"/>
          <w:lang w:eastAsia="zh-CN"/>
        </w:rPr>
        <w:t>实施服务业标准化工程。开展“服务质量目标化、服务方法规范化、服务过程程序化”的活动，提升全市服务行业水平。支持发展职业学校、技工学校及行业培训机构。实施服务业品牌化工程。围绕产品质量、特色服务、市场认同、知识技能等方面，培育一批金字招牌、行业翘楚。支持发展“儋州月嫂”“儋州家政”等特色服务品牌。</w:t>
      </w:r>
    </w:p>
    <w:p>
      <w:pPr>
        <w:pStyle w:val="4"/>
        <w:pageBreakBefore w:val="0"/>
        <w:widowControl w:val="0"/>
        <w:kinsoku/>
        <w:overflowPunct/>
        <w:topLinePunct w:val="0"/>
        <w:bidi w:val="0"/>
        <w:snapToGrid/>
        <w:spacing w:line="560" w:lineRule="exact"/>
        <w:jc w:val="center"/>
        <w:textAlignment w:val="auto"/>
        <w:rPr>
          <w:rFonts w:hint="eastAsia"/>
          <w:color w:val="auto"/>
          <w:highlight w:val="none"/>
          <w:lang w:eastAsia="zh-CN"/>
        </w:rPr>
      </w:pPr>
      <w:bookmarkStart w:id="111" w:name="_Toc29599_WPSOffice_Level2"/>
      <w:bookmarkStart w:id="112" w:name="_Toc57914198"/>
      <w:bookmarkStart w:id="113" w:name="_Toc4143_WPSOffice_Level2"/>
      <w:bookmarkStart w:id="114" w:name="_Toc25938_WPSOffice_Level2"/>
      <w:r>
        <w:rPr>
          <w:rFonts w:hint="eastAsia"/>
          <w:color w:val="auto"/>
          <w:highlight w:val="none"/>
        </w:rPr>
        <w:t>第</w:t>
      </w:r>
      <w:r>
        <w:rPr>
          <w:rFonts w:hint="eastAsia"/>
          <w:color w:val="auto"/>
          <w:highlight w:val="none"/>
          <w:lang w:eastAsia="zh-CN"/>
        </w:rPr>
        <w:t>三</w:t>
      </w:r>
      <w:r>
        <w:rPr>
          <w:rFonts w:hint="eastAsia"/>
          <w:color w:val="auto"/>
          <w:highlight w:val="none"/>
        </w:rPr>
        <w:t xml:space="preserve">节 </w:t>
      </w:r>
      <w:bookmarkEnd w:id="111"/>
      <w:bookmarkEnd w:id="112"/>
      <w:r>
        <w:rPr>
          <w:rFonts w:hint="eastAsia" w:ascii="Times New Roman" w:hAnsi="Times New Roman" w:cs="Times New Roman"/>
          <w:b/>
          <w:bCs/>
          <w:color w:val="auto"/>
          <w:sz w:val="36"/>
          <w:szCs w:val="36"/>
          <w:highlight w:val="none"/>
          <w:lang w:eastAsia="zh-CN"/>
        </w:rPr>
        <w:t>大力推进高新技术产业</w:t>
      </w:r>
      <w:r>
        <w:rPr>
          <w:rFonts w:hint="default" w:ascii="Times New Roman" w:hAnsi="Times New Roman" w:eastAsia="楷体_GB2312" w:cs="Times New Roman"/>
          <w:b/>
          <w:bCs/>
          <w:color w:val="auto"/>
          <w:sz w:val="36"/>
          <w:szCs w:val="36"/>
          <w:highlight w:val="none"/>
        </w:rPr>
        <w:t>发展</w:t>
      </w:r>
      <w:bookmarkEnd w:id="113"/>
      <w:bookmarkEnd w:id="114"/>
    </w:p>
    <w:p>
      <w:pPr>
        <w:pageBreakBefore w:val="0"/>
        <w:widowControl w:val="0"/>
        <w:kinsoku/>
        <w:wordWrap w:val="0"/>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将自由贸易港税收政策优势转化为高新技术产业发展优势。坚持“项目进园区，园区说了算”。改革产业园区体制机制，加强与洋浦产业的联动。强化园区基础设施、公共服务、技术平台等规划建设，</w:t>
      </w:r>
      <w:r>
        <w:rPr>
          <w:rFonts w:hint="eastAsia" w:ascii="仿宋_GB2312" w:hAnsi="仿宋_GB2312" w:eastAsia="仿宋_GB2312" w:cs="仿宋_GB2312"/>
          <w:color w:val="auto"/>
          <w:kern w:val="0"/>
          <w:sz w:val="32"/>
          <w:szCs w:val="32"/>
          <w:highlight w:val="none"/>
        </w:rPr>
        <w:t>构建高新技术产业集聚发展载体。</w:t>
      </w:r>
    </w:p>
    <w:p>
      <w:pPr>
        <w:pageBreakBefore w:val="0"/>
        <w:widowControl w:val="0"/>
        <w:kinsoku/>
        <w:wordWrap w:val="0"/>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（一）以</w:t>
      </w:r>
      <w:r>
        <w:rPr>
          <w:rFonts w:hint="eastAsia" w:ascii="楷体_GB2312" w:hAnsi="楷体_GB2312" w:eastAsia="楷体_GB2312" w:cs="楷体_GB2312"/>
          <w:b/>
          <w:bCs/>
          <w:color w:val="auto"/>
          <w:sz w:val="32"/>
          <w:szCs w:val="32"/>
          <w:highlight w:val="none"/>
          <w:lang w:eastAsia="zh-CN"/>
        </w:rPr>
        <w:t>产业</w:t>
      </w:r>
      <w:r>
        <w:rPr>
          <w:rFonts w:hint="eastAsia" w:ascii="楷体_GB2312" w:hAnsi="楷体_GB2312" w:eastAsia="楷体_GB2312" w:cs="楷体_GB2312"/>
          <w:b/>
          <w:bCs/>
          <w:color w:val="auto"/>
          <w:sz w:val="32"/>
          <w:szCs w:val="32"/>
          <w:highlight w:val="none"/>
        </w:rPr>
        <w:t>园区为载体发展高新技术产业</w:t>
      </w:r>
    </w:p>
    <w:p>
      <w:pPr>
        <w:pageBreakBefore w:val="0"/>
        <w:widowControl w:val="0"/>
        <w:kinsoku/>
        <w:wordWrap w:val="0"/>
        <w:overflowPunct/>
        <w:topLinePunct w:val="0"/>
        <w:autoSpaceDE w:val="0"/>
        <w:autoSpaceDN w:val="0"/>
        <w:bidi w:val="0"/>
        <w:adjustRightInd w:val="0"/>
        <w:snapToGrid/>
        <w:spacing w:line="560" w:lineRule="exact"/>
        <w:ind w:firstLine="643"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eastAsia="zh-CN"/>
        </w:rPr>
        <w:t>构建园区</w:t>
      </w:r>
      <w:r>
        <w:rPr>
          <w:rFonts w:hint="eastAsia" w:ascii="仿宋_GB2312" w:hAnsi="仿宋_GB2312" w:eastAsia="仿宋_GB2312" w:cs="仿宋_GB2312"/>
          <w:b/>
          <w:bCs/>
          <w:color w:val="auto"/>
          <w:kern w:val="0"/>
          <w:sz w:val="32"/>
          <w:szCs w:val="32"/>
          <w:highlight w:val="none"/>
        </w:rPr>
        <w:t>市场化管理模式，建设</w:t>
      </w:r>
      <w:r>
        <w:rPr>
          <w:rFonts w:hint="eastAsia" w:ascii="仿宋_GB2312" w:hAnsi="仿宋_GB2312" w:eastAsia="仿宋_GB2312" w:cs="仿宋_GB2312"/>
          <w:b/>
          <w:bCs/>
          <w:color w:val="auto"/>
          <w:kern w:val="0"/>
          <w:sz w:val="32"/>
          <w:szCs w:val="32"/>
          <w:highlight w:val="none"/>
          <w:lang w:eastAsia="zh-CN"/>
        </w:rPr>
        <w:t>现代化</w:t>
      </w:r>
      <w:r>
        <w:rPr>
          <w:rFonts w:hint="eastAsia" w:ascii="仿宋_GB2312" w:hAnsi="仿宋_GB2312" w:eastAsia="仿宋_GB2312" w:cs="仿宋_GB2312"/>
          <w:b/>
          <w:bCs/>
          <w:color w:val="auto"/>
          <w:kern w:val="0"/>
          <w:sz w:val="32"/>
          <w:szCs w:val="32"/>
          <w:highlight w:val="none"/>
        </w:rPr>
        <w:t>产业园区平台。</w:t>
      </w:r>
      <w:r>
        <w:rPr>
          <w:rFonts w:hint="eastAsia" w:ascii="仿宋_GB2312" w:hAnsi="仿宋_GB2312" w:eastAsia="仿宋_GB2312" w:cs="仿宋_GB2312"/>
          <w:color w:val="auto"/>
          <w:kern w:val="0"/>
          <w:sz w:val="32"/>
          <w:szCs w:val="32"/>
          <w:highlight w:val="none"/>
          <w:lang w:eastAsia="zh-CN"/>
        </w:rPr>
        <w:t>推进深儋全链条合作平台和合作模式建设，加快推动产业园的整体开发、运营管理、产业集聚和转型升级。进一步深化产业园运行管理体制改革。支持园区开展</w:t>
      </w:r>
      <w:r>
        <w:rPr>
          <w:rFonts w:hint="eastAsia" w:ascii="仿宋_GB2312" w:hAnsi="仿宋_GB2312" w:eastAsia="仿宋_GB2312" w:cs="仿宋_GB2312"/>
          <w:color w:val="auto"/>
          <w:kern w:val="0"/>
          <w:sz w:val="32"/>
          <w:szCs w:val="32"/>
          <w:highlight w:val="none"/>
        </w:rPr>
        <w:t>“先租后让、租让结合”、土地弹性出让等新型土地供应方式</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创新园区投融资模式。按照“人-产-城”理念，推进</w:t>
      </w:r>
      <w:r>
        <w:rPr>
          <w:rFonts w:hint="eastAsia" w:ascii="仿宋_GB2312" w:hAnsi="仿宋_GB2312" w:eastAsia="仿宋_GB2312" w:cs="仿宋_GB2312"/>
          <w:color w:val="auto"/>
          <w:kern w:val="0"/>
          <w:sz w:val="32"/>
          <w:szCs w:val="32"/>
          <w:highlight w:val="none"/>
          <w:lang w:eastAsia="zh-CN"/>
        </w:rPr>
        <w:t>产业园区与</w:t>
      </w:r>
      <w:r>
        <w:rPr>
          <w:rFonts w:hint="eastAsia" w:ascii="仿宋_GB2312" w:hAnsi="仿宋_GB2312" w:eastAsia="仿宋_GB2312" w:cs="仿宋_GB2312"/>
          <w:color w:val="auto"/>
          <w:kern w:val="0"/>
          <w:sz w:val="32"/>
          <w:szCs w:val="32"/>
          <w:highlight w:val="none"/>
        </w:rPr>
        <w:t>滨海新区融合</w:t>
      </w:r>
      <w:r>
        <w:rPr>
          <w:rFonts w:hint="eastAsia" w:ascii="仿宋_GB2312" w:hAnsi="仿宋_GB2312" w:eastAsia="仿宋_GB2312" w:cs="仿宋_GB2312"/>
          <w:color w:val="auto"/>
          <w:kern w:val="0"/>
          <w:sz w:val="32"/>
          <w:szCs w:val="32"/>
          <w:highlight w:val="none"/>
          <w:lang w:eastAsia="zh-CN"/>
        </w:rPr>
        <w:t>发展</w:t>
      </w:r>
      <w:r>
        <w:rPr>
          <w:rFonts w:hint="eastAsia" w:ascii="仿宋_GB2312" w:hAnsi="仿宋_GB2312" w:eastAsia="仿宋_GB2312" w:cs="仿宋_GB2312"/>
          <w:color w:val="auto"/>
          <w:kern w:val="0"/>
          <w:sz w:val="32"/>
          <w:szCs w:val="32"/>
          <w:highlight w:val="none"/>
        </w:rPr>
        <w:t>。</w:t>
      </w:r>
    </w:p>
    <w:p>
      <w:pPr>
        <w:pStyle w:val="2"/>
        <w:pageBreakBefore w:val="0"/>
        <w:widowControl w:val="0"/>
        <w:kinsoku/>
        <w:overflowPunct/>
        <w:topLinePunct w:val="0"/>
        <w:bidi w:val="0"/>
        <w:snapToGrid/>
        <w:spacing w:line="560" w:lineRule="exact"/>
        <w:ind w:firstLine="643"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eastAsia="zh-CN"/>
        </w:rPr>
        <w:t>精准招商多措并举，促进高新技术产业</w:t>
      </w:r>
      <w:r>
        <w:rPr>
          <w:rFonts w:hint="eastAsia" w:ascii="仿宋_GB2312" w:hAnsi="仿宋_GB2312" w:eastAsia="仿宋_GB2312" w:cs="仿宋_GB2312"/>
          <w:b/>
          <w:bCs/>
          <w:color w:val="auto"/>
          <w:kern w:val="0"/>
          <w:sz w:val="32"/>
          <w:szCs w:val="32"/>
          <w:highlight w:val="none"/>
        </w:rPr>
        <w:t>集聚发展。</w:t>
      </w:r>
      <w:r>
        <w:rPr>
          <w:rFonts w:hint="eastAsia" w:ascii="仿宋_GB2312" w:hAnsi="仿宋_GB2312" w:eastAsia="仿宋_GB2312" w:cs="仿宋_GB2312"/>
          <w:b w:val="0"/>
          <w:bCs w:val="0"/>
          <w:color w:val="auto"/>
          <w:kern w:val="0"/>
          <w:sz w:val="32"/>
          <w:szCs w:val="32"/>
          <w:highlight w:val="none"/>
          <w:lang w:eastAsia="zh-CN"/>
        </w:rPr>
        <w:t>立足自由贸易港税收政策优势，依托“儋州</w:t>
      </w:r>
      <w:r>
        <w:rPr>
          <w:rFonts w:hint="eastAsia" w:ascii="仿宋_GB2312" w:hAnsi="仿宋_GB2312" w:eastAsia="仿宋_GB2312" w:cs="仿宋_GB2312"/>
          <w:b w:val="0"/>
          <w:bCs w:val="0"/>
          <w:color w:val="auto"/>
          <w:kern w:val="0"/>
          <w:sz w:val="32"/>
          <w:szCs w:val="32"/>
          <w:highlight w:val="none"/>
          <w:lang w:val="en-US" w:eastAsia="zh-CN"/>
        </w:rPr>
        <w:t>-洋浦-临高-昌江-东方”临港产业带，</w:t>
      </w:r>
      <w:r>
        <w:rPr>
          <w:rFonts w:hint="eastAsia" w:ascii="仿宋_GB2312" w:hAnsi="仿宋_GB2312" w:eastAsia="仿宋_GB2312" w:cs="仿宋_GB2312"/>
          <w:color w:val="auto"/>
          <w:kern w:val="0"/>
          <w:sz w:val="32"/>
          <w:szCs w:val="32"/>
          <w:highlight w:val="none"/>
          <w:lang w:eastAsia="zh-CN"/>
        </w:rPr>
        <w:t>大力引进</w:t>
      </w:r>
      <w:r>
        <w:rPr>
          <w:rFonts w:hint="default" w:ascii="仿宋_GB2312" w:hAnsi="仿宋_GB2312" w:eastAsia="仿宋_GB2312" w:cs="仿宋_GB2312"/>
          <w:color w:val="auto"/>
          <w:kern w:val="0"/>
          <w:sz w:val="32"/>
          <w:szCs w:val="32"/>
          <w:highlight w:val="none"/>
          <w:lang w:eastAsia="zh-CN"/>
        </w:rPr>
        <w:t>高新技术企业</w:t>
      </w:r>
      <w:r>
        <w:rPr>
          <w:rFonts w:hint="eastAsia" w:ascii="仿宋_GB2312" w:hAnsi="仿宋_GB2312" w:eastAsia="仿宋_GB2312" w:cs="仿宋_GB2312"/>
          <w:color w:val="auto"/>
          <w:kern w:val="0"/>
          <w:sz w:val="32"/>
          <w:szCs w:val="32"/>
          <w:highlight w:val="none"/>
          <w:lang w:eastAsia="zh-CN"/>
        </w:rPr>
        <w:t>，以数字经济为主的新一代信息技术业和低碳制造业为重点，推动高新技术产业发展。</w:t>
      </w:r>
      <w:r>
        <w:rPr>
          <w:rFonts w:hint="eastAsia" w:ascii="仿宋_GB2312" w:hAnsi="仿宋_GB2312" w:eastAsia="仿宋_GB2312" w:cs="仿宋_GB2312"/>
          <w:b/>
          <w:bCs/>
          <w:color w:val="auto"/>
          <w:kern w:val="0"/>
          <w:sz w:val="32"/>
          <w:szCs w:val="32"/>
          <w:highlight w:val="none"/>
        </w:rPr>
        <w:t>低碳制造业</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探索发展海工装备制造、新型建材制造、</w:t>
      </w:r>
      <w:r>
        <w:rPr>
          <w:rFonts w:hint="eastAsia" w:ascii="仿宋_GB2312" w:hAnsi="仿宋_GB2312" w:eastAsia="仿宋_GB2312" w:cs="仿宋_GB2312"/>
          <w:color w:val="auto"/>
          <w:kern w:val="0"/>
          <w:sz w:val="32"/>
          <w:szCs w:val="32"/>
          <w:highlight w:val="none"/>
          <w:lang w:eastAsia="zh-CN"/>
        </w:rPr>
        <w:t>生物医药、</w:t>
      </w:r>
      <w:r>
        <w:rPr>
          <w:rFonts w:hint="eastAsia" w:ascii="仿宋_GB2312" w:hAnsi="仿宋_GB2312" w:eastAsia="仿宋_GB2312" w:cs="仿宋_GB2312"/>
          <w:color w:val="auto"/>
          <w:kern w:val="0"/>
          <w:sz w:val="32"/>
          <w:szCs w:val="32"/>
          <w:highlight w:val="none"/>
        </w:rPr>
        <w:t>高端医疗设备制造</w:t>
      </w:r>
      <w:r>
        <w:rPr>
          <w:rFonts w:hint="eastAsia" w:ascii="仿宋_GB2312" w:hAnsi="仿宋_GB2312" w:eastAsia="仿宋_GB2312" w:cs="仿宋_GB2312"/>
          <w:color w:val="auto"/>
          <w:kern w:val="0"/>
          <w:sz w:val="32"/>
          <w:szCs w:val="32"/>
          <w:highlight w:val="none"/>
          <w:lang w:eastAsia="zh-CN"/>
        </w:rPr>
        <w:t>、旅游及服务业设施装备制造业、可降解材料制造、电子信息装备及智能制造</w:t>
      </w:r>
      <w:r>
        <w:rPr>
          <w:rFonts w:hint="eastAsia" w:ascii="仿宋_GB2312" w:hAnsi="仿宋_GB2312" w:eastAsia="仿宋_GB2312" w:cs="仿宋_GB2312"/>
          <w:color w:val="auto"/>
          <w:kern w:val="0"/>
          <w:sz w:val="32"/>
          <w:szCs w:val="32"/>
          <w:highlight w:val="none"/>
        </w:rPr>
        <w:t>等</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 w:eastAsia="仿宋_GB2312"/>
          <w:color w:val="auto"/>
          <w:sz w:val="32"/>
          <w:szCs w:val="32"/>
          <w:highlight w:val="none"/>
          <w:lang w:val="en-US" w:eastAsia="zh-CN"/>
        </w:rPr>
        <w:t>谋划建设船舶、通航飞机的生产、维修、组装、运营等“一站式”服务基地。</w:t>
      </w:r>
      <w:r>
        <w:rPr>
          <w:rFonts w:hint="eastAsia" w:ascii="仿宋_GB2312" w:hAnsi="仿宋_GB2312" w:eastAsia="仿宋_GB2312" w:cs="仿宋_GB2312"/>
          <w:b/>
          <w:bCs/>
          <w:color w:val="auto"/>
          <w:kern w:val="0"/>
          <w:sz w:val="32"/>
          <w:szCs w:val="32"/>
          <w:highlight w:val="none"/>
          <w:lang w:eastAsia="zh-CN"/>
        </w:rPr>
        <w:t>信息</w:t>
      </w:r>
      <w:r>
        <w:rPr>
          <w:rFonts w:hint="eastAsia" w:ascii="仿宋_GB2312" w:hAnsi="仿宋_GB2312" w:eastAsia="仿宋_GB2312" w:cs="仿宋_GB2312"/>
          <w:b/>
          <w:bCs/>
          <w:color w:val="auto"/>
          <w:kern w:val="0"/>
          <w:sz w:val="32"/>
          <w:szCs w:val="32"/>
          <w:highlight w:val="none"/>
        </w:rPr>
        <w:t>产业</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eastAsia="zh-CN"/>
        </w:rPr>
        <w:t>以物联网、人工智能、区块链等为重点，增强服务实体经济能力。发展壮大信息传输、软件和信息技术服务业，</w:t>
      </w:r>
      <w:r>
        <w:rPr>
          <w:rFonts w:hint="eastAsia" w:ascii="仿宋_GB2312" w:hAnsi="仿宋_GB2312" w:eastAsia="仿宋_GB2312" w:cs="仿宋_GB2312"/>
          <w:color w:val="auto"/>
          <w:kern w:val="0"/>
          <w:sz w:val="32"/>
          <w:szCs w:val="32"/>
          <w:highlight w:val="none"/>
        </w:rPr>
        <w:t>探索建设数据中心，</w:t>
      </w:r>
      <w:r>
        <w:rPr>
          <w:rFonts w:hint="eastAsia" w:ascii="仿宋_GB2312" w:hAnsi="仿宋_GB2312" w:eastAsia="仿宋_GB2312" w:cs="仿宋_GB2312"/>
          <w:color w:val="auto"/>
          <w:kern w:val="0"/>
          <w:sz w:val="32"/>
          <w:szCs w:val="32"/>
          <w:highlight w:val="none"/>
          <w:lang w:eastAsia="zh-CN"/>
        </w:rPr>
        <w:t>发展数字出版、电子图书馆、多媒体业、行业数据资源服务等。</w:t>
      </w:r>
      <w:r>
        <w:rPr>
          <w:rFonts w:hint="eastAsia" w:ascii="仿宋_GB2312" w:hAnsi="仿宋" w:eastAsia="仿宋_GB2312"/>
          <w:b w:val="0"/>
          <w:bCs w:val="0"/>
          <w:color w:val="auto"/>
          <w:sz w:val="32"/>
          <w:szCs w:val="32"/>
          <w:highlight w:val="none"/>
          <w:lang w:val="en-US" w:eastAsia="zh-CN"/>
        </w:rPr>
        <w:t>推动金山云、东华软件、华为、中国移动等合作项目落地实施</w:t>
      </w:r>
      <w:r>
        <w:rPr>
          <w:rFonts w:hint="eastAsia" w:ascii="仿宋_GB2312" w:hAnsi="仿宋" w:eastAsia="仿宋_GB2312"/>
          <w:b w:val="0"/>
          <w:bCs w:val="0"/>
          <w:color w:val="auto"/>
          <w:sz w:val="32"/>
          <w:szCs w:val="32"/>
          <w:highlight w:val="none"/>
          <w:lang w:eastAsia="zh-CN"/>
        </w:rPr>
        <w:t>。</w:t>
      </w:r>
      <w:r>
        <w:rPr>
          <w:rFonts w:hint="eastAsia" w:ascii="仿宋_GB2312" w:hAnsi="仿宋_GB2312" w:eastAsia="仿宋_GB2312" w:cs="仿宋_GB2312"/>
          <w:b/>
          <w:bCs/>
          <w:color w:val="auto"/>
          <w:kern w:val="0"/>
          <w:sz w:val="32"/>
          <w:szCs w:val="32"/>
          <w:highlight w:val="none"/>
        </w:rPr>
        <w:t>仓储物流</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聚焦保税物流、跨境电商物流、中转物流、农产品物流、冷链仓储物流等</w:t>
      </w:r>
      <w:r>
        <w:rPr>
          <w:rFonts w:hint="eastAsia" w:ascii="仿宋_GB2312" w:hAnsi="仿宋_GB2312" w:eastAsia="仿宋_GB2312" w:cs="仿宋_GB2312"/>
          <w:color w:val="auto"/>
          <w:kern w:val="0"/>
          <w:sz w:val="32"/>
          <w:szCs w:val="32"/>
          <w:highlight w:val="none"/>
          <w:lang w:eastAsia="zh-CN"/>
        </w:rPr>
        <w:t>，引进物流龙头企业。</w:t>
      </w:r>
      <w:r>
        <w:rPr>
          <w:rFonts w:hint="eastAsia" w:ascii="仿宋_GB2312" w:hAnsi="仿宋_GB2312" w:eastAsia="仿宋_GB2312" w:cs="仿宋_GB2312"/>
          <w:b/>
          <w:bCs/>
          <w:color w:val="auto"/>
          <w:kern w:val="0"/>
          <w:sz w:val="32"/>
          <w:szCs w:val="32"/>
          <w:highlight w:val="none"/>
          <w:lang w:eastAsia="zh-CN"/>
        </w:rPr>
        <w:t>传统</w:t>
      </w:r>
      <w:r>
        <w:rPr>
          <w:rFonts w:hint="eastAsia" w:ascii="仿宋_GB2312" w:hAnsi="仿宋_GB2312" w:eastAsia="仿宋_GB2312" w:cs="仿宋_GB2312"/>
          <w:b/>
          <w:bCs/>
          <w:color w:val="auto"/>
          <w:kern w:val="0"/>
          <w:sz w:val="32"/>
          <w:szCs w:val="32"/>
          <w:highlight w:val="none"/>
        </w:rPr>
        <w:t>工业</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eastAsia="zh-CN"/>
        </w:rPr>
        <w:t>立足西部资源优势和毗邻东盟国家优势，</w:t>
      </w:r>
      <w:r>
        <w:rPr>
          <w:rFonts w:hint="eastAsia" w:ascii="仿宋_GB2312" w:hAnsi="仿宋_GB2312" w:eastAsia="仿宋_GB2312" w:cs="仿宋_GB2312"/>
          <w:color w:val="auto"/>
          <w:kern w:val="0"/>
          <w:sz w:val="32"/>
          <w:szCs w:val="32"/>
          <w:highlight w:val="none"/>
        </w:rPr>
        <w:t>重点利用</w:t>
      </w:r>
      <w:r>
        <w:rPr>
          <w:rFonts w:hint="eastAsia" w:ascii="仿宋_GB2312" w:hAnsi="仿宋_GB2312" w:eastAsia="仿宋_GB2312" w:cs="仿宋_GB2312"/>
          <w:color w:val="auto"/>
          <w:kern w:val="0"/>
          <w:sz w:val="32"/>
          <w:szCs w:val="32"/>
          <w:highlight w:val="none"/>
          <w:lang w:eastAsia="zh-CN"/>
        </w:rPr>
        <w:t>自由贸易港</w:t>
      </w:r>
      <w:r>
        <w:rPr>
          <w:rFonts w:hint="eastAsia" w:ascii="仿宋_GB2312" w:hAnsi="仿宋_GB2312" w:eastAsia="仿宋_GB2312" w:cs="仿宋_GB2312"/>
          <w:color w:val="auto"/>
          <w:kern w:val="0"/>
          <w:sz w:val="32"/>
          <w:szCs w:val="32"/>
          <w:highlight w:val="none"/>
        </w:rPr>
        <w:t>原产地加工政策，</w:t>
      </w:r>
      <w:r>
        <w:rPr>
          <w:rFonts w:hint="eastAsia" w:ascii="仿宋_GB2312" w:hAnsi="仿宋_GB2312" w:eastAsia="仿宋_GB2312" w:cs="仿宋_GB2312"/>
          <w:color w:val="auto"/>
          <w:kern w:val="0"/>
          <w:sz w:val="32"/>
          <w:szCs w:val="32"/>
          <w:highlight w:val="none"/>
          <w:lang w:eastAsia="zh-CN"/>
        </w:rPr>
        <w:t>加快培育发展农副产品和海产品加工业。支持橡胶、木材、水泥、制糖等原有产业升级改造。</w:t>
      </w:r>
    </w:p>
    <w:p>
      <w:pPr>
        <w:pageBreakBefore w:val="0"/>
        <w:widowControl w:val="0"/>
        <w:kinsoku/>
        <w:wordWrap w:val="0"/>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（二）强化高新技术产业发展支撑</w:t>
      </w:r>
    </w:p>
    <w:p>
      <w:pPr>
        <w:pStyle w:val="2"/>
        <w:pageBreakBefore w:val="0"/>
        <w:widowControl w:val="0"/>
        <w:kinsoku/>
        <w:overflowPunct/>
        <w:topLinePunct w:val="0"/>
        <w:bidi w:val="0"/>
        <w:snapToGrid/>
        <w:spacing w:line="560" w:lineRule="exact"/>
        <w:ind w:firstLine="643" w:firstLineChars="200"/>
        <w:textAlignment w:val="auto"/>
        <w:rPr>
          <w:rFonts w:hint="default" w:ascii="仿宋_GB2312" w:hAnsi="仿宋_GB2312" w:eastAsia="宋体"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rPr>
        <w:t>加快推进科技创新。</w:t>
      </w:r>
      <w:r>
        <w:rPr>
          <w:rFonts w:hint="eastAsia" w:ascii="仿宋_GB2312" w:hAnsi="仿宋_GB2312" w:eastAsia="仿宋_GB2312" w:cs="仿宋_GB2312"/>
          <w:color w:val="auto"/>
          <w:kern w:val="0"/>
          <w:sz w:val="32"/>
          <w:szCs w:val="32"/>
          <w:highlight w:val="none"/>
        </w:rPr>
        <w:t>加快</w:t>
      </w:r>
      <w:r>
        <w:rPr>
          <w:rFonts w:hint="eastAsia" w:ascii="仿宋_GB2312" w:hAnsi="仿宋_GB2312" w:eastAsia="仿宋_GB2312" w:cs="仿宋_GB2312"/>
          <w:color w:val="auto"/>
          <w:kern w:val="0"/>
          <w:sz w:val="32"/>
          <w:szCs w:val="32"/>
          <w:highlight w:val="none"/>
          <w:lang w:eastAsia="zh-CN"/>
        </w:rPr>
        <w:t>产业园</w:t>
      </w:r>
      <w:r>
        <w:rPr>
          <w:rFonts w:hint="eastAsia" w:ascii="仿宋_GB2312" w:hAnsi="仿宋_GB2312" w:eastAsia="仿宋_GB2312" w:cs="仿宋_GB2312"/>
          <w:color w:val="auto"/>
          <w:kern w:val="0"/>
          <w:sz w:val="32"/>
          <w:szCs w:val="32"/>
          <w:highlight w:val="none"/>
        </w:rPr>
        <w:t>区高新技术企业引进，设立应用研发中心、创业孵化器等，加强科技研发和科技成果转化，助力片区高新技术产业集聚发展。</w:t>
      </w:r>
      <w:r>
        <w:rPr>
          <w:rFonts w:hint="eastAsia" w:ascii="仿宋_GB2312" w:hAnsi="仿宋_GB2312" w:eastAsia="仿宋_GB2312" w:cs="仿宋_GB2312"/>
          <w:color w:val="auto"/>
          <w:kern w:val="0"/>
          <w:sz w:val="32"/>
          <w:szCs w:val="32"/>
          <w:highlight w:val="none"/>
          <w:lang w:eastAsia="zh-CN"/>
        </w:rPr>
        <w:t>加快搭建科研平台，提高各类学术成果的价值实现能力。</w:t>
      </w:r>
      <w:r>
        <w:rPr>
          <w:rFonts w:hint="eastAsia" w:ascii="仿宋_GB2312" w:hAnsi="仿宋_GB2312" w:eastAsia="仿宋_GB2312" w:cs="仿宋_GB2312"/>
          <w:color w:val="auto"/>
          <w:kern w:val="0"/>
          <w:sz w:val="32"/>
          <w:szCs w:val="32"/>
          <w:highlight w:val="none"/>
        </w:rPr>
        <w:t>以海南儋州农业高新技术产业示范区建设为依托，重点发展热带设施农业、热带特色高效种植业、农产品精深加工业等农业高新技术产业，建设围绕热带水果、花卉、经济作物和药材等具有热带特色的农业科技创新中心。积极</w:t>
      </w:r>
      <w:r>
        <w:rPr>
          <w:rFonts w:hint="eastAsia" w:ascii="仿宋_GB2312" w:hAnsi="仿宋_GB2312" w:eastAsia="仿宋_GB2312" w:cs="仿宋_GB2312"/>
          <w:bCs/>
          <w:color w:val="auto"/>
          <w:kern w:val="0"/>
          <w:sz w:val="32"/>
          <w:szCs w:val="32"/>
          <w:highlight w:val="none"/>
        </w:rPr>
        <w:t>引导企业申报各级各类科技计划项目</w:t>
      </w:r>
      <w:r>
        <w:rPr>
          <w:rFonts w:hint="eastAsia" w:ascii="仿宋_GB2312" w:hAnsi="仿宋_GB2312" w:eastAsia="仿宋_GB2312" w:cs="仿宋_GB2312"/>
          <w:bCs/>
          <w:color w:val="auto"/>
          <w:kern w:val="0"/>
          <w:sz w:val="32"/>
          <w:szCs w:val="32"/>
          <w:highlight w:val="none"/>
          <w:lang w:eastAsia="zh-CN"/>
        </w:rPr>
        <w:t>和资金</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eastAsia="zh-CN"/>
        </w:rPr>
        <w:t>推进</w:t>
      </w:r>
      <w:r>
        <w:rPr>
          <w:rFonts w:hint="eastAsia" w:ascii="仿宋_GB2312" w:hAnsi="仿宋_GB2312" w:eastAsia="仿宋_GB2312" w:cs="仿宋_GB2312"/>
          <w:color w:val="auto"/>
          <w:kern w:val="0"/>
          <w:sz w:val="32"/>
          <w:szCs w:val="32"/>
          <w:highlight w:val="none"/>
        </w:rPr>
        <w:t>科技项目</w:t>
      </w:r>
      <w:r>
        <w:rPr>
          <w:rFonts w:hint="eastAsia" w:ascii="仿宋_GB2312" w:hAnsi="仿宋_GB2312" w:eastAsia="仿宋_GB2312" w:cs="仿宋_GB2312"/>
          <w:color w:val="auto"/>
          <w:kern w:val="0"/>
          <w:sz w:val="32"/>
          <w:szCs w:val="32"/>
          <w:highlight w:val="none"/>
          <w:lang w:eastAsia="zh-CN"/>
        </w:rPr>
        <w:t>实施</w:t>
      </w:r>
      <w:r>
        <w:rPr>
          <w:rFonts w:hint="eastAsia" w:ascii="仿宋_GB2312" w:hAnsi="仿宋_GB2312" w:eastAsia="仿宋_GB2312" w:cs="仿宋_GB2312"/>
          <w:color w:val="auto"/>
          <w:kern w:val="0"/>
          <w:sz w:val="32"/>
          <w:szCs w:val="32"/>
          <w:highlight w:val="none"/>
        </w:rPr>
        <w:t>。推动企业</w:t>
      </w:r>
      <w:r>
        <w:rPr>
          <w:rFonts w:hint="eastAsia" w:ascii="仿宋_GB2312" w:hAnsi="仿宋_GB2312" w:eastAsia="仿宋_GB2312" w:cs="仿宋_GB2312"/>
          <w:color w:val="auto"/>
          <w:kern w:val="0"/>
          <w:sz w:val="32"/>
          <w:szCs w:val="32"/>
          <w:highlight w:val="none"/>
          <w:lang w:eastAsia="zh-CN"/>
        </w:rPr>
        <w:t>建设</w:t>
      </w:r>
      <w:r>
        <w:rPr>
          <w:rFonts w:hint="eastAsia" w:ascii="仿宋_GB2312" w:hAnsi="仿宋_GB2312" w:eastAsia="仿宋_GB2312" w:cs="仿宋_GB2312"/>
          <w:color w:val="auto"/>
          <w:kern w:val="0"/>
          <w:sz w:val="32"/>
          <w:szCs w:val="32"/>
          <w:highlight w:val="none"/>
        </w:rPr>
        <w:t>省级</w:t>
      </w:r>
      <w:r>
        <w:rPr>
          <w:rFonts w:hint="eastAsia" w:ascii="仿宋_GB2312" w:hAnsi="仿宋_GB2312" w:eastAsia="仿宋_GB2312" w:cs="仿宋_GB2312"/>
          <w:color w:val="auto"/>
          <w:kern w:val="0"/>
          <w:sz w:val="32"/>
          <w:szCs w:val="32"/>
          <w:highlight w:val="none"/>
          <w:lang w:eastAsia="zh-CN"/>
        </w:rPr>
        <w:t>重点实验室、省级工程技术研究中心，构建科技创新平台体系</w:t>
      </w:r>
      <w:r>
        <w:rPr>
          <w:rFonts w:hint="eastAsia" w:ascii="仿宋_GB2312" w:hAnsi="仿宋_GB2312" w:eastAsia="仿宋_GB2312" w:cs="仿宋_GB2312"/>
          <w:color w:val="auto"/>
          <w:kern w:val="0"/>
          <w:sz w:val="32"/>
          <w:szCs w:val="32"/>
          <w:highlight w:val="none"/>
        </w:rPr>
        <w:t>。坚持引培并举，加快</w:t>
      </w:r>
      <w:r>
        <w:rPr>
          <w:rFonts w:hint="eastAsia" w:ascii="仿宋_GB2312" w:hAnsi="仿宋_GB2312" w:eastAsia="仿宋_GB2312" w:cs="仿宋_GB2312"/>
          <w:color w:val="auto"/>
          <w:kern w:val="0"/>
          <w:sz w:val="32"/>
          <w:szCs w:val="32"/>
          <w:highlight w:val="none"/>
          <w:lang w:eastAsia="zh-CN"/>
        </w:rPr>
        <w:t>引进和培育</w:t>
      </w:r>
      <w:r>
        <w:rPr>
          <w:rFonts w:hint="eastAsia" w:ascii="仿宋_GB2312" w:hAnsi="仿宋_GB2312" w:eastAsia="仿宋_GB2312" w:cs="仿宋_GB2312"/>
          <w:color w:val="auto"/>
          <w:kern w:val="0"/>
          <w:sz w:val="32"/>
          <w:szCs w:val="32"/>
          <w:highlight w:val="none"/>
        </w:rPr>
        <w:t>高新技术企业，</w:t>
      </w:r>
      <w:r>
        <w:rPr>
          <w:rFonts w:hint="eastAsia" w:ascii="仿宋_GB2312" w:hAnsi="仿宋_GB2312" w:eastAsia="仿宋_GB2312" w:cs="仿宋_GB2312"/>
          <w:color w:val="auto"/>
          <w:kern w:val="0"/>
          <w:sz w:val="32"/>
          <w:szCs w:val="32"/>
          <w:highlight w:val="none"/>
          <w:lang w:eastAsia="zh-CN"/>
        </w:rPr>
        <w:t>壮大市场创新主体规模</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“十四五”期间</w:t>
      </w:r>
      <w:r>
        <w:rPr>
          <w:rFonts w:hint="eastAsia" w:ascii="仿宋_GB2312" w:hAnsi="仿宋_GB2312" w:eastAsia="仿宋_GB2312" w:cs="仿宋_GB2312"/>
          <w:color w:val="auto"/>
          <w:kern w:val="0"/>
          <w:sz w:val="32"/>
          <w:szCs w:val="32"/>
          <w:highlight w:val="none"/>
        </w:rPr>
        <w:t>全市科技经费投入</w:t>
      </w:r>
      <w:r>
        <w:rPr>
          <w:rFonts w:hint="eastAsia" w:ascii="仿宋_GB2312" w:hAnsi="仿宋_GB2312" w:eastAsia="仿宋_GB2312" w:cs="仿宋_GB2312"/>
          <w:color w:val="auto"/>
          <w:kern w:val="0"/>
          <w:sz w:val="32"/>
          <w:szCs w:val="32"/>
          <w:highlight w:val="none"/>
          <w:lang w:eastAsia="zh-CN"/>
        </w:rPr>
        <w:t>年均增长率保持在</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%以上</w:t>
      </w:r>
      <w:r>
        <w:rPr>
          <w:rFonts w:hint="eastAsia" w:ascii="仿宋_GB2312" w:hAnsi="仿宋_GB2312" w:eastAsia="仿宋_GB2312" w:cs="仿宋_GB2312"/>
          <w:color w:val="auto"/>
          <w:kern w:val="0"/>
          <w:sz w:val="32"/>
          <w:szCs w:val="32"/>
          <w:highlight w:val="none"/>
          <w:lang w:eastAsia="zh-CN"/>
        </w:rPr>
        <w:t>。到</w:t>
      </w:r>
      <w:r>
        <w:rPr>
          <w:rFonts w:hint="eastAsia" w:ascii="仿宋_GB2312" w:hAnsi="仿宋_GB2312" w:eastAsia="仿宋_GB2312" w:cs="仿宋_GB2312"/>
          <w:color w:val="auto"/>
          <w:kern w:val="0"/>
          <w:sz w:val="32"/>
          <w:szCs w:val="32"/>
          <w:highlight w:val="none"/>
          <w:lang w:val="en-US" w:eastAsia="zh-CN"/>
        </w:rPr>
        <w:t>2025年，全市研发经费投入占GDP比重达到1%。</w:t>
      </w:r>
    </w:p>
    <w:p>
      <w:pPr>
        <w:pStyle w:val="4"/>
        <w:pageBreakBefore w:val="0"/>
        <w:widowControl w:val="0"/>
        <w:kinsoku/>
        <w:overflowPunct/>
        <w:topLinePunct w:val="0"/>
        <w:bidi w:val="0"/>
        <w:snapToGrid/>
        <w:spacing w:line="560" w:lineRule="exact"/>
        <w:textAlignment w:val="auto"/>
        <w:rPr>
          <w:color w:val="auto"/>
          <w:highlight w:val="none"/>
        </w:rPr>
      </w:pPr>
      <w:bookmarkStart w:id="115" w:name="_Toc57914196"/>
      <w:bookmarkStart w:id="116" w:name="_Toc31729_WPSOffice_Level2"/>
      <w:bookmarkStart w:id="117" w:name="_Toc32590_WPSOffice_Level2"/>
      <w:bookmarkStart w:id="118" w:name="_Toc9214_WPSOffice_Level2"/>
      <w:r>
        <w:rPr>
          <w:rFonts w:hint="eastAsia"/>
          <w:color w:val="auto"/>
          <w:highlight w:val="none"/>
        </w:rPr>
        <w:t>第</w:t>
      </w:r>
      <w:r>
        <w:rPr>
          <w:rFonts w:hint="eastAsia"/>
          <w:color w:val="auto"/>
          <w:highlight w:val="none"/>
          <w:lang w:eastAsia="zh-CN"/>
        </w:rPr>
        <w:t>四</w:t>
      </w:r>
      <w:r>
        <w:rPr>
          <w:rFonts w:hint="eastAsia"/>
          <w:color w:val="auto"/>
          <w:highlight w:val="none"/>
        </w:rPr>
        <w:t xml:space="preserve">节 </w:t>
      </w:r>
      <w:r>
        <w:rPr>
          <w:rFonts w:hint="eastAsia"/>
          <w:color w:val="auto"/>
          <w:highlight w:val="none"/>
          <w:lang w:eastAsia="zh-CN"/>
        </w:rPr>
        <w:t>做优</w:t>
      </w:r>
      <w:r>
        <w:rPr>
          <w:rFonts w:hint="eastAsia"/>
          <w:color w:val="auto"/>
          <w:highlight w:val="none"/>
        </w:rPr>
        <w:t>做强热带特色高效农业</w:t>
      </w:r>
      <w:bookmarkEnd w:id="115"/>
      <w:bookmarkEnd w:id="116"/>
      <w:bookmarkEnd w:id="117"/>
      <w:bookmarkEnd w:id="118"/>
    </w:p>
    <w:p>
      <w:pPr>
        <w:pageBreakBefore w:val="0"/>
        <w:widowControl w:val="0"/>
        <w:kinsoku/>
        <w:overflowPunct/>
        <w:topLinePunct w:val="0"/>
        <w:bidi w:val="0"/>
        <w:snapToGrid/>
        <w:spacing w:line="560" w:lineRule="exact"/>
        <w:ind w:firstLine="643"/>
        <w:textAlignment w:val="auto"/>
        <w:rPr>
          <w:rFonts w:ascii="仿宋_GB2312" w:hAnsi="仿宋_GB2312" w:eastAsia="仿宋_GB2312" w:cs="仿宋_GB2312"/>
          <w:color w:val="auto"/>
          <w:sz w:val="32"/>
          <w:szCs w:val="32"/>
          <w:highlight w:val="none"/>
        </w:rPr>
      </w:pPr>
      <w:r>
        <w:rPr>
          <w:rFonts w:hint="eastAsia" w:ascii="仿宋_GB2312" w:hAnsi="仿宋" w:eastAsia="仿宋_GB2312"/>
          <w:color w:val="auto"/>
          <w:sz w:val="32"/>
          <w:szCs w:val="32"/>
          <w:highlight w:val="none"/>
        </w:rPr>
        <w:t>深化农业供给侧结构性改革，</w:t>
      </w:r>
      <w:r>
        <w:rPr>
          <w:rFonts w:hint="eastAsia" w:ascii="仿宋_GB2312" w:hAnsi="仿宋" w:eastAsia="仿宋_GB2312"/>
          <w:color w:val="auto"/>
          <w:sz w:val="32"/>
          <w:szCs w:val="32"/>
          <w:highlight w:val="none"/>
          <w:lang w:eastAsia="zh-CN"/>
        </w:rPr>
        <w:t>完善农业支持保护制度，</w:t>
      </w:r>
      <w:r>
        <w:rPr>
          <w:rFonts w:hint="eastAsia" w:ascii="仿宋_GB2312" w:hAnsi="仿宋" w:eastAsia="仿宋_GB2312"/>
          <w:color w:val="auto"/>
          <w:sz w:val="32"/>
          <w:szCs w:val="32"/>
          <w:highlight w:val="none"/>
          <w:lang w:val="en-US" w:eastAsia="zh-CN"/>
        </w:rPr>
        <w:t>实施农业发展提升工程，推动农业规模化、产业化、品牌化。</w:t>
      </w:r>
      <w:r>
        <w:rPr>
          <w:rFonts w:hint="eastAsia" w:ascii="仿宋_GB2312" w:hAnsi="仿宋" w:eastAsia="仿宋_GB2312"/>
          <w:color w:val="auto"/>
          <w:sz w:val="32"/>
          <w:szCs w:val="32"/>
          <w:highlight w:val="none"/>
        </w:rPr>
        <w:t>补足农业基础设施和装备短板</w:t>
      </w:r>
      <w:r>
        <w:rPr>
          <w:rFonts w:hint="eastAsia" w:ascii="仿宋_GB2312" w:hAnsi="仿宋" w:eastAsia="仿宋_GB2312"/>
          <w:color w:val="auto"/>
          <w:sz w:val="32"/>
          <w:szCs w:val="32"/>
          <w:highlight w:val="none"/>
          <w:lang w:eastAsia="zh-CN"/>
        </w:rPr>
        <w:t>，健全完善农业全产业链标准体系</w:t>
      </w:r>
      <w:r>
        <w:rPr>
          <w:rFonts w:hint="eastAsia" w:ascii="仿宋_GB2312" w:hAnsi="仿宋" w:eastAsia="仿宋_GB2312"/>
          <w:color w:val="auto"/>
          <w:sz w:val="32"/>
          <w:szCs w:val="32"/>
          <w:highlight w:val="none"/>
        </w:rPr>
        <w:t>。重点</w:t>
      </w:r>
      <w:r>
        <w:rPr>
          <w:rFonts w:hint="eastAsia" w:ascii="仿宋_GB2312" w:hAnsi="仿宋" w:eastAsia="仿宋_GB2312"/>
          <w:color w:val="auto"/>
          <w:sz w:val="32"/>
          <w:szCs w:val="32"/>
          <w:highlight w:val="none"/>
          <w:lang w:eastAsia="zh-CN"/>
        </w:rPr>
        <w:t>发展</w:t>
      </w:r>
      <w:r>
        <w:rPr>
          <w:rFonts w:hint="eastAsia" w:ascii="仿宋_GB2312" w:hAnsi="仿宋" w:eastAsia="仿宋_GB2312"/>
          <w:color w:val="auto"/>
          <w:sz w:val="32"/>
          <w:szCs w:val="32"/>
          <w:highlight w:val="none"/>
        </w:rPr>
        <w:t>畜牧业</w:t>
      </w:r>
      <w:r>
        <w:rPr>
          <w:rFonts w:hint="eastAsia" w:ascii="仿宋_GB2312" w:hAnsi="仿宋" w:eastAsia="仿宋_GB2312"/>
          <w:color w:val="auto"/>
          <w:sz w:val="32"/>
          <w:szCs w:val="32"/>
          <w:highlight w:val="none"/>
          <w:lang w:eastAsia="zh-CN"/>
        </w:rPr>
        <w:t>和海洋渔业，</w:t>
      </w:r>
      <w:r>
        <w:rPr>
          <w:rFonts w:hint="eastAsia" w:ascii="仿宋_GB2312" w:hAnsi="仿宋" w:eastAsia="仿宋_GB2312"/>
          <w:color w:val="auto"/>
          <w:sz w:val="32"/>
          <w:szCs w:val="32"/>
          <w:highlight w:val="none"/>
          <w:u w:val="none"/>
          <w:lang w:eastAsia="zh-CN"/>
        </w:rPr>
        <w:t>力争畜牧业达到</w:t>
      </w:r>
      <w:r>
        <w:rPr>
          <w:rFonts w:hint="eastAsia" w:ascii="仿宋_GB2312" w:hAnsi="仿宋" w:eastAsia="仿宋_GB2312"/>
          <w:color w:val="auto"/>
          <w:sz w:val="32"/>
          <w:szCs w:val="32"/>
          <w:highlight w:val="none"/>
          <w:u w:val="none"/>
          <w:lang w:val="en-US" w:eastAsia="zh-CN"/>
        </w:rPr>
        <w:t>50亿级、海洋渔业突破100亿级。</w:t>
      </w:r>
    </w:p>
    <w:p>
      <w:pPr>
        <w:pageBreakBefore w:val="0"/>
        <w:widowControl w:val="0"/>
        <w:kinsoku/>
        <w:wordWrap w:val="0"/>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（一）补足基础设施装备短板</w:t>
      </w:r>
    </w:p>
    <w:p>
      <w:pPr>
        <w:pageBreakBefore w:val="0"/>
        <w:widowControl w:val="0"/>
        <w:kinsoku/>
        <w:overflowPunct/>
        <w:topLinePunct w:val="0"/>
        <w:bidi w:val="0"/>
        <w:snapToGrid/>
        <w:spacing w:line="560" w:lineRule="exact"/>
        <w:ind w:firstLine="643"/>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建设高标准农田。</w:t>
      </w:r>
      <w:r>
        <w:rPr>
          <w:rFonts w:hint="eastAsia" w:ascii="仿宋_GB2312" w:hAnsi="仿宋_GB2312" w:eastAsia="仿宋_GB2312" w:cs="仿宋_GB2312"/>
          <w:color w:val="auto"/>
          <w:sz w:val="32"/>
          <w:szCs w:val="32"/>
          <w:highlight w:val="none"/>
          <w:lang w:eastAsia="zh-CN"/>
        </w:rPr>
        <w:t>推动天角潭水利枢纽工程和琼西北供水工程顺利竣工运营，</w:t>
      </w:r>
      <w:r>
        <w:rPr>
          <w:rFonts w:hint="eastAsia" w:ascii="仿宋_GB2312" w:hAnsi="仿宋_GB2312" w:eastAsia="仿宋_GB2312" w:cs="仿宋_GB2312"/>
          <w:color w:val="auto"/>
          <w:sz w:val="32"/>
          <w:szCs w:val="32"/>
          <w:highlight w:val="none"/>
        </w:rPr>
        <w:t>重点完善以中小型水源工程为支撑、以水系连通工程为补充的儋州骨干水利工程体系。</w:t>
      </w:r>
      <w:r>
        <w:rPr>
          <w:rFonts w:hint="eastAsia" w:ascii="仿宋_GB2312" w:hAnsi="仿宋_GB2312" w:eastAsia="仿宋_GB2312" w:cs="仿宋_GB2312"/>
          <w:color w:val="auto"/>
          <w:sz w:val="32"/>
          <w:szCs w:val="32"/>
          <w:highlight w:val="none"/>
          <w:lang w:eastAsia="zh-CN"/>
        </w:rPr>
        <w:t>高标准完善农田水利灌溉系统，完善斗渠、毛渠，打通农田灌溉的“最后一公里”。实施农田综合整治工程，</w:t>
      </w:r>
      <w:r>
        <w:rPr>
          <w:rFonts w:hint="eastAsia" w:ascii="仿宋_GB2312" w:hAnsi="仿宋_GB2312" w:eastAsia="仿宋_GB2312" w:cs="仿宋_GB2312"/>
          <w:color w:val="auto"/>
          <w:sz w:val="32"/>
          <w:szCs w:val="32"/>
          <w:highlight w:val="none"/>
        </w:rPr>
        <w:t>改善土壤结构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建设一批高标准农田，</w:t>
      </w:r>
      <w:r>
        <w:rPr>
          <w:rFonts w:hint="eastAsia" w:ascii="仿宋_GB2312" w:hAnsi="仿宋_GB2312" w:eastAsia="仿宋_GB2312" w:cs="仿宋_GB2312"/>
          <w:color w:val="auto"/>
          <w:sz w:val="32"/>
          <w:szCs w:val="32"/>
          <w:highlight w:val="none"/>
          <w:u w:val="none"/>
          <w:lang w:val="en-US" w:eastAsia="zh-CN"/>
        </w:rPr>
        <w:t>补足农业产业发展设施不够完善的短板</w:t>
      </w:r>
      <w:r>
        <w:rPr>
          <w:rFonts w:hint="eastAsia" w:eastAsia="仿宋_GB2312"/>
          <w:color w:val="auto"/>
          <w:sz w:val="32"/>
          <w:szCs w:val="32"/>
          <w:highlight w:val="none"/>
          <w:lang w:eastAsia="zh-CN"/>
        </w:rPr>
        <w:t>。</w:t>
      </w:r>
    </w:p>
    <w:p>
      <w:pPr>
        <w:pageBreakBefore w:val="0"/>
        <w:widowControl w:val="0"/>
        <w:kinsoku/>
        <w:overflowPunct/>
        <w:topLinePunct w:val="0"/>
        <w:bidi w:val="0"/>
        <w:snapToGrid/>
        <w:spacing w:line="560" w:lineRule="exact"/>
        <w:ind w:firstLine="643"/>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提升农业机械化信息化水平。</w:t>
      </w:r>
      <w:r>
        <w:rPr>
          <w:rFonts w:hint="eastAsia" w:ascii="仿宋_GB2312" w:hAnsi="仿宋_GB2312" w:eastAsia="仿宋_GB2312" w:cs="仿宋_GB2312"/>
          <w:color w:val="auto"/>
          <w:sz w:val="32"/>
          <w:szCs w:val="32"/>
          <w:highlight w:val="none"/>
        </w:rPr>
        <w:t>推进耕整地、种植施肥、田间管理、收获、农产品初加工、农业废弃物利用处理等机械化。</w:t>
      </w:r>
      <w:r>
        <w:rPr>
          <w:rFonts w:hint="eastAsia" w:eastAsia="仿宋_GB2312"/>
          <w:color w:val="auto"/>
          <w:sz w:val="32"/>
          <w:szCs w:val="32"/>
          <w:highlight w:val="none"/>
        </w:rPr>
        <w:t>提升网络信息设施、物联网等“新基建”对农业的支撑作用，探索建设覆盖儋州、辐射海南西部的农业大数据中心和全产业链智慧农业平台，</w:t>
      </w:r>
      <w:r>
        <w:rPr>
          <w:rFonts w:hint="eastAsia" w:eastAsia="仿宋_GB2312"/>
          <w:color w:val="auto"/>
          <w:sz w:val="32"/>
          <w:szCs w:val="32"/>
          <w:highlight w:val="none"/>
          <w:lang w:eastAsia="zh-CN"/>
        </w:rPr>
        <w:t>打造若干“数字农业”基地。</w:t>
      </w:r>
    </w:p>
    <w:p>
      <w:pPr>
        <w:pageBreakBefore w:val="0"/>
        <w:widowControl w:val="0"/>
        <w:kinsoku/>
        <w:wordWrap w:val="0"/>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（二）优化产</w:t>
      </w:r>
      <w:r>
        <w:rPr>
          <w:rFonts w:hint="eastAsia" w:ascii="楷体_GB2312" w:hAnsi="楷体_GB2312" w:eastAsia="楷体_GB2312" w:cs="楷体_GB2312"/>
          <w:b/>
          <w:bCs/>
          <w:color w:val="auto"/>
          <w:sz w:val="32"/>
          <w:szCs w:val="32"/>
          <w:highlight w:val="none"/>
          <w:lang w:eastAsia="zh-CN"/>
        </w:rPr>
        <w:t>业</w:t>
      </w:r>
      <w:r>
        <w:rPr>
          <w:rFonts w:hint="eastAsia" w:ascii="楷体_GB2312" w:hAnsi="楷体_GB2312" w:eastAsia="楷体_GB2312" w:cs="楷体_GB2312"/>
          <w:b/>
          <w:bCs/>
          <w:color w:val="auto"/>
          <w:sz w:val="32"/>
          <w:szCs w:val="32"/>
          <w:highlight w:val="none"/>
        </w:rPr>
        <w:t>结构</w:t>
      </w:r>
    </w:p>
    <w:p>
      <w:pPr>
        <w:pageBreakBefore w:val="0"/>
        <w:widowControl w:val="0"/>
        <w:kinsoku/>
        <w:overflowPunct/>
        <w:topLinePunct w:val="0"/>
        <w:bidi w:val="0"/>
        <w:snapToGrid/>
        <w:spacing w:line="560" w:lineRule="exact"/>
        <w:ind w:firstLine="643"/>
        <w:textAlignment w:val="auto"/>
        <w:rPr>
          <w:rFonts w:eastAsia="仿宋_GB2312"/>
          <w:color w:val="auto"/>
          <w:sz w:val="32"/>
          <w:szCs w:val="32"/>
          <w:highlight w:val="none"/>
        </w:rPr>
      </w:pPr>
      <w:r>
        <w:rPr>
          <w:rFonts w:hint="eastAsia" w:eastAsia="仿宋_GB2312"/>
          <w:b/>
          <w:bCs/>
          <w:color w:val="auto"/>
          <w:sz w:val="32"/>
          <w:szCs w:val="32"/>
          <w:highlight w:val="none"/>
        </w:rPr>
        <w:t>强化畜牧业全产业链发展。</w:t>
      </w:r>
      <w:r>
        <w:rPr>
          <w:rFonts w:hint="eastAsia" w:eastAsia="仿宋_GB2312"/>
          <w:color w:val="auto"/>
          <w:sz w:val="32"/>
          <w:szCs w:val="32"/>
          <w:highlight w:val="none"/>
        </w:rPr>
        <w:t>以生猪、儋州鸡为重点品种，</w:t>
      </w:r>
      <w:r>
        <w:rPr>
          <w:rFonts w:hint="eastAsia" w:ascii="仿宋_GB2312" w:hAnsi="仿宋_GB2312" w:eastAsia="仿宋_GB2312" w:cs="仿宋_GB2312"/>
          <w:color w:val="auto"/>
          <w:sz w:val="32"/>
          <w:szCs w:val="32"/>
          <w:highlight w:val="none"/>
          <w:lang w:eastAsia="zh-CN"/>
        </w:rPr>
        <w:t>采取</w:t>
      </w:r>
      <w:r>
        <w:rPr>
          <w:rFonts w:hint="eastAsia" w:ascii="仿宋_GB2312" w:hAnsi="仿宋_GB2312" w:eastAsia="仿宋_GB2312" w:cs="仿宋_GB2312"/>
          <w:color w:val="auto"/>
          <w:sz w:val="32"/>
          <w:szCs w:val="32"/>
          <w:highlight w:val="none"/>
        </w:rPr>
        <w:t>企业+农户模式，构建涵盖饲料原料种植、饲料加工、畜禽养殖、屠宰、加工、冷链运储的全产业链。将雅星镇打造成为年出栏生猪</w:t>
      </w:r>
      <w:r>
        <w:rPr>
          <w:rFonts w:hint="eastAsia" w:ascii="仿宋_GB2312" w:hAnsi="仿宋_GB2312" w:eastAsia="仿宋_GB2312" w:cs="仿宋_GB2312"/>
          <w:color w:val="auto"/>
          <w:sz w:val="32"/>
          <w:szCs w:val="32"/>
          <w:highlight w:val="none"/>
          <w:lang w:val="en-US" w:eastAsia="zh-CN"/>
        </w:rPr>
        <w:t>百</w:t>
      </w:r>
      <w:r>
        <w:rPr>
          <w:rFonts w:hint="eastAsia" w:ascii="仿宋_GB2312" w:hAnsi="仿宋_GB2312" w:eastAsia="仿宋_GB2312" w:cs="仿宋_GB2312"/>
          <w:color w:val="auto"/>
          <w:sz w:val="32"/>
          <w:szCs w:val="32"/>
          <w:highlight w:val="none"/>
        </w:rPr>
        <w:t>万头</w:t>
      </w:r>
      <w:r>
        <w:rPr>
          <w:rFonts w:hint="eastAsia" w:ascii="仿宋_GB2312" w:hAnsi="仿宋_GB2312" w:eastAsia="仿宋_GB2312" w:cs="仿宋_GB2312"/>
          <w:color w:val="auto"/>
          <w:sz w:val="32"/>
          <w:szCs w:val="32"/>
          <w:highlight w:val="none"/>
          <w:lang w:eastAsia="zh-CN"/>
        </w:rPr>
        <w:t>级别</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生态养殖区</w:t>
      </w:r>
      <w:r>
        <w:rPr>
          <w:rFonts w:hint="eastAsia" w:ascii="仿宋_GB2312" w:hAnsi="仿宋_GB2312" w:eastAsia="仿宋_GB2312" w:cs="仿宋_GB2312"/>
          <w:color w:val="auto"/>
          <w:sz w:val="32"/>
          <w:szCs w:val="32"/>
          <w:highlight w:val="none"/>
        </w:rPr>
        <w:t>。推进</w:t>
      </w:r>
      <w:r>
        <w:rPr>
          <w:rFonts w:hint="eastAsia" w:ascii="仿宋_GB2312" w:hAnsi="仿宋_GB2312" w:eastAsia="仿宋_GB2312" w:cs="仿宋_GB2312"/>
          <w:color w:val="auto"/>
          <w:sz w:val="32"/>
          <w:szCs w:val="32"/>
          <w:highlight w:val="none"/>
          <w:lang w:eastAsia="zh-CN"/>
        </w:rPr>
        <w:t>雅星、</w:t>
      </w:r>
      <w:r>
        <w:rPr>
          <w:rFonts w:hint="eastAsia" w:ascii="仿宋_GB2312" w:hAnsi="仿宋_GB2312" w:eastAsia="仿宋_GB2312" w:cs="仿宋_GB2312"/>
          <w:color w:val="auto"/>
          <w:sz w:val="32"/>
          <w:szCs w:val="32"/>
          <w:highlight w:val="none"/>
        </w:rPr>
        <w:t>两院试验场、西培农场等儋州鸡保种育种、产业集成示范基地建设，实现年产儋州肉鸡500万羽。建设畜禽（电子）交易平台，</w:t>
      </w:r>
      <w:r>
        <w:rPr>
          <w:rFonts w:hint="eastAsia" w:eastAsia="仿宋_GB2312"/>
          <w:color w:val="auto"/>
          <w:sz w:val="32"/>
          <w:szCs w:val="32"/>
          <w:highlight w:val="none"/>
        </w:rPr>
        <w:t>完善动物检验中心</w:t>
      </w:r>
      <w:r>
        <w:rPr>
          <w:rFonts w:hint="eastAsia" w:eastAsia="仿宋_GB2312"/>
          <w:color w:val="auto"/>
          <w:sz w:val="32"/>
          <w:szCs w:val="32"/>
          <w:highlight w:val="none"/>
          <w:lang w:eastAsia="zh-CN"/>
        </w:rPr>
        <w:t>和</w:t>
      </w:r>
      <w:r>
        <w:rPr>
          <w:rFonts w:hint="eastAsia" w:eastAsia="仿宋_GB2312"/>
          <w:color w:val="auto"/>
          <w:sz w:val="32"/>
          <w:szCs w:val="32"/>
          <w:highlight w:val="none"/>
        </w:rPr>
        <w:t>疫病防控体系建设。规划建设畜禽粪便、污水无害化处理厂、病死畜禽无害化集中处理厂</w:t>
      </w:r>
      <w:r>
        <w:rPr>
          <w:rFonts w:hint="eastAsia" w:eastAsia="仿宋_GB2312"/>
          <w:color w:val="auto"/>
          <w:sz w:val="32"/>
          <w:szCs w:val="32"/>
          <w:highlight w:val="none"/>
          <w:lang w:eastAsia="zh-CN"/>
        </w:rPr>
        <w:t>，</w:t>
      </w:r>
      <w:r>
        <w:rPr>
          <w:rFonts w:hint="eastAsia" w:eastAsia="仿宋_GB2312"/>
          <w:color w:val="auto"/>
          <w:sz w:val="32"/>
          <w:szCs w:val="32"/>
          <w:highlight w:val="none"/>
        </w:rPr>
        <w:t>推进养殖废物资源化利用，推广种养循环模式。</w:t>
      </w:r>
    </w:p>
    <w:p>
      <w:pPr>
        <w:pStyle w:val="2"/>
        <w:pageBreakBefore w:val="0"/>
        <w:widowControl w:val="0"/>
        <w:kinsoku/>
        <w:wordWrap w:val="0"/>
        <w:overflowPunct/>
        <w:topLinePunct w:val="0"/>
        <w:bidi w:val="0"/>
        <w:snapToGrid/>
        <w:spacing w:line="560" w:lineRule="exact"/>
        <w:ind w:firstLine="643" w:firstLineChars="200"/>
        <w:jc w:val="both"/>
        <w:textAlignment w:val="auto"/>
        <w:rPr>
          <w:rFonts w:hint="eastAsia" w:eastAsia="仿宋_GB2312"/>
          <w:color w:val="auto"/>
          <w:sz w:val="32"/>
          <w:szCs w:val="32"/>
          <w:highlight w:val="none"/>
          <w:lang w:eastAsia="zh-CN"/>
        </w:rPr>
      </w:pPr>
      <w:r>
        <w:rPr>
          <w:rFonts w:hint="eastAsia" w:eastAsia="仿宋_GB2312"/>
          <w:b/>
          <w:bCs/>
          <w:color w:val="auto"/>
          <w:sz w:val="32"/>
          <w:szCs w:val="32"/>
          <w:highlight w:val="none"/>
        </w:rPr>
        <w:t>推进种植业</w:t>
      </w:r>
      <w:r>
        <w:rPr>
          <w:rFonts w:hint="eastAsia" w:eastAsia="仿宋_GB2312"/>
          <w:b/>
          <w:bCs/>
          <w:color w:val="auto"/>
          <w:sz w:val="32"/>
          <w:szCs w:val="32"/>
          <w:highlight w:val="none"/>
          <w:lang w:eastAsia="zh-CN"/>
        </w:rPr>
        <w:t>提质增效</w:t>
      </w:r>
      <w:r>
        <w:rPr>
          <w:rFonts w:hint="eastAsia" w:eastAsia="仿宋_GB2312"/>
          <w:b/>
          <w:bCs/>
          <w:color w:val="auto"/>
          <w:sz w:val="32"/>
          <w:szCs w:val="32"/>
          <w:highlight w:val="none"/>
        </w:rPr>
        <w:t>。</w:t>
      </w:r>
      <w:r>
        <w:rPr>
          <w:rFonts w:hint="eastAsia" w:eastAsia="仿宋_GB2312"/>
          <w:color w:val="auto"/>
          <w:sz w:val="32"/>
          <w:szCs w:val="32"/>
          <w:highlight w:val="none"/>
        </w:rPr>
        <w:t>稳定优质水稻种植面积</w:t>
      </w:r>
      <w:r>
        <w:rPr>
          <w:rFonts w:hint="eastAsia" w:eastAsia="仿宋_GB2312"/>
          <w:color w:val="auto"/>
          <w:sz w:val="32"/>
          <w:szCs w:val="32"/>
          <w:highlight w:val="none"/>
          <w:lang w:eastAsia="zh-CN"/>
        </w:rPr>
        <w:t>，保障</w:t>
      </w:r>
      <w:r>
        <w:rPr>
          <w:rFonts w:hint="eastAsia" w:eastAsia="仿宋_GB2312"/>
          <w:b w:val="0"/>
          <w:bCs w:val="0"/>
          <w:color w:val="auto"/>
          <w:sz w:val="32"/>
          <w:szCs w:val="32"/>
          <w:highlight w:val="none"/>
          <w:lang w:eastAsia="zh-CN"/>
        </w:rPr>
        <w:t>粮食生产。大力发展热带水果，支持优良品种研发，</w:t>
      </w:r>
      <w:r>
        <w:rPr>
          <w:rFonts w:hint="eastAsia" w:eastAsia="仿宋_GB2312"/>
          <w:color w:val="auto"/>
          <w:sz w:val="32"/>
          <w:szCs w:val="32"/>
          <w:highlight w:val="none"/>
          <w:lang w:eastAsia="zh-CN"/>
        </w:rPr>
        <w:t>鼓励引种东南亚、南美新、奇、特优质水果品种，</w:t>
      </w:r>
      <w:r>
        <w:rPr>
          <w:rFonts w:hint="eastAsia" w:eastAsia="仿宋_GB2312"/>
          <w:b w:val="0"/>
          <w:bCs w:val="0"/>
          <w:color w:val="auto"/>
          <w:sz w:val="32"/>
          <w:szCs w:val="32"/>
          <w:highlight w:val="none"/>
          <w:lang w:eastAsia="zh-CN"/>
        </w:rPr>
        <w:t>支持发展</w:t>
      </w:r>
      <w:r>
        <w:rPr>
          <w:rFonts w:hint="eastAsia" w:eastAsia="仿宋_GB2312"/>
          <w:color w:val="auto"/>
          <w:sz w:val="32"/>
          <w:szCs w:val="32"/>
          <w:highlight w:val="none"/>
        </w:rPr>
        <w:t>榴莲蜜、牛油果</w:t>
      </w:r>
      <w:r>
        <w:rPr>
          <w:rFonts w:hint="eastAsia" w:eastAsia="仿宋_GB2312"/>
          <w:color w:val="auto"/>
          <w:sz w:val="32"/>
          <w:szCs w:val="32"/>
          <w:highlight w:val="none"/>
          <w:lang w:eastAsia="zh-CN"/>
        </w:rPr>
        <w:t>等新品种，</w:t>
      </w:r>
      <w:r>
        <w:rPr>
          <w:rFonts w:hint="eastAsia" w:eastAsia="仿宋_GB2312"/>
          <w:b w:val="0"/>
          <w:bCs w:val="0"/>
          <w:color w:val="auto"/>
          <w:sz w:val="32"/>
          <w:szCs w:val="32"/>
          <w:highlight w:val="none"/>
          <w:lang w:eastAsia="zh-CN"/>
        </w:rPr>
        <w:t>重点打造火龙果、</w:t>
      </w:r>
      <w:r>
        <w:rPr>
          <w:rFonts w:hint="eastAsia" w:ascii="仿宋_GB2312" w:hAnsi="仿宋_GB2312" w:eastAsia="仿宋_GB2312" w:cs="仿宋_GB2312"/>
          <w:b w:val="0"/>
          <w:bCs w:val="0"/>
          <w:color w:val="auto"/>
          <w:sz w:val="32"/>
          <w:szCs w:val="32"/>
          <w:highlight w:val="none"/>
          <w:lang w:val="en-US" w:eastAsia="zh-CN"/>
        </w:rPr>
        <w:t>红肉菠萝蜜、</w:t>
      </w:r>
      <w:r>
        <w:rPr>
          <w:rFonts w:hint="eastAsia" w:eastAsia="仿宋_GB2312"/>
          <w:b w:val="0"/>
          <w:bCs w:val="0"/>
          <w:color w:val="auto"/>
          <w:sz w:val="32"/>
          <w:szCs w:val="32"/>
          <w:highlight w:val="none"/>
          <w:lang w:eastAsia="zh-CN"/>
        </w:rPr>
        <w:t>凤梨、百香果等水果种植基地。大力发展常年瓜菜</w:t>
      </w:r>
      <w:r>
        <w:rPr>
          <w:rFonts w:hint="eastAsia" w:eastAsia="仿宋_GB2312"/>
          <w:color w:val="auto"/>
          <w:sz w:val="32"/>
          <w:szCs w:val="32"/>
          <w:highlight w:val="none"/>
          <w:lang w:eastAsia="zh-CN"/>
        </w:rPr>
        <w:t>，常年瓜菜基地面积巩固达到</w:t>
      </w:r>
      <w:r>
        <w:rPr>
          <w:rFonts w:hint="eastAsia" w:eastAsia="仿宋_GB2312"/>
          <w:color w:val="auto"/>
          <w:sz w:val="32"/>
          <w:szCs w:val="32"/>
          <w:highlight w:val="none"/>
          <w:lang w:val="en-US" w:eastAsia="zh-CN"/>
        </w:rPr>
        <w:t>1.5万亩，</w:t>
      </w:r>
      <w:r>
        <w:rPr>
          <w:rFonts w:hint="eastAsia" w:eastAsia="仿宋_GB2312"/>
          <w:b w:val="0"/>
          <w:bCs w:val="0"/>
          <w:color w:val="auto"/>
          <w:sz w:val="32"/>
          <w:szCs w:val="32"/>
          <w:highlight w:val="none"/>
          <w:lang w:eastAsia="zh-CN"/>
        </w:rPr>
        <w:t>确保常年瓜菜自给率达</w:t>
      </w:r>
      <w:r>
        <w:rPr>
          <w:rFonts w:hint="eastAsia" w:eastAsia="仿宋_GB2312"/>
          <w:b w:val="0"/>
          <w:bCs w:val="0"/>
          <w:color w:val="auto"/>
          <w:sz w:val="32"/>
          <w:szCs w:val="32"/>
          <w:highlight w:val="none"/>
          <w:lang w:val="en-US" w:eastAsia="zh-CN"/>
        </w:rPr>
        <w:t>100%。</w:t>
      </w:r>
      <w:r>
        <w:rPr>
          <w:rFonts w:hint="eastAsia" w:eastAsia="仿宋_GB2312"/>
          <w:color w:val="auto"/>
          <w:sz w:val="32"/>
          <w:szCs w:val="32"/>
          <w:highlight w:val="none"/>
          <w:lang w:eastAsia="zh-CN"/>
        </w:rPr>
        <w:t>积极发展庭院经济、林下经济、南药等产业，培育新品种新业态。</w:t>
      </w:r>
    </w:p>
    <w:p>
      <w:pPr>
        <w:pStyle w:val="2"/>
        <w:pageBreakBefore w:val="0"/>
        <w:widowControl w:val="0"/>
        <w:kinsoku/>
        <w:wordWrap w:val="0"/>
        <w:overflowPunct/>
        <w:topLinePunct w:val="0"/>
        <w:bidi w:val="0"/>
        <w:snapToGrid/>
        <w:spacing w:line="560" w:lineRule="exact"/>
        <w:ind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 w:eastAsia="仿宋_GB2312"/>
          <w:b/>
          <w:bCs/>
          <w:color w:val="auto"/>
          <w:sz w:val="32"/>
          <w:szCs w:val="32"/>
          <w:highlight w:val="none"/>
          <w:lang w:eastAsia="zh-CN"/>
        </w:rPr>
        <w:t>推进林业快速发展</w:t>
      </w:r>
      <w:r>
        <w:rPr>
          <w:rFonts w:hint="eastAsia" w:ascii="仿宋_GB2312" w:hAnsi="仿宋" w:eastAsia="仿宋_GB2312"/>
          <w:b/>
          <w:bCs/>
          <w:color w:val="auto"/>
          <w:sz w:val="32"/>
          <w:szCs w:val="32"/>
          <w:highlight w:val="none"/>
        </w:rPr>
        <w:t>。</w:t>
      </w:r>
      <w:bookmarkStart w:id="119" w:name="_Hlk57039004"/>
      <w:r>
        <w:rPr>
          <w:rFonts w:hint="eastAsia" w:ascii="仿宋_GB2312" w:hAnsi="仿宋" w:eastAsia="仿宋_GB2312"/>
          <w:b w:val="0"/>
          <w:bCs w:val="0"/>
          <w:color w:val="auto"/>
          <w:sz w:val="32"/>
          <w:szCs w:val="32"/>
          <w:highlight w:val="none"/>
          <w:lang w:eastAsia="zh-CN"/>
        </w:rPr>
        <w:t>稳定</w:t>
      </w:r>
      <w:r>
        <w:rPr>
          <w:rFonts w:hint="eastAsia" w:ascii="仿宋" w:hAnsi="仿宋" w:eastAsia="仿宋" w:cs="仿宋"/>
          <w:color w:val="auto"/>
          <w:sz w:val="32"/>
          <w:szCs w:val="32"/>
          <w:highlight w:val="none"/>
        </w:rPr>
        <w:t>自然保护地</w:t>
      </w:r>
      <w:r>
        <w:rPr>
          <w:rFonts w:hint="eastAsia" w:ascii="仿宋" w:hAnsi="仿宋" w:eastAsia="仿宋" w:cs="仿宋"/>
          <w:color w:val="auto"/>
          <w:sz w:val="32"/>
          <w:szCs w:val="32"/>
          <w:highlight w:val="none"/>
          <w:lang w:eastAsia="zh-CN"/>
        </w:rPr>
        <w:t>面积。</w:t>
      </w:r>
      <w:r>
        <w:rPr>
          <w:rFonts w:hint="eastAsia" w:ascii="仿宋_GB2312" w:hAnsi="仿宋" w:eastAsia="仿宋_GB2312"/>
          <w:b w:val="0"/>
          <w:bCs w:val="0"/>
          <w:color w:val="auto"/>
          <w:sz w:val="32"/>
          <w:szCs w:val="32"/>
          <w:highlight w:val="none"/>
          <w:lang w:eastAsia="zh-CN"/>
        </w:rPr>
        <w:t>加快建设天然橡胶生产保护区，稳定橡胶种植面积，</w:t>
      </w:r>
      <w:r>
        <w:rPr>
          <w:rFonts w:hint="eastAsia" w:ascii="仿宋_GB2312" w:hAnsi="仿宋_GB2312" w:eastAsia="仿宋_GB2312" w:cs="仿宋_GB2312"/>
          <w:color w:val="auto"/>
          <w:sz w:val="32"/>
          <w:szCs w:val="32"/>
          <w:highlight w:val="none"/>
        </w:rPr>
        <w:t>争取国家对橡胶保护区政策资金投入。</w:t>
      </w:r>
      <w:r>
        <w:rPr>
          <w:rFonts w:hint="eastAsia" w:ascii="仿宋_GB2312" w:hAnsi="仿宋" w:eastAsia="仿宋_GB2312"/>
          <w:b w:val="0"/>
          <w:bCs w:val="0"/>
          <w:color w:val="auto"/>
          <w:sz w:val="32"/>
          <w:szCs w:val="32"/>
          <w:highlight w:val="none"/>
          <w:lang w:eastAsia="zh-CN"/>
        </w:rPr>
        <w:t>推行天然橡胶收入（价格）保险。</w:t>
      </w:r>
      <w:r>
        <w:rPr>
          <w:rFonts w:hint="eastAsia" w:ascii="仿宋" w:hAnsi="仿宋" w:eastAsia="仿宋" w:cs="仿宋"/>
          <w:color w:val="auto"/>
          <w:sz w:val="32"/>
          <w:szCs w:val="32"/>
          <w:highlight w:val="none"/>
          <w:lang w:eastAsia="zh-CN"/>
        </w:rPr>
        <w:t>大力发展经济林，</w:t>
      </w:r>
      <w:r>
        <w:rPr>
          <w:rFonts w:hint="eastAsia" w:ascii="仿宋_GB2312" w:hAnsi="仿宋_GB2312" w:eastAsia="仿宋_GB2312" w:cs="仿宋_GB2312"/>
          <w:b w:val="0"/>
          <w:bCs w:val="0"/>
          <w:color w:val="auto"/>
          <w:sz w:val="32"/>
          <w:szCs w:val="32"/>
          <w:highlight w:val="none"/>
        </w:rPr>
        <w:t>全面推进“三棵树”建设工程</w:t>
      </w:r>
      <w:r>
        <w:rPr>
          <w:rFonts w:hint="eastAsia" w:ascii="仿宋_GB2312" w:hAnsi="仿宋_GB2312" w:eastAsia="仿宋_GB2312" w:cs="仿宋_GB2312"/>
          <w:b w:val="0"/>
          <w:bCs w:val="0"/>
          <w:color w:val="auto"/>
          <w:sz w:val="32"/>
          <w:szCs w:val="32"/>
          <w:highlight w:val="none"/>
          <w:lang w:eastAsia="zh-CN"/>
        </w:rPr>
        <w:t>。重点</w:t>
      </w:r>
      <w:r>
        <w:rPr>
          <w:rFonts w:hint="eastAsia" w:eastAsia="仿宋_GB2312"/>
          <w:color w:val="auto"/>
          <w:sz w:val="32"/>
          <w:szCs w:val="32"/>
          <w:highlight w:val="none"/>
        </w:rPr>
        <w:t>推进橡胶产业</w:t>
      </w:r>
      <w:r>
        <w:rPr>
          <w:rFonts w:hint="eastAsia" w:eastAsia="仿宋_GB2312"/>
          <w:color w:val="auto"/>
          <w:sz w:val="32"/>
          <w:szCs w:val="32"/>
          <w:highlight w:val="none"/>
          <w:lang w:eastAsia="zh-CN"/>
        </w:rPr>
        <w:t>提质</w:t>
      </w:r>
      <w:r>
        <w:rPr>
          <w:rFonts w:hint="eastAsia" w:eastAsia="仿宋_GB2312"/>
          <w:color w:val="auto"/>
          <w:sz w:val="32"/>
          <w:szCs w:val="32"/>
          <w:highlight w:val="none"/>
        </w:rPr>
        <w:t>增效，</w:t>
      </w:r>
      <w:r>
        <w:rPr>
          <w:rFonts w:hint="eastAsia" w:ascii="仿宋_GB2312" w:hAnsi="仿宋_GB2312" w:eastAsia="仿宋_GB2312" w:cs="仿宋_GB2312"/>
          <w:color w:val="auto"/>
          <w:sz w:val="32"/>
          <w:szCs w:val="32"/>
          <w:highlight w:val="none"/>
        </w:rPr>
        <w:t>加强天然橡胶标准化建设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更新改良老龄低产胶园。</w:t>
      </w:r>
      <w:r>
        <w:rPr>
          <w:rFonts w:hint="eastAsia" w:ascii="仿宋_GB2312" w:hAnsi="仿宋_GB2312" w:eastAsia="仿宋_GB2312" w:cs="仿宋_GB2312"/>
          <w:b w:val="0"/>
          <w:bCs w:val="0"/>
          <w:color w:val="auto"/>
          <w:sz w:val="32"/>
          <w:szCs w:val="32"/>
          <w:highlight w:val="none"/>
          <w:lang w:eastAsia="zh-CN"/>
        </w:rPr>
        <w:t>聚集发展和整合木材加工企业，打造林业种植、砍伐、加工、成品全产业链。支持花梨、沉香、</w:t>
      </w:r>
      <w:r>
        <w:rPr>
          <w:rFonts w:hint="eastAsia" w:ascii="仿宋" w:hAnsi="仿宋" w:eastAsia="仿宋" w:cs="仿宋"/>
          <w:color w:val="auto"/>
          <w:sz w:val="32"/>
          <w:szCs w:val="32"/>
          <w:highlight w:val="none"/>
        </w:rPr>
        <w:t>母生、坡垒</w:t>
      </w:r>
      <w:r>
        <w:rPr>
          <w:rFonts w:hint="eastAsia" w:ascii="仿宋_GB2312" w:hAnsi="仿宋_GB2312" w:eastAsia="仿宋_GB2312" w:cs="仿宋_GB2312"/>
          <w:b w:val="0"/>
          <w:bCs w:val="0"/>
          <w:color w:val="auto"/>
          <w:sz w:val="32"/>
          <w:szCs w:val="32"/>
          <w:highlight w:val="none"/>
          <w:lang w:eastAsia="zh-CN"/>
        </w:rPr>
        <w:t>等本土树种或名贵树种种植和初加工。支持发展花卉产业。</w:t>
      </w:r>
    </w:p>
    <w:bookmarkEnd w:id="119"/>
    <w:p>
      <w:pPr>
        <w:pageBreakBefore w:val="0"/>
        <w:widowControl w:val="0"/>
        <w:kinsoku/>
        <w:overflowPunct/>
        <w:topLinePunct w:val="0"/>
        <w:bidi w:val="0"/>
        <w:snapToGrid/>
        <w:spacing w:line="560" w:lineRule="exact"/>
        <w:ind w:firstLine="643"/>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bCs/>
          <w:color w:val="auto"/>
          <w:sz w:val="32"/>
          <w:szCs w:val="32"/>
          <w:highlight w:val="none"/>
          <w:shd w:val="clear" w:color="auto" w:fill="FFFFFF"/>
          <w:lang w:eastAsia="zh-CN"/>
        </w:rPr>
        <w:t>大力发展海洋渔业。</w:t>
      </w:r>
      <w:r>
        <w:rPr>
          <w:rFonts w:ascii="Times New Roman" w:hAnsi="Times New Roman" w:eastAsia="仿宋_GB2312" w:cs="Times New Roman"/>
          <w:color w:val="auto"/>
          <w:sz w:val="32"/>
          <w:szCs w:val="32"/>
          <w:highlight w:val="none"/>
          <w:shd w:val="clear" w:color="auto" w:fill="FFFFFF"/>
        </w:rPr>
        <w:t>制定推动渔民转产转业政策</w:t>
      </w:r>
      <w:r>
        <w:rPr>
          <w:rFonts w:hint="eastAsia" w:ascii="Times New Roman" w:hAnsi="Times New Roman" w:eastAsia="仿宋_GB2312" w:cs="Times New Roman"/>
          <w:color w:val="auto"/>
          <w:sz w:val="32"/>
          <w:szCs w:val="32"/>
          <w:highlight w:val="none"/>
          <w:shd w:val="clear" w:color="auto" w:fill="FFFFFF"/>
          <w:lang w:eastAsia="zh-CN"/>
        </w:rPr>
        <w:t>，</w:t>
      </w:r>
      <w:r>
        <w:rPr>
          <w:rFonts w:ascii="Times New Roman" w:hAnsi="Times New Roman" w:eastAsia="仿宋_GB2312" w:cs="Times New Roman"/>
          <w:color w:val="auto"/>
          <w:sz w:val="32"/>
          <w:szCs w:val="32"/>
          <w:highlight w:val="none"/>
          <w:shd w:val="clear" w:color="auto" w:fill="FFFFFF"/>
        </w:rPr>
        <w:t>鼓励引导渔民“往岸上走、往深海走、往休闲渔业走”</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eastAsia="仿宋_GB2312" w:cs="Times New Roman"/>
          <w:color w:val="auto"/>
          <w:sz w:val="32"/>
          <w:szCs w:val="32"/>
          <w:highlight w:val="none"/>
          <w:shd w:val="clear" w:color="auto" w:fill="FFFFFF"/>
          <w:lang w:eastAsia="zh-CN"/>
        </w:rPr>
        <w:t>发展绿色生态健康渔业。</w:t>
      </w:r>
      <w:r>
        <w:rPr>
          <w:rFonts w:ascii="Times New Roman" w:hAnsi="Times New Roman" w:eastAsia="仿宋_GB2312" w:cs="Times New Roman"/>
          <w:color w:val="auto"/>
          <w:sz w:val="32"/>
          <w:szCs w:val="32"/>
          <w:highlight w:val="none"/>
          <w:shd w:val="clear" w:color="auto" w:fill="FFFFFF"/>
        </w:rPr>
        <w:t>大力发展工厂化养殖、深海网箱养殖</w:t>
      </w:r>
      <w:r>
        <w:rPr>
          <w:rFonts w:hint="eastAsia" w:eastAsia="仿宋_GB2312" w:cs="Times New Roman"/>
          <w:color w:val="auto"/>
          <w:sz w:val="32"/>
          <w:szCs w:val="32"/>
          <w:highlight w:val="none"/>
          <w:shd w:val="clear" w:color="auto" w:fill="FFFFFF"/>
          <w:lang w:eastAsia="zh-CN"/>
        </w:rPr>
        <w:t>和</w:t>
      </w:r>
      <w:r>
        <w:rPr>
          <w:rFonts w:ascii="Times New Roman" w:hAnsi="Times New Roman" w:eastAsia="仿宋_GB2312" w:cs="Times New Roman"/>
          <w:color w:val="auto"/>
          <w:sz w:val="32"/>
          <w:szCs w:val="32"/>
          <w:highlight w:val="none"/>
        </w:rPr>
        <w:t>现代化海洋牧场</w:t>
      </w:r>
      <w:r>
        <w:rPr>
          <w:rFonts w:hint="eastAsia"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加强渔港、渔船基地建设，实施渔船更新改造计划。</w:t>
      </w:r>
      <w:r>
        <w:rPr>
          <w:rFonts w:hint="eastAsia" w:ascii="Times New Roman" w:hAnsi="Times New Roman" w:eastAsia="仿宋_GB2312" w:cs="Times New Roman"/>
          <w:color w:val="auto"/>
          <w:sz w:val="32"/>
          <w:szCs w:val="32"/>
          <w:highlight w:val="none"/>
          <w:lang w:eastAsia="zh-CN"/>
        </w:rPr>
        <w:t>率先实现海洋渔业成为</w:t>
      </w:r>
      <w:r>
        <w:rPr>
          <w:rFonts w:hint="eastAsia" w:eastAsia="仿宋_GB2312" w:cs="Times New Roman"/>
          <w:color w:val="auto"/>
          <w:sz w:val="32"/>
          <w:szCs w:val="32"/>
          <w:highlight w:val="none"/>
          <w:lang w:val="en-US" w:eastAsia="zh-CN"/>
        </w:rPr>
        <w:t>100</w:t>
      </w:r>
      <w:r>
        <w:rPr>
          <w:rFonts w:hint="eastAsia" w:ascii="Times New Roman" w:hAnsi="Times New Roman" w:eastAsia="仿宋_GB2312" w:cs="Times New Roman"/>
          <w:color w:val="auto"/>
          <w:sz w:val="32"/>
          <w:szCs w:val="32"/>
          <w:highlight w:val="none"/>
          <w:lang w:eastAsia="zh-CN"/>
        </w:rPr>
        <w:t>亿级产业</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推动生态养殖项目、</w:t>
      </w:r>
      <w:r>
        <w:rPr>
          <w:rFonts w:hint="eastAsia" w:ascii="仿宋_GB2312" w:hAnsi="仿宋_GB2312" w:eastAsia="仿宋_GB2312" w:cs="仿宋_GB2312"/>
          <w:color w:val="auto"/>
          <w:sz w:val="32"/>
          <w:szCs w:val="32"/>
          <w:highlight w:val="none"/>
          <w:lang w:val="en-US" w:eastAsia="zh-CN"/>
        </w:rPr>
        <w:t>智能化深远海养殖示范项目</w:t>
      </w:r>
      <w:r>
        <w:rPr>
          <w:rFonts w:hint="eastAsia"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海水鱼标准化工厂化养殖示范基地</w:t>
      </w:r>
      <w:r>
        <w:rPr>
          <w:rFonts w:hint="eastAsia" w:ascii="Times New Roman" w:hAnsi="Times New Roman" w:eastAsia="仿宋_GB2312" w:cs="Times New Roman"/>
          <w:color w:val="auto"/>
          <w:sz w:val="32"/>
          <w:szCs w:val="32"/>
          <w:highlight w:val="none"/>
          <w:lang w:eastAsia="zh-CN"/>
        </w:rPr>
        <w:t>建设。</w:t>
      </w:r>
    </w:p>
    <w:p>
      <w:pPr>
        <w:pageBreakBefore w:val="0"/>
        <w:widowControl w:val="0"/>
        <w:kinsoku/>
        <w:wordWrap w:val="0"/>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三</w:t>
      </w:r>
      <w:r>
        <w:rPr>
          <w:rFonts w:hint="eastAsia" w:ascii="楷体_GB2312" w:hAnsi="楷体_GB2312" w:eastAsia="楷体_GB2312" w:cs="楷体_GB2312"/>
          <w:b/>
          <w:bCs/>
          <w:color w:val="auto"/>
          <w:sz w:val="32"/>
          <w:szCs w:val="32"/>
          <w:highlight w:val="none"/>
        </w:rPr>
        <w:t>）建设一二三产业融合发展先导区</w:t>
      </w:r>
    </w:p>
    <w:p>
      <w:pPr>
        <w:pStyle w:val="2"/>
        <w:pageBreakBefore w:val="0"/>
        <w:widowControl w:val="0"/>
        <w:kinsoku/>
        <w:overflowPunct/>
        <w:topLinePunct w:val="0"/>
        <w:bidi w:val="0"/>
        <w:snapToGrid/>
        <w:spacing w:line="560" w:lineRule="exact"/>
        <w:ind w:firstLine="640" w:firstLineChars="200"/>
        <w:textAlignment w:val="auto"/>
        <w:rPr>
          <w:color w:val="auto"/>
          <w:highlight w:val="none"/>
        </w:rPr>
      </w:pPr>
      <w:r>
        <w:rPr>
          <w:rFonts w:hint="eastAsia" w:ascii="仿宋_GB2312" w:hAnsi="仿宋_GB2312" w:eastAsia="仿宋_GB2312" w:cs="仿宋_GB2312"/>
          <w:color w:val="auto"/>
          <w:sz w:val="32"/>
          <w:szCs w:val="32"/>
          <w:highlight w:val="none"/>
        </w:rPr>
        <w:t>紧抓儋州市入选“全国农村一二三产业融合发展先导区”的</w:t>
      </w:r>
      <w:r>
        <w:rPr>
          <w:rFonts w:hint="eastAsia" w:ascii="仿宋_GB2312" w:hAnsi="仿宋" w:eastAsia="仿宋_GB2312"/>
          <w:color w:val="auto"/>
          <w:sz w:val="32"/>
          <w:szCs w:val="32"/>
          <w:highlight w:val="none"/>
        </w:rPr>
        <w:t>契机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加快构建多元化、产业化、品牌化的现代农业新型产业融合体系</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大力发展观光农业、体验农业、创意农业、智慧农业、休闲渔业等新业态。大力发展农产品精深加工和物流业，引导加工企业向特色产业小镇和农业加工产业园区集聚。</w:t>
      </w:r>
      <w:r>
        <w:rPr>
          <w:rFonts w:hint="eastAsia" w:ascii="仿宋_GB2312" w:hAnsi="仿宋_GB2312" w:eastAsia="仿宋_GB2312" w:cs="仿宋_GB2312"/>
          <w:color w:val="auto"/>
          <w:sz w:val="32"/>
          <w:szCs w:val="32"/>
          <w:highlight w:val="none"/>
        </w:rPr>
        <w:t>推动形成“农业＋加工业＋商贸服务业”“农业+互联网”“农业+旅游”等多产业融合式发展的格局。加强市场体系和冷链物流设施建设。</w:t>
      </w:r>
    </w:p>
    <w:p>
      <w:pPr>
        <w:pageBreakBefore w:val="0"/>
        <w:widowControl w:val="0"/>
        <w:kinsoku/>
        <w:wordWrap w:val="0"/>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四</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构建农业产业发展体系</w:t>
      </w:r>
    </w:p>
    <w:p>
      <w:pPr>
        <w:pageBreakBefore w:val="0"/>
        <w:widowControl w:val="0"/>
        <w:kinsoku/>
        <w:overflowPunct/>
        <w:topLinePunct w:val="0"/>
        <w:bidi w:val="0"/>
        <w:snapToGrid/>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实施品牌强农战略。</w:t>
      </w:r>
      <w:r>
        <w:rPr>
          <w:rFonts w:hint="eastAsia" w:ascii="仿宋_GB2312" w:hAnsi="仿宋_GB2312" w:eastAsia="仿宋_GB2312" w:cs="仿宋_GB2312"/>
          <w:color w:val="auto"/>
          <w:sz w:val="32"/>
          <w:szCs w:val="32"/>
          <w:highlight w:val="none"/>
        </w:rPr>
        <w:t>健全完善农业全产业链标准体系。</w:t>
      </w:r>
      <w:r>
        <w:rPr>
          <w:rFonts w:hint="eastAsia" w:ascii="仿宋_GB2312" w:hAnsi="仿宋_GB2312" w:eastAsia="仿宋_GB2312" w:cs="仿宋_GB2312"/>
          <w:b w:val="0"/>
          <w:bCs w:val="0"/>
          <w:color w:val="auto"/>
          <w:sz w:val="32"/>
          <w:szCs w:val="32"/>
          <w:highlight w:val="none"/>
        </w:rPr>
        <w:t>强化全过程农产品质量安全监管，建立健全追溯体系，提升儋州农产品品质声誉。</w:t>
      </w:r>
      <w:r>
        <w:rPr>
          <w:rFonts w:hint="eastAsia" w:ascii="仿宋_GB2312" w:hAnsi="仿宋_GB2312" w:eastAsia="仿宋_GB2312" w:cs="仿宋_GB2312"/>
          <w:color w:val="auto"/>
          <w:sz w:val="32"/>
          <w:szCs w:val="32"/>
          <w:highlight w:val="none"/>
          <w:lang w:eastAsia="zh-CN"/>
        </w:rPr>
        <w:t>创建优质农产品品牌，支持品牌化营销，培育区域公用品牌，加强“两品一标”培育认证（登记），加大对农产品品牌的保护力度。</w:t>
      </w:r>
      <w:r>
        <w:rPr>
          <w:rFonts w:hint="eastAsia" w:ascii="仿宋_GB2312" w:hAnsi="仿宋_GB2312" w:eastAsia="仿宋_GB2312" w:cs="仿宋_GB2312"/>
          <w:color w:val="auto"/>
          <w:sz w:val="32"/>
          <w:szCs w:val="32"/>
          <w:highlight w:val="none"/>
        </w:rPr>
        <w:t>积极参加全国农产品交易博览会</w:t>
      </w:r>
      <w:r>
        <w:rPr>
          <w:rFonts w:hint="eastAsia" w:ascii="仿宋_GB2312" w:hAnsi="仿宋_GB2312" w:eastAsia="仿宋_GB2312" w:cs="仿宋_GB2312"/>
          <w:color w:val="auto"/>
          <w:sz w:val="32"/>
          <w:szCs w:val="32"/>
          <w:highlight w:val="none"/>
          <w:lang w:eastAsia="zh-CN"/>
        </w:rPr>
        <w:t>、海南冬交会等会展</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重视、指导、支持市农业产业协会等农林渔业协会的健康发展，</w:t>
      </w:r>
      <w:r>
        <w:rPr>
          <w:rFonts w:hint="eastAsia" w:ascii="仿宋_GB2312" w:hAnsi="仿宋_GB2312" w:eastAsia="仿宋_GB2312" w:cs="仿宋_GB2312"/>
          <w:b w:val="0"/>
          <w:bCs w:val="0"/>
          <w:color w:val="auto"/>
          <w:sz w:val="32"/>
          <w:szCs w:val="32"/>
          <w:highlight w:val="none"/>
          <w:lang w:eastAsia="zh-CN"/>
        </w:rPr>
        <w:t>重点</w:t>
      </w:r>
      <w:r>
        <w:rPr>
          <w:rFonts w:hint="eastAsia" w:eastAsia="仿宋_GB2312"/>
          <w:b w:val="0"/>
          <w:bCs w:val="0"/>
          <w:color w:val="auto"/>
          <w:sz w:val="32"/>
          <w:szCs w:val="32"/>
          <w:highlight w:val="none"/>
          <w:lang w:eastAsia="zh-CN"/>
        </w:rPr>
        <w:t>打造儋州鸡、儋州红鱼、黑皮冬瓜、海头地瓜、</w:t>
      </w:r>
      <w:r>
        <w:rPr>
          <w:rFonts w:hint="eastAsia" w:eastAsia="仿宋_GB2312"/>
          <w:b w:val="0"/>
          <w:bCs w:val="0"/>
          <w:color w:val="auto"/>
          <w:sz w:val="32"/>
          <w:szCs w:val="32"/>
          <w:highlight w:val="none"/>
        </w:rPr>
        <w:t>黄皮、蜜柚、雪茄</w:t>
      </w:r>
      <w:r>
        <w:rPr>
          <w:rFonts w:hint="eastAsia" w:eastAsia="仿宋_GB2312"/>
          <w:b w:val="0"/>
          <w:bCs w:val="0"/>
          <w:color w:val="auto"/>
          <w:sz w:val="32"/>
          <w:szCs w:val="32"/>
          <w:highlight w:val="none"/>
          <w:lang w:eastAsia="zh-CN"/>
        </w:rPr>
        <w:t>、土糖</w:t>
      </w:r>
      <w:r>
        <w:rPr>
          <w:rFonts w:hint="eastAsia" w:eastAsia="仿宋_GB2312"/>
          <w:b w:val="0"/>
          <w:bCs w:val="0"/>
          <w:color w:val="auto"/>
          <w:sz w:val="32"/>
          <w:szCs w:val="32"/>
          <w:highlight w:val="none"/>
        </w:rPr>
        <w:t>等</w:t>
      </w:r>
      <w:r>
        <w:rPr>
          <w:rFonts w:hint="eastAsia" w:eastAsia="仿宋_GB2312"/>
          <w:b w:val="0"/>
          <w:bCs w:val="0"/>
          <w:color w:val="auto"/>
          <w:sz w:val="32"/>
          <w:szCs w:val="32"/>
          <w:highlight w:val="none"/>
          <w:lang w:eastAsia="zh-CN"/>
        </w:rPr>
        <w:t>农</w:t>
      </w:r>
      <w:r>
        <w:rPr>
          <w:rFonts w:hint="eastAsia" w:eastAsia="仿宋_GB2312"/>
          <w:color w:val="auto"/>
          <w:sz w:val="32"/>
          <w:szCs w:val="32"/>
          <w:highlight w:val="none"/>
          <w:lang w:eastAsia="zh-CN"/>
        </w:rPr>
        <w:t>产品品牌。</w:t>
      </w:r>
    </w:p>
    <w:p>
      <w:pPr>
        <w:pageBreakBefore w:val="0"/>
        <w:widowControl w:val="0"/>
        <w:kinsoku/>
        <w:overflowPunct/>
        <w:topLinePunct w:val="0"/>
        <w:bidi w:val="0"/>
        <w:snapToGrid/>
        <w:spacing w:line="560" w:lineRule="exact"/>
        <w:ind w:firstLine="643"/>
        <w:textAlignment w:val="auto"/>
        <w:rPr>
          <w:color w:val="auto"/>
          <w:highlight w:val="none"/>
        </w:rPr>
      </w:pPr>
      <w:r>
        <w:rPr>
          <w:rFonts w:hint="eastAsia" w:ascii="仿宋_GB2312" w:hAnsi="仿宋_GB2312" w:eastAsia="仿宋_GB2312" w:cs="仿宋_GB2312"/>
          <w:b/>
          <w:bCs/>
          <w:color w:val="auto"/>
          <w:sz w:val="32"/>
          <w:szCs w:val="32"/>
          <w:highlight w:val="none"/>
        </w:rPr>
        <w:t>建立热带高效农业产学研体系。</w:t>
      </w:r>
      <w:r>
        <w:rPr>
          <w:rFonts w:hint="eastAsia" w:ascii="仿宋_GB2312" w:hAnsi="仿宋_GB2312" w:eastAsia="仿宋_GB2312" w:cs="仿宋_GB2312"/>
          <w:color w:val="auto"/>
          <w:sz w:val="32"/>
          <w:szCs w:val="32"/>
          <w:highlight w:val="none"/>
        </w:rPr>
        <w:t>发挥中国热科院、海南大学等农业科技优势，以热带作物研究、成果转化和</w:t>
      </w:r>
      <w:r>
        <w:rPr>
          <w:rFonts w:hint="eastAsia" w:ascii="仿宋_GB2312" w:hAnsi="仿宋_GB2312" w:eastAsia="仿宋_GB2312" w:cs="仿宋_GB2312"/>
          <w:color w:val="auto"/>
          <w:sz w:val="32"/>
          <w:szCs w:val="32"/>
          <w:highlight w:val="none"/>
          <w:lang w:eastAsia="zh-CN"/>
        </w:rPr>
        <w:t>基地</w:t>
      </w:r>
      <w:r>
        <w:rPr>
          <w:rFonts w:hint="eastAsia" w:ascii="仿宋_GB2312" w:hAnsi="仿宋_GB2312" w:eastAsia="仿宋_GB2312" w:cs="仿宋_GB2312"/>
          <w:color w:val="auto"/>
          <w:sz w:val="32"/>
          <w:szCs w:val="32"/>
          <w:highlight w:val="none"/>
        </w:rPr>
        <w:t>示范为特色，高标准创建国家热带农业科技交流中心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稳步推进</w:t>
      </w:r>
      <w:r>
        <w:rPr>
          <w:rFonts w:hint="eastAsia" w:ascii="仿宋_GB2312" w:hAnsi="仿宋_GB2312" w:eastAsia="仿宋_GB2312" w:cs="仿宋_GB2312"/>
          <w:color w:val="auto"/>
          <w:sz w:val="32"/>
          <w:szCs w:val="32"/>
          <w:highlight w:val="none"/>
          <w:lang w:eastAsia="zh-CN"/>
        </w:rPr>
        <w:t>儋州市国家现代农业产业园</w:t>
      </w:r>
      <w:r>
        <w:rPr>
          <w:rFonts w:hint="eastAsia" w:ascii="仿宋_GB2312" w:hAnsi="仿宋_GB2312" w:eastAsia="仿宋_GB2312" w:cs="仿宋_GB2312"/>
          <w:color w:val="auto"/>
          <w:sz w:val="32"/>
          <w:szCs w:val="32"/>
          <w:highlight w:val="none"/>
        </w:rPr>
        <w:t>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大力实施科技兴农、科技强农、科技惠民，培育多元新型农业经营主体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吸引境外农科类大学在儋州独立办学，设立国际学校，将儋州建设成为农科国际教育的集聚区。积极融入海南全球植物种子资源引进中转基地建设，与三亚基地建立合作机制，引入市场机构和科研单位，探索开展科研育种保种、育苗繁育。</w:t>
      </w:r>
    </w:p>
    <w:p>
      <w:pPr>
        <w:pStyle w:val="3"/>
        <w:bidi w:val="0"/>
        <w:rPr>
          <w:color w:val="auto"/>
          <w:highlight w:val="none"/>
        </w:rPr>
      </w:pPr>
      <w:bookmarkStart w:id="120" w:name="_Toc26564_WPSOffice_Level1"/>
      <w:bookmarkStart w:id="121" w:name="_Toc57914199"/>
      <w:bookmarkStart w:id="122" w:name="_Toc20010_WPSOffice_Level1"/>
      <w:bookmarkStart w:id="123" w:name="_Toc4761_WPSOffice_Level1"/>
      <w:r>
        <w:rPr>
          <w:rFonts w:hint="eastAsia"/>
          <w:color w:val="auto"/>
          <w:highlight w:val="none"/>
        </w:rPr>
        <w:t>第五章</w:t>
      </w:r>
      <w:r>
        <w:rPr>
          <w:color w:val="auto"/>
          <w:highlight w:val="none"/>
        </w:rPr>
        <w:t xml:space="preserve"> </w:t>
      </w:r>
      <w:bookmarkEnd w:id="120"/>
      <w:bookmarkEnd w:id="121"/>
      <w:r>
        <w:rPr>
          <w:rFonts w:hint="eastAsia"/>
          <w:color w:val="auto"/>
          <w:highlight w:val="none"/>
        </w:rPr>
        <w:t>优先发展农业农村</w:t>
      </w:r>
      <w:r>
        <w:rPr>
          <w:rFonts w:hint="eastAsia"/>
          <w:color w:val="auto"/>
          <w:highlight w:val="none"/>
          <w:lang w:val="en-US" w:eastAsia="zh-CN"/>
        </w:rPr>
        <w:t xml:space="preserve"> </w:t>
      </w:r>
      <w:r>
        <w:rPr>
          <w:rFonts w:hint="eastAsia"/>
          <w:color w:val="auto"/>
          <w:highlight w:val="none"/>
        </w:rPr>
        <w:t>全面推进乡村振兴</w:t>
      </w:r>
      <w:bookmarkEnd w:id="122"/>
      <w:bookmarkEnd w:id="123"/>
    </w:p>
    <w:p>
      <w:pPr>
        <w:pStyle w:val="2"/>
        <w:pageBreakBefore w:val="0"/>
        <w:widowControl w:val="0"/>
        <w:kinsoku/>
        <w:wordWrap w:val="0"/>
        <w:overflowPunct/>
        <w:topLinePunct w:val="0"/>
        <w:bidi w:val="0"/>
        <w:snapToGrid/>
        <w:spacing w:line="560" w:lineRule="exact"/>
        <w:ind w:firstLine="640" w:firstLineChars="200"/>
        <w:jc w:val="both"/>
        <w:textAlignment w:val="auto"/>
        <w:rPr>
          <w:rFonts w:ascii="仿宋_GB2312" w:hAnsi="仿宋" w:eastAsia="仿宋_GB2312"/>
          <w:color w:val="auto"/>
          <w:sz w:val="32"/>
          <w:szCs w:val="32"/>
          <w:highlight w:val="none"/>
        </w:rPr>
      </w:pPr>
      <w:r>
        <w:rPr>
          <w:rFonts w:ascii="仿宋_GB2312" w:hAnsi="仿宋" w:eastAsia="仿宋_GB2312"/>
          <w:color w:val="auto"/>
          <w:sz w:val="32"/>
          <w:szCs w:val="32"/>
          <w:highlight w:val="none"/>
        </w:rPr>
        <w:t>坚持农业农村优先发展的总方针，</w:t>
      </w:r>
      <w:r>
        <w:rPr>
          <w:rFonts w:hint="eastAsia" w:ascii="仿宋_GB2312" w:hAnsi="仿宋" w:eastAsia="仿宋_GB2312"/>
          <w:color w:val="auto"/>
          <w:sz w:val="32"/>
          <w:szCs w:val="32"/>
          <w:highlight w:val="none"/>
          <w:lang w:eastAsia="zh-CN"/>
        </w:rPr>
        <w:t>全面实施“城乡融合发展十项重大工程”。</w:t>
      </w:r>
      <w:r>
        <w:rPr>
          <w:rFonts w:ascii="仿宋_GB2312" w:hAnsi="仿宋" w:eastAsia="仿宋_GB2312"/>
          <w:color w:val="auto"/>
          <w:sz w:val="32"/>
          <w:szCs w:val="32"/>
          <w:highlight w:val="none"/>
        </w:rPr>
        <w:t>巩固脱贫攻坚成果</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全面推进乡村振兴。大力建设产业兴旺、生态宜居、乡风文明、治理有效、生活富裕的美丽乡村。</w:t>
      </w:r>
    </w:p>
    <w:p>
      <w:pPr>
        <w:pStyle w:val="4"/>
        <w:pageBreakBefore w:val="0"/>
        <w:widowControl w:val="0"/>
        <w:kinsoku/>
        <w:overflowPunct/>
        <w:topLinePunct w:val="0"/>
        <w:bidi w:val="0"/>
        <w:snapToGrid/>
        <w:spacing w:line="560" w:lineRule="exact"/>
        <w:jc w:val="center"/>
        <w:textAlignment w:val="auto"/>
        <w:rPr>
          <w:rFonts w:ascii="Times New Roman" w:hAnsi="Times New Roman" w:eastAsia="楷体_GB2312"/>
          <w:b w:val="0"/>
          <w:bCs w:val="0"/>
          <w:color w:val="auto"/>
          <w:highlight w:val="none"/>
        </w:rPr>
      </w:pPr>
      <w:bookmarkStart w:id="124" w:name="_Toc57914200"/>
      <w:bookmarkStart w:id="125" w:name="_Toc31763_WPSOffice_Level2"/>
      <w:bookmarkStart w:id="126" w:name="_Toc8473_WPSOffice_Level2"/>
      <w:bookmarkStart w:id="127" w:name="_Toc6945_WPSOffice_Level2"/>
      <w:r>
        <w:rPr>
          <w:rFonts w:hint="eastAsia"/>
          <w:color w:val="auto"/>
          <w:highlight w:val="none"/>
        </w:rPr>
        <w:t xml:space="preserve">第一节 </w:t>
      </w:r>
      <w:bookmarkEnd w:id="124"/>
      <w:bookmarkEnd w:id="125"/>
      <w:r>
        <w:rPr>
          <w:rFonts w:hint="eastAsia"/>
          <w:color w:val="auto"/>
          <w:highlight w:val="none"/>
        </w:rPr>
        <w:t>实施乡村建设行动</w:t>
      </w:r>
      <w:bookmarkEnd w:id="126"/>
      <w:bookmarkEnd w:id="127"/>
    </w:p>
    <w:p>
      <w:pPr>
        <w:pageBreakBefore w:val="0"/>
        <w:widowControl w:val="0"/>
        <w:kinsoku/>
        <w:wordWrap w:val="0"/>
        <w:overflowPunct/>
        <w:topLinePunct w:val="0"/>
        <w:bidi w:val="0"/>
        <w:snapToGrid/>
        <w:spacing w:line="560" w:lineRule="exact"/>
        <w:ind w:firstLine="640" w:firstLineChars="200"/>
        <w:textAlignment w:val="auto"/>
        <w:outlineLvl w:val="2"/>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以村庄规划为导向，以建设生态宜居美丽乡村为目标，以完善乡村公共服务设施和基础设施为抓手，促进乡村生产生活生态融合。深入实施乡村建设行动，确保农村和垦区发展与自由贸易港建设同步推进。</w:t>
      </w:r>
    </w:p>
    <w:p>
      <w:pPr>
        <w:pageBreakBefore w:val="0"/>
        <w:widowControl w:val="0"/>
        <w:kinsoku/>
        <w:wordWrap w:val="0"/>
        <w:overflowPunct/>
        <w:topLinePunct w:val="0"/>
        <w:bidi w:val="0"/>
        <w:snapToGrid/>
        <w:spacing w:line="560" w:lineRule="exact"/>
        <w:ind w:firstLine="643" w:firstLineChars="200"/>
        <w:textAlignment w:val="auto"/>
        <w:outlineLvl w:val="2"/>
        <w:rPr>
          <w:rFonts w:ascii="仿宋_GB2312" w:hAnsi="Times New Roman" w:eastAsia="仿宋_GB2312"/>
          <w:color w:val="auto"/>
          <w:sz w:val="32"/>
          <w:szCs w:val="32"/>
          <w:highlight w:val="none"/>
          <w:lang w:val="zh-CN"/>
        </w:rPr>
      </w:pPr>
      <w:r>
        <w:rPr>
          <w:rFonts w:hint="eastAsia" w:ascii="仿宋_GB2312" w:hAnsi="仿宋_GB2312" w:eastAsia="仿宋_GB2312" w:cs="仿宋_GB2312"/>
          <w:b/>
          <w:bCs/>
          <w:color w:val="auto"/>
          <w:sz w:val="32"/>
          <w:szCs w:val="32"/>
          <w:highlight w:val="none"/>
          <w:lang w:eastAsia="zh-CN"/>
        </w:rPr>
        <w:t>加强村庄规划。</w:t>
      </w:r>
      <w:r>
        <w:rPr>
          <w:rFonts w:hint="eastAsia" w:ascii="仿宋_GB2312" w:hAnsi="仿宋" w:eastAsia="仿宋_GB2312"/>
          <w:color w:val="auto"/>
          <w:sz w:val="32"/>
          <w:szCs w:val="32"/>
          <w:highlight w:val="none"/>
          <w:lang w:eastAsia="zh-CN"/>
        </w:rPr>
        <w:t>科学</w:t>
      </w:r>
      <w:r>
        <w:rPr>
          <w:rFonts w:hint="eastAsia" w:ascii="仿宋_GB2312" w:hAnsi="仿宋" w:eastAsia="仿宋_GB2312"/>
          <w:color w:val="auto"/>
          <w:sz w:val="32"/>
          <w:szCs w:val="32"/>
          <w:highlight w:val="none"/>
        </w:rPr>
        <w:t>完成全市村庄规划编制，</w:t>
      </w:r>
      <w:r>
        <w:rPr>
          <w:rFonts w:hint="eastAsia" w:ascii="仿宋_GB2312" w:hAnsi="仿宋" w:eastAsia="仿宋_GB2312"/>
          <w:color w:val="auto"/>
          <w:sz w:val="32"/>
          <w:szCs w:val="32"/>
          <w:highlight w:val="none"/>
          <w:lang w:eastAsia="zh-CN"/>
        </w:rPr>
        <w:t>强化村庄国土空间管控。</w:t>
      </w:r>
      <w:r>
        <w:rPr>
          <w:rFonts w:hint="eastAsia" w:ascii="仿宋_GB2312" w:hAnsi="仿宋_GB2312" w:eastAsia="仿宋_GB2312" w:cs="仿宋_GB2312"/>
          <w:color w:val="auto"/>
          <w:sz w:val="32"/>
          <w:szCs w:val="32"/>
          <w:highlight w:val="none"/>
        </w:rPr>
        <w:t>突出儋州特有的地域环境、历史人文特色和建筑风格，塑造多元化乡村品牌</w:t>
      </w:r>
      <w:r>
        <w:rPr>
          <w:rFonts w:hint="eastAsia" w:ascii="仿宋_GB2312" w:hAnsi="仿宋_GB2312" w:eastAsia="仿宋_GB2312" w:cs="仿宋_GB2312"/>
          <w:color w:val="auto"/>
          <w:sz w:val="32"/>
          <w:szCs w:val="32"/>
          <w:highlight w:val="none"/>
          <w:lang w:eastAsia="zh-CN"/>
        </w:rPr>
        <w:t>，</w:t>
      </w:r>
      <w:r>
        <w:rPr>
          <w:rFonts w:hint="eastAsia" w:eastAsia="仿宋_GB2312"/>
          <w:color w:val="auto"/>
          <w:sz w:val="32"/>
          <w:highlight w:val="none"/>
          <w:lang w:val="zh-CN"/>
        </w:rPr>
        <w:t>推进乡村分类发展。</w:t>
      </w:r>
      <w:r>
        <w:rPr>
          <w:rFonts w:hint="eastAsia" w:ascii="仿宋_GB2312" w:hAnsi="仿宋_GB2312" w:eastAsia="仿宋_GB2312" w:cs="仿宋_GB2312"/>
          <w:color w:val="auto"/>
          <w:sz w:val="32"/>
          <w:szCs w:val="32"/>
          <w:highlight w:val="none"/>
        </w:rPr>
        <w:t>统筹配置乡村的教育、医疗、商业、娱乐等公共资源，规划建设服务中心、文体活动</w:t>
      </w:r>
      <w:r>
        <w:rPr>
          <w:rFonts w:hint="eastAsia" w:ascii="仿宋_GB2312" w:hAnsi="仿宋_GB2312" w:eastAsia="仿宋_GB2312" w:cs="仿宋_GB2312"/>
          <w:color w:val="auto"/>
          <w:sz w:val="32"/>
          <w:szCs w:val="32"/>
          <w:highlight w:val="none"/>
          <w:lang w:eastAsia="zh-CN"/>
        </w:rPr>
        <w:t>场所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公厕</w:t>
      </w:r>
      <w:r>
        <w:rPr>
          <w:rFonts w:hint="eastAsia" w:ascii="仿宋_GB2312" w:hAnsi="仿宋_GB2312" w:eastAsia="仿宋_GB2312" w:cs="仿宋_GB2312"/>
          <w:color w:val="auto"/>
          <w:sz w:val="32"/>
          <w:szCs w:val="32"/>
          <w:highlight w:val="none"/>
        </w:rPr>
        <w:t>等公共</w:t>
      </w:r>
      <w:r>
        <w:rPr>
          <w:rFonts w:hint="eastAsia" w:ascii="仿宋_GB2312" w:hAnsi="仿宋_GB2312" w:eastAsia="仿宋_GB2312" w:cs="仿宋_GB2312"/>
          <w:color w:val="auto"/>
          <w:sz w:val="32"/>
          <w:szCs w:val="32"/>
          <w:highlight w:val="none"/>
          <w:lang w:eastAsia="zh-CN"/>
        </w:rPr>
        <w:t>服务设施。</w:t>
      </w:r>
      <w:r>
        <w:rPr>
          <w:rFonts w:hint="eastAsia" w:ascii="仿宋_GB2312" w:hAnsi="仿宋" w:eastAsia="仿宋_GB2312"/>
          <w:color w:val="auto"/>
          <w:sz w:val="32"/>
          <w:szCs w:val="32"/>
          <w:highlight w:val="none"/>
        </w:rPr>
        <w:t>配套</w:t>
      </w:r>
      <w:r>
        <w:rPr>
          <w:rFonts w:hint="eastAsia" w:ascii="仿宋_GB2312" w:hAnsi="仿宋_GB2312" w:eastAsia="仿宋_GB2312" w:cs="仿宋_GB2312"/>
          <w:color w:val="auto"/>
          <w:sz w:val="32"/>
          <w:szCs w:val="32"/>
          <w:highlight w:val="none"/>
        </w:rPr>
        <w:t>完善乡村农贸市场、速递配送、餐饮娱乐等大众化服务网点。</w:t>
      </w:r>
      <w:r>
        <w:rPr>
          <w:rFonts w:hint="eastAsia" w:ascii="仿宋_GB2312" w:hAnsi="Times New Roman" w:eastAsia="仿宋_GB2312"/>
          <w:color w:val="auto"/>
          <w:sz w:val="32"/>
          <w:szCs w:val="32"/>
          <w:highlight w:val="none"/>
          <w:lang w:val="zh-CN"/>
        </w:rPr>
        <w:t>构建和保护</w:t>
      </w:r>
      <w:r>
        <w:rPr>
          <w:rFonts w:ascii="仿宋_GB2312" w:hAnsi="Times New Roman" w:eastAsia="仿宋_GB2312"/>
          <w:color w:val="auto"/>
          <w:sz w:val="32"/>
          <w:szCs w:val="32"/>
          <w:highlight w:val="none"/>
          <w:lang w:val="zh-CN"/>
        </w:rPr>
        <w:t>乡</w:t>
      </w:r>
      <w:r>
        <w:rPr>
          <w:rFonts w:hint="eastAsia" w:ascii="仿宋_GB2312" w:hAnsi="Times New Roman" w:eastAsia="仿宋_GB2312"/>
          <w:color w:val="auto"/>
          <w:sz w:val="32"/>
          <w:szCs w:val="32"/>
          <w:highlight w:val="none"/>
          <w:lang w:val="zh-CN"/>
        </w:rPr>
        <w:t>土树木、河</w:t>
      </w:r>
      <w:r>
        <w:rPr>
          <w:rFonts w:ascii="仿宋_GB2312" w:hAnsi="Times New Roman" w:eastAsia="仿宋_GB2312"/>
          <w:color w:val="auto"/>
          <w:sz w:val="32"/>
          <w:szCs w:val="32"/>
          <w:highlight w:val="none"/>
          <w:lang w:val="zh-CN"/>
        </w:rPr>
        <w:t>流</w:t>
      </w:r>
      <w:r>
        <w:rPr>
          <w:rFonts w:hint="eastAsia" w:ascii="仿宋_GB2312" w:hAnsi="Times New Roman" w:eastAsia="仿宋_GB2312"/>
          <w:color w:val="auto"/>
          <w:sz w:val="32"/>
          <w:szCs w:val="32"/>
          <w:highlight w:val="none"/>
          <w:lang w:val="zh-CN"/>
        </w:rPr>
        <w:t>水系</w:t>
      </w:r>
      <w:r>
        <w:rPr>
          <w:rFonts w:ascii="仿宋_GB2312" w:hAnsi="Times New Roman" w:eastAsia="仿宋_GB2312"/>
          <w:color w:val="auto"/>
          <w:sz w:val="32"/>
          <w:szCs w:val="32"/>
          <w:highlight w:val="none"/>
          <w:lang w:val="zh-CN"/>
        </w:rPr>
        <w:t>、绿地</w:t>
      </w:r>
      <w:r>
        <w:rPr>
          <w:rFonts w:hint="eastAsia" w:ascii="仿宋_GB2312" w:hAnsi="Times New Roman" w:eastAsia="仿宋_GB2312"/>
          <w:color w:val="auto"/>
          <w:sz w:val="32"/>
          <w:szCs w:val="32"/>
          <w:highlight w:val="none"/>
          <w:lang w:val="zh-CN"/>
        </w:rPr>
        <w:t>湿地</w:t>
      </w:r>
      <w:r>
        <w:rPr>
          <w:rFonts w:ascii="仿宋_GB2312" w:hAnsi="Times New Roman" w:eastAsia="仿宋_GB2312"/>
          <w:color w:val="auto"/>
          <w:sz w:val="32"/>
          <w:szCs w:val="32"/>
          <w:highlight w:val="none"/>
          <w:lang w:val="zh-CN"/>
        </w:rPr>
        <w:t>，</w:t>
      </w:r>
      <w:r>
        <w:rPr>
          <w:rFonts w:hint="eastAsia" w:ascii="仿宋_GB2312" w:hAnsi="Times New Roman" w:eastAsia="仿宋_GB2312"/>
          <w:color w:val="auto"/>
          <w:sz w:val="32"/>
          <w:szCs w:val="32"/>
          <w:highlight w:val="none"/>
          <w:lang w:val="zh-CN"/>
        </w:rPr>
        <w:t>打造生态优美的农村休闲场所</w:t>
      </w:r>
      <w:r>
        <w:rPr>
          <w:rFonts w:ascii="仿宋_GB2312" w:hAnsi="Times New Roman" w:eastAsia="仿宋_GB2312"/>
          <w:color w:val="auto"/>
          <w:sz w:val="32"/>
          <w:szCs w:val="32"/>
          <w:highlight w:val="none"/>
          <w:lang w:val="zh-CN"/>
        </w:rPr>
        <w:t>。</w:t>
      </w:r>
    </w:p>
    <w:p>
      <w:pPr>
        <w:pageBreakBefore w:val="0"/>
        <w:widowControl w:val="0"/>
        <w:kinsoku/>
        <w:wordWrap w:val="0"/>
        <w:overflowPunct/>
        <w:topLinePunct w:val="0"/>
        <w:bidi w:val="0"/>
        <w:snapToGrid/>
        <w:spacing w:line="560" w:lineRule="exact"/>
        <w:ind w:firstLine="643" w:firstLineChars="200"/>
        <w:textAlignment w:val="auto"/>
        <w:outlineLvl w:val="2"/>
        <w:rPr>
          <w:rFonts w:ascii="仿宋_GB2312" w:hAnsi="Times New Roman" w:eastAsia="仿宋_GB2312"/>
          <w:color w:val="auto"/>
          <w:sz w:val="32"/>
          <w:szCs w:val="32"/>
          <w:highlight w:val="none"/>
          <w:lang w:val="zh-CN"/>
        </w:rPr>
      </w:pPr>
      <w:r>
        <w:rPr>
          <w:rFonts w:hint="eastAsia" w:ascii="仿宋_GB2312" w:hAnsi="仿宋_GB2312" w:eastAsia="仿宋_GB2312" w:cs="仿宋_GB2312"/>
          <w:b/>
          <w:bCs/>
          <w:color w:val="auto"/>
          <w:sz w:val="32"/>
          <w:szCs w:val="32"/>
          <w:highlight w:val="none"/>
        </w:rPr>
        <w:t>深入推进百镇千村建设</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提升“美丽海南百镇千村”建设水平，全力推进中和东坡文化千年古镇、兰洋温泉养生休闲小镇、光村雪茄风情小镇等一批特色小镇建设。保护传统村落、黎苗村寨、红色村寨、滨海渔村，塑造乡村特色风貌。</w:t>
      </w:r>
      <w:r>
        <w:rPr>
          <w:rFonts w:hint="eastAsia" w:ascii="仿宋_GB2312" w:hAnsi="Times New Roman" w:eastAsia="仿宋_GB2312"/>
          <w:b w:val="0"/>
          <w:bCs w:val="0"/>
          <w:color w:val="auto"/>
          <w:sz w:val="32"/>
          <w:szCs w:val="32"/>
          <w:highlight w:val="none"/>
          <w:lang w:val="zh-CN"/>
        </w:rPr>
        <w:t>建设</w:t>
      </w:r>
      <w:r>
        <w:rPr>
          <w:rFonts w:ascii="仿宋_GB2312" w:hAnsi="Times New Roman" w:eastAsia="仿宋_GB2312"/>
          <w:color w:val="auto"/>
          <w:sz w:val="32"/>
          <w:szCs w:val="32"/>
          <w:highlight w:val="none"/>
          <w:lang w:val="zh-CN"/>
        </w:rPr>
        <w:t>大成新风村、中和七里村</w:t>
      </w:r>
      <w:r>
        <w:rPr>
          <w:rFonts w:hint="eastAsia" w:ascii="仿宋_GB2312" w:hAnsi="Times New Roman" w:eastAsia="仿宋_GB2312"/>
          <w:color w:val="auto"/>
          <w:sz w:val="32"/>
          <w:szCs w:val="32"/>
          <w:highlight w:val="none"/>
          <w:lang w:val="zh-CN"/>
        </w:rPr>
        <w:t>、那大石屋村</w:t>
      </w:r>
      <w:r>
        <w:rPr>
          <w:rFonts w:ascii="仿宋_GB2312" w:hAnsi="Times New Roman" w:eastAsia="仿宋_GB2312"/>
          <w:color w:val="auto"/>
          <w:sz w:val="32"/>
          <w:szCs w:val="32"/>
          <w:highlight w:val="none"/>
          <w:lang w:val="zh-CN"/>
        </w:rPr>
        <w:t>等</w:t>
      </w:r>
      <w:r>
        <w:rPr>
          <w:rFonts w:hint="eastAsia" w:ascii="仿宋_GB2312" w:hAnsi="Times New Roman" w:eastAsia="仿宋_GB2312"/>
          <w:color w:val="auto"/>
          <w:sz w:val="32"/>
          <w:szCs w:val="32"/>
          <w:highlight w:val="none"/>
          <w:lang w:val="zh-CN"/>
        </w:rPr>
        <w:t>一批</w:t>
      </w:r>
      <w:r>
        <w:rPr>
          <w:rFonts w:ascii="仿宋_GB2312" w:hAnsi="Times New Roman" w:eastAsia="仿宋_GB2312"/>
          <w:color w:val="auto"/>
          <w:sz w:val="32"/>
          <w:szCs w:val="32"/>
          <w:highlight w:val="none"/>
          <w:lang w:val="zh-CN"/>
        </w:rPr>
        <w:t>美丽乡村</w:t>
      </w:r>
      <w:r>
        <w:rPr>
          <w:rFonts w:hint="eastAsia" w:ascii="仿宋_GB2312" w:hAnsi="Times New Roman" w:eastAsia="仿宋_GB2312"/>
          <w:color w:val="auto"/>
          <w:sz w:val="32"/>
          <w:szCs w:val="32"/>
          <w:highlight w:val="none"/>
          <w:lang w:val="zh-CN"/>
        </w:rPr>
        <w:t>。探索财政资金撬动、社会资本进入、农民积极参与的建设模式，建设一批五星级</w:t>
      </w:r>
      <w:r>
        <w:rPr>
          <w:rFonts w:hint="eastAsia" w:ascii="仿宋_GB2312" w:eastAsia="仿宋_GB2312"/>
          <w:color w:val="auto"/>
          <w:sz w:val="32"/>
          <w:szCs w:val="32"/>
          <w:highlight w:val="none"/>
          <w:lang w:val="zh-CN"/>
        </w:rPr>
        <w:t>椰级</w:t>
      </w:r>
      <w:r>
        <w:rPr>
          <w:rFonts w:hint="eastAsia" w:ascii="仿宋_GB2312" w:hAnsi="Times New Roman" w:eastAsia="仿宋_GB2312"/>
          <w:color w:val="auto"/>
          <w:sz w:val="32"/>
          <w:szCs w:val="32"/>
          <w:highlight w:val="none"/>
          <w:lang w:val="zh-CN"/>
        </w:rPr>
        <w:t>乡村。</w:t>
      </w:r>
      <w:r>
        <w:rPr>
          <w:rFonts w:ascii="仿宋_GB2312" w:hAnsi="Times New Roman" w:eastAsia="仿宋_GB2312"/>
          <w:color w:val="auto"/>
          <w:sz w:val="32"/>
          <w:szCs w:val="32"/>
          <w:highlight w:val="none"/>
          <w:lang w:val="zh-CN"/>
        </w:rPr>
        <w:t>到2025年，</w:t>
      </w:r>
      <w:r>
        <w:rPr>
          <w:rFonts w:hint="eastAsia" w:ascii="仿宋_GB2312" w:hAnsi="仿宋_GB2312" w:eastAsia="仿宋_GB2312" w:cs="仿宋_GB2312"/>
          <w:color w:val="auto"/>
          <w:sz w:val="32"/>
          <w:szCs w:val="32"/>
          <w:highlight w:val="none"/>
          <w:lang w:val="en-US" w:eastAsia="zh-CN"/>
        </w:rPr>
        <w:t>建成一批规划科学布局美、设施配套功能美、生态人居环境美、产业发展生活美、乡风文明和谐美的美丽乡村</w:t>
      </w:r>
      <w:r>
        <w:rPr>
          <w:rFonts w:ascii="仿宋_GB2312" w:hAnsi="Times New Roman" w:eastAsia="仿宋_GB2312"/>
          <w:color w:val="auto"/>
          <w:sz w:val="32"/>
          <w:szCs w:val="32"/>
          <w:highlight w:val="none"/>
          <w:lang w:val="zh-CN"/>
        </w:rPr>
        <w:t>。</w:t>
      </w:r>
      <w:r>
        <w:rPr>
          <w:rFonts w:hint="eastAsia" w:ascii="仿宋_GB2312" w:hAnsi="Times New Roman" w:eastAsia="仿宋_GB2312"/>
          <w:b/>
          <w:bCs/>
          <w:color w:val="auto"/>
          <w:sz w:val="32"/>
          <w:szCs w:val="32"/>
          <w:highlight w:val="none"/>
          <w:lang w:val="zh-CN"/>
        </w:rPr>
        <w:t>发展乡村特色产业。</w:t>
      </w:r>
      <w:r>
        <w:rPr>
          <w:rFonts w:hint="eastAsia" w:ascii="仿宋_GB2312" w:hAnsi="Times New Roman" w:eastAsia="仿宋_GB2312"/>
          <w:color w:val="auto"/>
          <w:sz w:val="32"/>
          <w:szCs w:val="32"/>
          <w:highlight w:val="none"/>
          <w:lang w:val="zh-CN"/>
        </w:rPr>
        <w:t>支持</w:t>
      </w:r>
      <w:r>
        <w:rPr>
          <w:rFonts w:ascii="仿宋_GB2312" w:hAnsi="Times New Roman" w:eastAsia="仿宋_GB2312"/>
          <w:color w:val="auto"/>
          <w:sz w:val="32"/>
          <w:szCs w:val="32"/>
          <w:highlight w:val="none"/>
          <w:lang w:val="zh-CN"/>
        </w:rPr>
        <w:t>村镇通过盘活资源、经营村镇等方式</w:t>
      </w:r>
      <w:r>
        <w:rPr>
          <w:rFonts w:hint="eastAsia" w:ascii="仿宋_GB2312" w:hAnsi="Times New Roman" w:eastAsia="仿宋_GB2312"/>
          <w:color w:val="auto"/>
          <w:sz w:val="32"/>
          <w:szCs w:val="32"/>
          <w:highlight w:val="none"/>
          <w:lang w:val="zh-CN"/>
        </w:rPr>
        <w:t>与企业合作，参与特色产业建设。</w:t>
      </w:r>
      <w:r>
        <w:rPr>
          <w:rFonts w:ascii="仿宋_GB2312" w:hAnsi="Times New Roman" w:eastAsia="仿宋_GB2312"/>
          <w:color w:val="auto"/>
          <w:sz w:val="32"/>
          <w:szCs w:val="32"/>
          <w:highlight w:val="none"/>
          <w:lang w:val="zh-CN"/>
        </w:rPr>
        <w:t>围绕</w:t>
      </w:r>
      <w:r>
        <w:rPr>
          <w:rFonts w:hint="eastAsia" w:ascii="仿宋_GB2312" w:hAnsi="Times New Roman" w:eastAsia="仿宋_GB2312"/>
          <w:color w:val="auto"/>
          <w:sz w:val="32"/>
          <w:szCs w:val="32"/>
          <w:highlight w:val="none"/>
          <w:lang w:val="zh-CN"/>
        </w:rPr>
        <w:t>特色小镇、美丽乡村的</w:t>
      </w:r>
      <w:r>
        <w:rPr>
          <w:rFonts w:ascii="仿宋_GB2312" w:hAnsi="Times New Roman" w:eastAsia="仿宋_GB2312"/>
          <w:color w:val="auto"/>
          <w:sz w:val="32"/>
          <w:szCs w:val="32"/>
          <w:highlight w:val="none"/>
          <w:lang w:val="zh-CN"/>
        </w:rPr>
        <w:t>产业定位，重点谋划一批</w:t>
      </w:r>
      <w:r>
        <w:rPr>
          <w:rFonts w:hint="eastAsia" w:ascii="仿宋_GB2312" w:hAnsi="Times New Roman" w:eastAsia="仿宋_GB2312"/>
          <w:color w:val="auto"/>
          <w:sz w:val="32"/>
          <w:szCs w:val="32"/>
          <w:highlight w:val="none"/>
          <w:lang w:val="zh-CN"/>
        </w:rPr>
        <w:t>共享农庄、庭院经济、休闲民宿</w:t>
      </w:r>
      <w:r>
        <w:rPr>
          <w:rFonts w:hint="eastAsia" w:ascii="仿宋_GB2312" w:eastAsia="仿宋_GB2312"/>
          <w:color w:val="auto"/>
          <w:sz w:val="32"/>
          <w:szCs w:val="32"/>
          <w:highlight w:val="none"/>
          <w:lang w:val="zh-CN"/>
        </w:rPr>
        <w:t>等特色产业项目，支撑百镇千村建设。</w:t>
      </w:r>
    </w:p>
    <w:p>
      <w:pPr>
        <w:pStyle w:val="4"/>
        <w:pageBreakBefore w:val="0"/>
        <w:widowControl w:val="0"/>
        <w:kinsoku/>
        <w:overflowPunct/>
        <w:topLinePunct w:val="0"/>
        <w:bidi w:val="0"/>
        <w:snapToGrid/>
        <w:spacing w:line="560" w:lineRule="exact"/>
        <w:textAlignment w:val="auto"/>
        <w:rPr>
          <w:rFonts w:hint="eastAsia"/>
          <w:color w:val="auto"/>
          <w:highlight w:val="none"/>
          <w:lang w:eastAsia="zh-CN"/>
        </w:rPr>
      </w:pPr>
      <w:bookmarkStart w:id="128" w:name="_Toc31647_WPSOffice_Level2"/>
      <w:bookmarkStart w:id="129" w:name="_Toc5444_WPSOffice_Level2"/>
      <w:bookmarkStart w:id="130" w:name="_Toc20657_WPSOffice_Level2"/>
      <w:bookmarkStart w:id="131" w:name="_Toc57914201"/>
      <w:r>
        <w:rPr>
          <w:rFonts w:hint="eastAsia"/>
          <w:color w:val="auto"/>
          <w:highlight w:val="none"/>
          <w:lang w:eastAsia="zh-CN"/>
        </w:rPr>
        <w:t>第二节</w:t>
      </w:r>
      <w:r>
        <w:rPr>
          <w:rFonts w:hint="eastAsia"/>
          <w:color w:val="auto"/>
          <w:highlight w:val="none"/>
          <w:lang w:val="en-US" w:eastAsia="zh-CN"/>
        </w:rPr>
        <w:t xml:space="preserve"> 持续推进农村人居环境综合整治</w:t>
      </w:r>
      <w:bookmarkEnd w:id="128"/>
      <w:bookmarkEnd w:id="129"/>
    </w:p>
    <w:bookmarkEnd w:id="130"/>
    <w:bookmarkEnd w:id="131"/>
    <w:p>
      <w:pPr>
        <w:pageBreakBefore w:val="0"/>
        <w:widowControl w:val="0"/>
        <w:kinsoku/>
        <w:wordWrap w:val="0"/>
        <w:overflowPunct/>
        <w:topLinePunct w:val="0"/>
        <w:bidi w:val="0"/>
        <w:snapToGrid/>
        <w:spacing w:line="560" w:lineRule="exact"/>
        <w:ind w:firstLine="640" w:firstLineChars="200"/>
        <w:textAlignment w:val="auto"/>
        <w:outlineLvl w:val="2"/>
        <w:rPr>
          <w:rFonts w:hint="eastAsia"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lang w:eastAsia="zh-CN"/>
        </w:rPr>
        <w:t>实施统筹城乡人居环境改善工程。</w:t>
      </w:r>
      <w:r>
        <w:rPr>
          <w:rFonts w:hint="eastAsia" w:ascii="仿宋_GB2312" w:hAnsi="Times New Roman" w:eastAsia="仿宋_GB2312"/>
          <w:color w:val="auto"/>
          <w:sz w:val="32"/>
          <w:szCs w:val="32"/>
          <w:highlight w:val="none"/>
        </w:rPr>
        <w:t>以“五网”建设为核心</w:t>
      </w:r>
      <w:r>
        <w:rPr>
          <w:rFonts w:hint="eastAsia" w:ascii="仿宋_GB2312" w:eastAsia="仿宋_GB2312"/>
          <w:color w:val="auto"/>
          <w:sz w:val="32"/>
          <w:szCs w:val="32"/>
          <w:highlight w:val="none"/>
          <w:lang w:eastAsia="zh-CN"/>
        </w:rPr>
        <w:t>，以生活生产垃圾清理、农村污水、厕所革命、保洁机制建设、违法建筑整治为抓手，推进农村人居环境综合整治。</w:t>
      </w:r>
    </w:p>
    <w:p>
      <w:pPr>
        <w:pageBreakBefore w:val="0"/>
        <w:widowControl w:val="0"/>
        <w:kinsoku/>
        <w:wordWrap w:val="0"/>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（一）推动农村基础设施提档升级</w:t>
      </w:r>
    </w:p>
    <w:p>
      <w:pPr>
        <w:pStyle w:val="2"/>
        <w:pageBreakBefore w:val="0"/>
        <w:widowControl w:val="0"/>
        <w:kinsoku/>
        <w:overflowPunct/>
        <w:topLinePunct w:val="0"/>
        <w:bidi w:val="0"/>
        <w:snapToGrid/>
        <w:spacing w:line="560" w:lineRule="exact"/>
        <w:ind w:firstLine="643" w:firstLineChars="200"/>
        <w:jc w:val="both"/>
        <w:textAlignment w:val="auto"/>
        <w:rPr>
          <w:rFonts w:ascii="仿宋_GB2312" w:hAnsi="Times New Roman" w:eastAsia="仿宋_GB2312"/>
          <w:color w:val="auto"/>
          <w:sz w:val="32"/>
          <w:szCs w:val="32"/>
          <w:highlight w:val="none"/>
        </w:rPr>
      </w:pPr>
      <w:r>
        <w:rPr>
          <w:rFonts w:hint="eastAsia" w:ascii="仿宋_GB2312" w:hAnsi="Times New Roman" w:eastAsia="仿宋_GB2312"/>
          <w:b/>
          <w:bCs/>
          <w:color w:val="auto"/>
          <w:sz w:val="32"/>
          <w:szCs w:val="32"/>
          <w:highlight w:val="none"/>
        </w:rPr>
        <w:t>水网</w:t>
      </w:r>
      <w:r>
        <w:rPr>
          <w:rFonts w:hint="eastAsia" w:ascii="仿宋_GB2312" w:hAnsi="Times New Roman" w:eastAsia="仿宋_GB2312"/>
          <w:b/>
          <w:bCs/>
          <w:color w:val="auto"/>
          <w:sz w:val="32"/>
          <w:szCs w:val="32"/>
          <w:highlight w:val="none"/>
          <w:lang w:eastAsia="zh-CN"/>
        </w:rPr>
        <w:t>——</w:t>
      </w:r>
      <w:r>
        <w:rPr>
          <w:rFonts w:hint="eastAsia" w:ascii="仿宋_GB2312" w:hAnsi="Times New Roman" w:eastAsia="仿宋_GB2312"/>
          <w:b/>
          <w:bCs/>
          <w:color w:val="auto"/>
          <w:sz w:val="32"/>
          <w:szCs w:val="32"/>
          <w:highlight w:val="none"/>
        </w:rPr>
        <w:t>加快</w:t>
      </w:r>
      <w:r>
        <w:rPr>
          <w:rFonts w:hint="eastAsia" w:ascii="仿宋_GB2312" w:hAnsi="Times New Roman" w:eastAsia="仿宋_GB2312"/>
          <w:b/>
          <w:bCs/>
          <w:color w:val="auto"/>
          <w:sz w:val="32"/>
          <w:szCs w:val="32"/>
          <w:highlight w:val="none"/>
          <w:lang w:val="zh-CN"/>
        </w:rPr>
        <w:t>饮水安全、污水处理、水系综合整治</w:t>
      </w:r>
      <w:r>
        <w:rPr>
          <w:rFonts w:hint="eastAsia" w:ascii="仿宋_GB2312" w:hAnsi="Times New Roman" w:eastAsia="仿宋_GB2312"/>
          <w:b/>
          <w:bCs/>
          <w:color w:val="auto"/>
          <w:sz w:val="32"/>
          <w:szCs w:val="32"/>
          <w:highlight w:val="none"/>
        </w:rPr>
        <w:t>。</w:t>
      </w:r>
      <w:r>
        <w:rPr>
          <w:rFonts w:hint="eastAsia" w:ascii="仿宋_GB2312" w:hAnsi="Times New Roman" w:eastAsia="仿宋_GB2312"/>
          <w:color w:val="auto"/>
          <w:sz w:val="32"/>
          <w:szCs w:val="32"/>
          <w:highlight w:val="none"/>
        </w:rPr>
        <w:t>实施农村安全饮水</w:t>
      </w:r>
      <w:r>
        <w:rPr>
          <w:rFonts w:hint="eastAsia" w:ascii="仿宋_GB2312" w:hAnsi="Times New Roman" w:eastAsia="仿宋_GB2312"/>
          <w:color w:val="auto"/>
          <w:sz w:val="32"/>
          <w:szCs w:val="32"/>
          <w:highlight w:val="none"/>
          <w:lang w:eastAsia="zh-CN"/>
        </w:rPr>
        <w:t>和城乡供水管网延伸工程</w:t>
      </w:r>
      <w:r>
        <w:rPr>
          <w:rFonts w:hint="eastAsia" w:ascii="仿宋_GB2312" w:hAnsi="Times New Roman" w:eastAsia="仿宋_GB2312"/>
          <w:color w:val="auto"/>
          <w:sz w:val="32"/>
          <w:szCs w:val="32"/>
          <w:highlight w:val="none"/>
        </w:rPr>
        <w:t>，到2025年，农村自来水普及率达</w:t>
      </w:r>
      <w:r>
        <w:rPr>
          <w:rFonts w:hint="eastAsia" w:ascii="仿宋_GB2312" w:hAnsi="Times New Roman" w:eastAsia="仿宋_GB2312"/>
          <w:color w:val="auto"/>
          <w:sz w:val="32"/>
          <w:szCs w:val="32"/>
          <w:highlight w:val="none"/>
          <w:lang w:val="en-US" w:eastAsia="zh-CN"/>
        </w:rPr>
        <w:t>90</w:t>
      </w:r>
      <w:r>
        <w:rPr>
          <w:rFonts w:hint="eastAsia" w:ascii="仿宋_GB2312" w:hAnsi="Times New Roman" w:eastAsia="仿宋_GB2312"/>
          <w:color w:val="auto"/>
          <w:sz w:val="32"/>
          <w:szCs w:val="32"/>
          <w:highlight w:val="none"/>
        </w:rPr>
        <w:t>%以上。推进农村污水处理设施及配套雨污分流管网工程建设，增强镇区集中供水排水保障能力</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rPr>
        <w:t>因地制宜推广大</w:t>
      </w:r>
      <w:r>
        <w:rPr>
          <w:rFonts w:hint="eastAsia" w:ascii="仿宋_GB2312" w:hAnsi="Times New Roman" w:eastAsia="仿宋_GB2312"/>
          <w:color w:val="auto"/>
          <w:sz w:val="32"/>
          <w:szCs w:val="32"/>
          <w:highlight w:val="none"/>
          <w:lang w:eastAsia="zh-CN"/>
        </w:rPr>
        <w:t>成</w:t>
      </w:r>
      <w:r>
        <w:rPr>
          <w:rFonts w:hint="eastAsia" w:ascii="仿宋_GB2312" w:hAnsi="Times New Roman" w:eastAsia="仿宋_GB2312"/>
          <w:color w:val="auto"/>
          <w:sz w:val="32"/>
          <w:szCs w:val="32"/>
          <w:highlight w:val="none"/>
        </w:rPr>
        <w:t>镇推</w:t>
      </w:r>
      <w:r>
        <w:rPr>
          <w:rFonts w:hint="eastAsia" w:ascii="仿宋_GB2312" w:hAnsi="Times New Roman" w:eastAsia="仿宋_GB2312"/>
          <w:color w:val="auto"/>
          <w:sz w:val="32"/>
          <w:szCs w:val="32"/>
          <w:highlight w:val="none"/>
          <w:lang w:eastAsia="zh-CN"/>
        </w:rPr>
        <w:t>赛</w:t>
      </w:r>
      <w:r>
        <w:rPr>
          <w:rFonts w:hint="eastAsia" w:ascii="仿宋_GB2312" w:hAnsi="Times New Roman" w:eastAsia="仿宋_GB2312"/>
          <w:color w:val="auto"/>
          <w:sz w:val="32"/>
          <w:szCs w:val="32"/>
          <w:highlight w:val="none"/>
        </w:rPr>
        <w:t>村委会沉砂池处理模式，到2</w:t>
      </w:r>
      <w:r>
        <w:rPr>
          <w:rFonts w:ascii="仿宋_GB2312" w:hAnsi="Times New Roman" w:eastAsia="仿宋_GB2312"/>
          <w:color w:val="auto"/>
          <w:sz w:val="32"/>
          <w:szCs w:val="32"/>
          <w:highlight w:val="none"/>
        </w:rPr>
        <w:t>025</w:t>
      </w:r>
      <w:r>
        <w:rPr>
          <w:rFonts w:hint="eastAsia" w:ascii="仿宋_GB2312" w:hAnsi="Times New Roman" w:eastAsia="仿宋_GB2312"/>
          <w:color w:val="auto"/>
          <w:sz w:val="32"/>
          <w:szCs w:val="32"/>
          <w:highlight w:val="none"/>
        </w:rPr>
        <w:t>年，</w:t>
      </w:r>
      <w:r>
        <w:rPr>
          <w:rFonts w:hint="eastAsia" w:ascii="仿宋_GB2312" w:hAnsi="Times New Roman" w:eastAsia="仿宋_GB2312"/>
          <w:color w:val="auto"/>
          <w:sz w:val="32"/>
          <w:szCs w:val="32"/>
          <w:highlight w:val="none"/>
          <w:lang w:eastAsia="zh-CN"/>
        </w:rPr>
        <w:t>实现</w:t>
      </w:r>
      <w:r>
        <w:rPr>
          <w:rFonts w:hint="eastAsia" w:ascii="仿宋_GB2312" w:hAnsi="Times New Roman" w:eastAsia="仿宋_GB2312"/>
          <w:color w:val="auto"/>
          <w:sz w:val="32"/>
          <w:szCs w:val="32"/>
          <w:highlight w:val="none"/>
          <w:lang w:val="zh-CN"/>
        </w:rPr>
        <w:t>乡村</w:t>
      </w:r>
      <w:r>
        <w:rPr>
          <w:rFonts w:ascii="仿宋_GB2312" w:hAnsi="Times New Roman" w:eastAsia="仿宋_GB2312"/>
          <w:color w:val="auto"/>
          <w:sz w:val="32"/>
          <w:szCs w:val="32"/>
          <w:highlight w:val="none"/>
          <w:lang w:val="zh-CN"/>
        </w:rPr>
        <w:t>生活污水处理设施</w:t>
      </w:r>
      <w:r>
        <w:rPr>
          <w:rFonts w:hint="eastAsia" w:ascii="仿宋_GB2312" w:hAnsi="Times New Roman" w:eastAsia="仿宋_GB2312"/>
          <w:color w:val="auto"/>
          <w:sz w:val="32"/>
          <w:szCs w:val="32"/>
          <w:highlight w:val="none"/>
          <w:lang w:val="zh-CN"/>
        </w:rPr>
        <w:t>基本覆盖</w:t>
      </w:r>
      <w:r>
        <w:rPr>
          <w:rFonts w:hint="eastAsia" w:ascii="仿宋_GB2312" w:hAnsi="Times New Roman" w:eastAsia="仿宋_GB2312"/>
          <w:color w:val="auto"/>
          <w:sz w:val="32"/>
          <w:szCs w:val="32"/>
          <w:highlight w:val="none"/>
        </w:rPr>
        <w:t>。强化农村水系综合整治，实现“一河一景致”的水美乡村。</w:t>
      </w:r>
    </w:p>
    <w:p>
      <w:pPr>
        <w:pStyle w:val="2"/>
        <w:pageBreakBefore w:val="0"/>
        <w:widowControl w:val="0"/>
        <w:kinsoku/>
        <w:wordWrap w:val="0"/>
        <w:overflowPunct/>
        <w:topLinePunct w:val="0"/>
        <w:bidi w:val="0"/>
        <w:snapToGrid/>
        <w:spacing w:line="560" w:lineRule="exact"/>
        <w:ind w:firstLine="643" w:firstLineChars="200"/>
        <w:jc w:val="both"/>
        <w:textAlignment w:val="auto"/>
        <w:rPr>
          <w:rFonts w:ascii="仿宋_GB2312" w:hAnsi="Times New Roman" w:eastAsia="仿宋_GB2312"/>
          <w:color w:val="auto"/>
          <w:sz w:val="32"/>
          <w:szCs w:val="32"/>
          <w:highlight w:val="none"/>
        </w:rPr>
      </w:pPr>
      <w:r>
        <w:rPr>
          <w:rFonts w:hint="eastAsia" w:ascii="仿宋_GB2312" w:hAnsi="Times New Roman" w:eastAsia="仿宋_GB2312"/>
          <w:b/>
          <w:bCs/>
          <w:color w:val="auto"/>
          <w:sz w:val="32"/>
          <w:szCs w:val="32"/>
          <w:highlight w:val="none"/>
        </w:rPr>
        <w:t>路网</w:t>
      </w:r>
      <w:r>
        <w:rPr>
          <w:rFonts w:hint="eastAsia" w:ascii="仿宋_GB2312" w:hAnsi="Times New Roman" w:eastAsia="仿宋_GB2312"/>
          <w:b/>
          <w:bCs/>
          <w:color w:val="auto"/>
          <w:sz w:val="32"/>
          <w:szCs w:val="32"/>
          <w:highlight w:val="none"/>
          <w:lang w:eastAsia="zh-CN"/>
        </w:rPr>
        <w:t>——加快推进“四好”公路建设</w:t>
      </w:r>
      <w:r>
        <w:rPr>
          <w:rFonts w:hint="eastAsia" w:ascii="仿宋_GB2312" w:hAnsi="Times New Roman" w:eastAsia="仿宋_GB2312"/>
          <w:b/>
          <w:bCs/>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按照“适度超前、互联互通、安全高效、绿色智能”原则和“四好”农村公路相关要求，构建内联外通、结构合理的农村公路网，加强农村公路养护和管理力度，提升农村客运、物流服务水平，有效促进农村公路从“会战式”粗放型管理向“供给侧”精细化管理转变，将农村公路建成生态路、景观路、旅游路、致富路。实施城乡一体化公交工程，以畅通市内镇村、连接周边市县、衔接旅游景区景点为重点，推进公交进村、实现农民出行便捷化。</w:t>
      </w:r>
    </w:p>
    <w:p>
      <w:pPr>
        <w:pStyle w:val="2"/>
        <w:pageBreakBefore w:val="0"/>
        <w:widowControl w:val="0"/>
        <w:kinsoku/>
        <w:overflowPunct/>
        <w:topLinePunct w:val="0"/>
        <w:bidi w:val="0"/>
        <w:snapToGrid/>
        <w:spacing w:line="560" w:lineRule="exact"/>
        <w:ind w:firstLine="643" w:firstLineChars="200"/>
        <w:jc w:val="both"/>
        <w:textAlignment w:val="auto"/>
        <w:rPr>
          <w:rFonts w:hint="eastAsia" w:ascii="仿宋_GB2312" w:hAnsi="Times New Roman" w:eastAsia="仿宋_GB2312"/>
          <w:color w:val="auto"/>
          <w:sz w:val="32"/>
          <w:szCs w:val="32"/>
          <w:highlight w:val="none"/>
        </w:rPr>
      </w:pPr>
      <w:r>
        <w:rPr>
          <w:rFonts w:hint="eastAsia" w:ascii="仿宋_GB2312" w:hAnsi="Times New Roman" w:eastAsia="仿宋_GB2312"/>
          <w:b/>
          <w:bCs/>
          <w:color w:val="auto"/>
          <w:sz w:val="32"/>
          <w:szCs w:val="32"/>
          <w:highlight w:val="none"/>
        </w:rPr>
        <w:t>电网</w:t>
      </w:r>
      <w:r>
        <w:rPr>
          <w:rFonts w:hint="eastAsia" w:ascii="仿宋_GB2312" w:hAnsi="Times New Roman" w:eastAsia="仿宋_GB2312"/>
          <w:b/>
          <w:bCs/>
          <w:color w:val="auto"/>
          <w:sz w:val="32"/>
          <w:szCs w:val="32"/>
          <w:highlight w:val="none"/>
          <w:lang w:eastAsia="zh-CN"/>
        </w:rPr>
        <w:t>——</w:t>
      </w:r>
      <w:r>
        <w:rPr>
          <w:rFonts w:ascii="仿宋_GB2312" w:hAnsi="Times New Roman" w:eastAsia="仿宋_GB2312"/>
          <w:b/>
          <w:bCs/>
          <w:color w:val="auto"/>
          <w:sz w:val="32"/>
          <w:szCs w:val="32"/>
          <w:highlight w:val="none"/>
          <w:lang w:val="zh-CN"/>
        </w:rPr>
        <w:t>提升农村电网供电能力和服务质量</w:t>
      </w:r>
      <w:r>
        <w:rPr>
          <w:rFonts w:hint="eastAsia" w:ascii="仿宋_GB2312" w:hAnsi="Times New Roman" w:eastAsia="仿宋_GB2312"/>
          <w:b/>
          <w:bCs/>
          <w:color w:val="auto"/>
          <w:sz w:val="32"/>
          <w:szCs w:val="32"/>
          <w:highlight w:val="none"/>
          <w:lang w:val="zh-CN"/>
        </w:rPr>
        <w:t>。</w:t>
      </w:r>
      <w:r>
        <w:rPr>
          <w:rFonts w:hint="eastAsia" w:ascii="仿宋_GB2312" w:hAnsi="Times New Roman" w:eastAsia="仿宋_GB2312"/>
          <w:color w:val="auto"/>
          <w:sz w:val="32"/>
          <w:szCs w:val="32"/>
          <w:highlight w:val="none"/>
        </w:rPr>
        <w:t>推动农村从“有电用”向“用好电”“安全用电”转变。依据人口增长和产业发展预测，</w:t>
      </w:r>
      <w:r>
        <w:rPr>
          <w:rFonts w:hint="eastAsia" w:ascii="仿宋_GB2312" w:hAnsi="Times New Roman" w:eastAsia="仿宋_GB2312"/>
          <w:color w:val="auto"/>
          <w:sz w:val="32"/>
          <w:szCs w:val="32"/>
          <w:highlight w:val="none"/>
          <w:lang w:eastAsia="zh-CN"/>
        </w:rPr>
        <w:t>新建滨海新区</w:t>
      </w:r>
      <w:r>
        <w:rPr>
          <w:rFonts w:hint="eastAsia" w:ascii="仿宋_GB2312" w:hAnsi="Times New Roman" w:eastAsia="仿宋_GB2312"/>
          <w:color w:val="auto"/>
          <w:sz w:val="32"/>
          <w:szCs w:val="32"/>
          <w:highlight w:val="none"/>
          <w:lang w:val="en-US" w:eastAsia="zh-CN"/>
        </w:rPr>
        <w:t>220kV站，新建</w:t>
      </w:r>
      <w:r>
        <w:rPr>
          <w:rFonts w:hint="eastAsia" w:ascii="仿宋_GB2312" w:hAnsi="Times New Roman" w:eastAsia="仿宋_GB2312"/>
          <w:color w:val="auto"/>
          <w:sz w:val="32"/>
          <w:szCs w:val="32"/>
          <w:highlight w:val="none"/>
          <w:lang w:eastAsia="zh-CN"/>
        </w:rPr>
        <w:t>王五、兰洋、新州、西联、海花岛</w:t>
      </w:r>
      <w:r>
        <w:rPr>
          <w:rFonts w:hint="eastAsia" w:ascii="仿宋_GB2312" w:hAnsi="Times New Roman" w:eastAsia="仿宋_GB2312"/>
          <w:color w:val="auto"/>
          <w:sz w:val="32"/>
          <w:szCs w:val="32"/>
          <w:highlight w:val="none"/>
          <w:lang w:val="en-US" w:eastAsia="zh-CN"/>
        </w:rPr>
        <w:t>#3站等5</w:t>
      </w:r>
      <w:r>
        <w:rPr>
          <w:rFonts w:hint="eastAsia" w:ascii="仿宋_GB2312" w:hAnsi="Times New Roman" w:eastAsia="仿宋_GB2312"/>
          <w:color w:val="auto"/>
          <w:sz w:val="32"/>
          <w:szCs w:val="32"/>
          <w:highlight w:val="none"/>
        </w:rPr>
        <w:t>个</w:t>
      </w:r>
      <w:r>
        <w:rPr>
          <w:rFonts w:hint="eastAsia" w:ascii="仿宋_GB2312" w:hAnsi="Times New Roman" w:eastAsia="仿宋_GB2312"/>
          <w:color w:val="auto"/>
          <w:sz w:val="32"/>
          <w:szCs w:val="32"/>
          <w:highlight w:val="none"/>
          <w:lang w:val="en-US" w:eastAsia="zh-CN"/>
        </w:rPr>
        <w:t>110kV</w:t>
      </w:r>
      <w:r>
        <w:rPr>
          <w:rFonts w:hint="eastAsia" w:ascii="仿宋_GB2312" w:hAnsi="Times New Roman" w:eastAsia="仿宋_GB2312"/>
          <w:color w:val="auto"/>
          <w:sz w:val="32"/>
          <w:szCs w:val="32"/>
          <w:highlight w:val="none"/>
        </w:rPr>
        <w:t>输变电</w:t>
      </w:r>
      <w:r>
        <w:rPr>
          <w:rFonts w:hint="eastAsia" w:ascii="仿宋_GB2312" w:hAnsi="Times New Roman" w:eastAsia="仿宋_GB2312"/>
          <w:color w:val="auto"/>
          <w:sz w:val="32"/>
          <w:szCs w:val="32"/>
          <w:highlight w:val="none"/>
          <w:lang w:eastAsia="zh-CN"/>
        </w:rPr>
        <w:t>工程，</w:t>
      </w:r>
      <w:r>
        <w:rPr>
          <w:rFonts w:hint="eastAsia" w:ascii="仿宋_GB2312" w:hAnsi="Times New Roman" w:eastAsia="仿宋_GB2312"/>
          <w:color w:val="auto"/>
          <w:sz w:val="32"/>
          <w:szCs w:val="32"/>
          <w:highlight w:val="none"/>
        </w:rPr>
        <w:t>增容扩建</w:t>
      </w:r>
      <w:r>
        <w:rPr>
          <w:rFonts w:hint="eastAsia" w:ascii="仿宋_GB2312" w:hAnsi="Times New Roman" w:eastAsia="仿宋_GB2312"/>
          <w:color w:val="auto"/>
          <w:sz w:val="32"/>
          <w:szCs w:val="32"/>
          <w:highlight w:val="none"/>
          <w:lang w:val="en-US" w:eastAsia="zh-CN"/>
        </w:rPr>
        <w:t>一批35kV变电站</w:t>
      </w:r>
      <w:r>
        <w:rPr>
          <w:rFonts w:hint="eastAsia" w:ascii="仿宋_GB2312" w:hAnsi="Times New Roman" w:eastAsia="仿宋_GB2312"/>
          <w:color w:val="auto"/>
          <w:sz w:val="32"/>
          <w:szCs w:val="32"/>
          <w:highlight w:val="none"/>
        </w:rPr>
        <w:t>工程。</w:t>
      </w:r>
      <w:r>
        <w:rPr>
          <w:rFonts w:hint="eastAsia" w:ascii="仿宋_GB2312" w:hAnsi="Times New Roman" w:eastAsia="仿宋_GB2312"/>
          <w:color w:val="auto"/>
          <w:sz w:val="32"/>
          <w:szCs w:val="32"/>
          <w:highlight w:val="none"/>
          <w:lang w:eastAsia="zh-CN"/>
        </w:rPr>
        <w:t>新建改造一批</w:t>
      </w:r>
      <w:r>
        <w:rPr>
          <w:rFonts w:hint="eastAsia" w:ascii="仿宋_GB2312" w:hAnsi="Times New Roman" w:eastAsia="仿宋_GB2312"/>
          <w:color w:val="auto"/>
          <w:sz w:val="32"/>
          <w:szCs w:val="32"/>
          <w:highlight w:val="none"/>
          <w:lang w:val="en-US" w:eastAsia="zh-CN"/>
        </w:rPr>
        <w:t>10kV线路工程，打造安全、可靠、高质量的配电网网架结构。</w:t>
      </w:r>
    </w:p>
    <w:p>
      <w:pPr>
        <w:pStyle w:val="2"/>
        <w:pageBreakBefore w:val="0"/>
        <w:widowControl w:val="0"/>
        <w:kinsoku/>
        <w:wordWrap w:val="0"/>
        <w:overflowPunct/>
        <w:topLinePunct w:val="0"/>
        <w:bidi w:val="0"/>
        <w:snapToGrid/>
        <w:spacing w:line="560" w:lineRule="exact"/>
        <w:ind w:firstLine="643" w:firstLineChars="200"/>
        <w:jc w:val="both"/>
        <w:textAlignment w:val="auto"/>
        <w:rPr>
          <w:rFonts w:ascii="仿宋_GB2312" w:hAnsi="Times New Roman" w:eastAsia="仿宋_GB2312"/>
          <w:color w:val="auto"/>
          <w:sz w:val="32"/>
          <w:szCs w:val="32"/>
          <w:highlight w:val="none"/>
        </w:rPr>
      </w:pPr>
      <w:r>
        <w:rPr>
          <w:rFonts w:hint="eastAsia" w:ascii="仿宋_GB2312" w:hAnsi="Times New Roman" w:eastAsia="仿宋_GB2312"/>
          <w:b/>
          <w:bCs/>
          <w:color w:val="auto"/>
          <w:sz w:val="32"/>
          <w:szCs w:val="32"/>
          <w:highlight w:val="none"/>
        </w:rPr>
        <w:t>光网</w:t>
      </w:r>
      <w:r>
        <w:rPr>
          <w:rFonts w:hint="eastAsia" w:ascii="仿宋_GB2312" w:hAnsi="Times New Roman" w:eastAsia="仿宋_GB2312"/>
          <w:b/>
          <w:bCs/>
          <w:color w:val="auto"/>
          <w:sz w:val="32"/>
          <w:szCs w:val="32"/>
          <w:highlight w:val="none"/>
          <w:lang w:eastAsia="zh-CN"/>
        </w:rPr>
        <w:t>——</w:t>
      </w:r>
      <w:r>
        <w:rPr>
          <w:rFonts w:hint="eastAsia" w:ascii="仿宋_GB2312" w:hAnsi="Times New Roman" w:eastAsia="仿宋_GB2312"/>
          <w:b/>
          <w:bCs/>
          <w:color w:val="auto"/>
          <w:sz w:val="32"/>
          <w:szCs w:val="32"/>
          <w:highlight w:val="none"/>
        </w:rPr>
        <w:t>加快农村光纤网络和移动通信网建设。</w:t>
      </w:r>
      <w:r>
        <w:rPr>
          <w:rFonts w:hint="eastAsia" w:ascii="仿宋_GB2312" w:hAnsi="Times New Roman" w:eastAsia="仿宋_GB2312"/>
          <w:color w:val="auto"/>
          <w:sz w:val="32"/>
          <w:szCs w:val="32"/>
          <w:highlight w:val="none"/>
        </w:rPr>
        <w:t>到2</w:t>
      </w:r>
      <w:r>
        <w:rPr>
          <w:rFonts w:ascii="仿宋_GB2312" w:hAnsi="Times New Roman" w:eastAsia="仿宋_GB2312"/>
          <w:color w:val="auto"/>
          <w:sz w:val="32"/>
          <w:szCs w:val="32"/>
          <w:highlight w:val="none"/>
        </w:rPr>
        <w:t>025</w:t>
      </w:r>
      <w:r>
        <w:rPr>
          <w:rFonts w:hint="eastAsia" w:ascii="仿宋_GB2312" w:hAnsi="Times New Roman" w:eastAsia="仿宋_GB2312"/>
          <w:color w:val="auto"/>
          <w:sz w:val="32"/>
          <w:szCs w:val="32"/>
          <w:highlight w:val="none"/>
        </w:rPr>
        <w:t>年，消除通信“盲区”，实现光纤宽带网络和4G信号网络100%覆盖，乡村旅游点、美丽乡村等公共场所实现</w:t>
      </w:r>
      <w:r>
        <w:rPr>
          <w:rFonts w:hint="eastAsia" w:ascii="仿宋_GB2312" w:hAnsi="Times New Roman" w:eastAsia="仿宋_GB2312"/>
          <w:color w:val="auto"/>
          <w:sz w:val="32"/>
          <w:szCs w:val="32"/>
          <w:highlight w:val="none"/>
          <w:lang w:eastAsia="zh-CN"/>
        </w:rPr>
        <w:t>Wi-Fi</w:t>
      </w:r>
      <w:r>
        <w:rPr>
          <w:rFonts w:hint="eastAsia" w:ascii="仿宋_GB2312" w:hAnsi="Times New Roman" w:eastAsia="仿宋_GB2312"/>
          <w:color w:val="auto"/>
          <w:sz w:val="32"/>
          <w:szCs w:val="32"/>
          <w:highlight w:val="none"/>
        </w:rPr>
        <w:t>全覆盖。以城乡一体规划思路，同步谋划农村5</w:t>
      </w:r>
      <w:r>
        <w:rPr>
          <w:rFonts w:ascii="仿宋_GB2312" w:hAnsi="Times New Roman" w:eastAsia="仿宋_GB2312"/>
          <w:color w:val="auto"/>
          <w:sz w:val="32"/>
          <w:szCs w:val="32"/>
          <w:highlight w:val="none"/>
        </w:rPr>
        <w:t>G</w:t>
      </w:r>
      <w:r>
        <w:rPr>
          <w:rFonts w:hint="eastAsia" w:ascii="仿宋_GB2312" w:hAnsi="Times New Roman" w:eastAsia="仿宋_GB2312"/>
          <w:color w:val="auto"/>
          <w:sz w:val="32"/>
          <w:szCs w:val="32"/>
          <w:highlight w:val="none"/>
        </w:rPr>
        <w:t>基础设施建设。</w:t>
      </w:r>
    </w:p>
    <w:p>
      <w:pPr>
        <w:pageBreakBefore w:val="0"/>
        <w:widowControl w:val="0"/>
        <w:kinsoku/>
        <w:overflowPunct/>
        <w:topLinePunct w:val="0"/>
        <w:bidi w:val="0"/>
        <w:snapToGrid/>
        <w:spacing w:line="560" w:lineRule="exact"/>
        <w:ind w:firstLine="643" w:firstLineChars="200"/>
        <w:textAlignment w:val="auto"/>
        <w:rPr>
          <w:rFonts w:ascii="仿宋_GB2312" w:eastAsia="仿宋_GB2312"/>
          <w:color w:val="auto"/>
          <w:sz w:val="32"/>
          <w:szCs w:val="32"/>
          <w:highlight w:val="none"/>
        </w:rPr>
      </w:pPr>
      <w:r>
        <w:rPr>
          <w:rFonts w:hint="eastAsia" w:ascii="仿宋_GB2312" w:eastAsia="仿宋_GB2312"/>
          <w:b/>
          <w:bCs/>
          <w:color w:val="auto"/>
          <w:sz w:val="32"/>
          <w:szCs w:val="32"/>
          <w:highlight w:val="none"/>
        </w:rPr>
        <w:t>气网</w:t>
      </w:r>
      <w:r>
        <w:rPr>
          <w:rFonts w:hint="eastAsia" w:ascii="仿宋_GB2312" w:hAnsi="Times New Roman" w:eastAsia="仿宋_GB2312"/>
          <w:b/>
          <w:bCs/>
          <w:color w:val="auto"/>
          <w:sz w:val="32"/>
          <w:szCs w:val="32"/>
          <w:highlight w:val="none"/>
          <w:lang w:eastAsia="zh-CN"/>
        </w:rPr>
        <w:t>——</w:t>
      </w:r>
      <w:r>
        <w:rPr>
          <w:rFonts w:hint="eastAsia" w:ascii="仿宋_GB2312" w:eastAsia="仿宋_GB2312"/>
          <w:b/>
          <w:bCs/>
          <w:color w:val="auto"/>
          <w:sz w:val="32"/>
          <w:szCs w:val="32"/>
          <w:highlight w:val="none"/>
        </w:rPr>
        <w:t>推进燃气管网向镇、村延伸。</w:t>
      </w:r>
      <w:r>
        <w:rPr>
          <w:rFonts w:hint="eastAsia" w:ascii="仿宋_GB2312" w:eastAsia="仿宋_GB2312"/>
          <w:color w:val="auto"/>
          <w:sz w:val="32"/>
          <w:szCs w:val="32"/>
          <w:highlight w:val="none"/>
          <w:lang w:eastAsia="zh-CN"/>
        </w:rPr>
        <w:t>按照“宜管则管、宜罐则罐”原则，有序推进</w:t>
      </w:r>
      <w:r>
        <w:rPr>
          <w:rFonts w:hint="eastAsia" w:ascii="仿宋_GB2312" w:eastAsia="仿宋_GB2312"/>
          <w:color w:val="auto"/>
          <w:sz w:val="32"/>
          <w:szCs w:val="32"/>
          <w:highlight w:val="none"/>
        </w:rPr>
        <w:t>“气代柴薪”</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加快管道燃气向</w:t>
      </w:r>
      <w:r>
        <w:rPr>
          <w:rFonts w:hint="eastAsia" w:ascii="仿宋_GB2312" w:eastAsia="仿宋_GB2312"/>
          <w:color w:val="auto"/>
          <w:sz w:val="32"/>
          <w:szCs w:val="32"/>
          <w:highlight w:val="none"/>
          <w:lang w:eastAsia="zh-CN"/>
        </w:rPr>
        <w:t>镇村</w:t>
      </w:r>
      <w:r>
        <w:rPr>
          <w:rFonts w:hint="eastAsia" w:ascii="仿宋_GB2312" w:eastAsia="仿宋_GB2312"/>
          <w:color w:val="auto"/>
          <w:sz w:val="32"/>
          <w:szCs w:val="32"/>
          <w:highlight w:val="none"/>
        </w:rPr>
        <w:t>延伸建设，逐步实施管道燃气下乡入户</w:t>
      </w:r>
      <w:r>
        <w:rPr>
          <w:rFonts w:hint="eastAsia" w:ascii="仿宋_GB2312" w:eastAsia="仿宋_GB2312"/>
          <w:color w:val="auto"/>
          <w:sz w:val="32"/>
          <w:szCs w:val="32"/>
          <w:highlight w:val="none"/>
          <w:lang w:eastAsia="zh-CN"/>
        </w:rPr>
        <w:t>。合理</w:t>
      </w:r>
      <w:r>
        <w:rPr>
          <w:rFonts w:hint="eastAsia" w:ascii="仿宋_GB2312" w:hAnsi="Calibri" w:eastAsia="仿宋_GB2312"/>
          <w:bCs/>
          <w:color w:val="auto"/>
          <w:kern w:val="0"/>
          <w:sz w:val="32"/>
          <w:szCs w:val="32"/>
          <w:highlight w:val="none"/>
          <w:lang w:eastAsia="zh-CN"/>
        </w:rPr>
        <w:t>构建管道燃气布局，</w:t>
      </w:r>
      <w:r>
        <w:rPr>
          <w:rFonts w:hint="eastAsia" w:ascii="仿宋_GB2312" w:eastAsia="仿宋_GB2312"/>
          <w:color w:val="auto"/>
          <w:sz w:val="32"/>
          <w:szCs w:val="32"/>
          <w:highlight w:val="none"/>
        </w:rPr>
        <w:t>优先在输气管道沿线乡村建设燃气输送支线。</w:t>
      </w:r>
    </w:p>
    <w:p>
      <w:pPr>
        <w:keepNext w:val="0"/>
        <w:keepLines w:val="0"/>
        <w:pageBreakBefore w:val="0"/>
        <w:widowControl w:val="0"/>
        <w:kinsoku/>
        <w:wordWrap w:val="0"/>
        <w:overflowPunct/>
        <w:topLinePunct w:val="0"/>
        <w:bidi w:val="0"/>
        <w:snapToGrid/>
        <w:spacing w:line="58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w:t>
      </w:r>
      <w:r>
        <w:rPr>
          <w:rFonts w:hint="eastAsia" w:ascii="楷体_GB2312" w:hAnsi="楷体_GB2312" w:eastAsia="楷体_GB2312" w:cs="楷体_GB2312"/>
          <w:b/>
          <w:bCs/>
          <w:color w:val="auto"/>
          <w:sz w:val="32"/>
          <w:szCs w:val="32"/>
          <w:highlight w:val="none"/>
          <w:lang w:eastAsia="zh-CN"/>
        </w:rPr>
        <w:t>改善农村人居</w:t>
      </w:r>
      <w:r>
        <w:rPr>
          <w:rFonts w:hint="eastAsia" w:ascii="楷体_GB2312" w:hAnsi="楷体_GB2312" w:eastAsia="楷体_GB2312" w:cs="楷体_GB2312"/>
          <w:b/>
          <w:bCs/>
          <w:color w:val="auto"/>
          <w:sz w:val="32"/>
          <w:szCs w:val="32"/>
          <w:highlight w:val="none"/>
        </w:rPr>
        <w:t>环境</w:t>
      </w:r>
    </w:p>
    <w:p>
      <w:pPr>
        <w:pStyle w:val="2"/>
        <w:keepNext w:val="0"/>
        <w:keepLines w:val="0"/>
        <w:pageBreakBefore w:val="0"/>
        <w:widowControl w:val="0"/>
        <w:kinsoku/>
        <w:wordWrap w:val="0"/>
        <w:overflowPunct/>
        <w:topLinePunct w:val="0"/>
        <w:bidi w:val="0"/>
        <w:snapToGrid/>
        <w:spacing w:line="580" w:lineRule="exact"/>
        <w:ind w:firstLine="643" w:firstLineChars="200"/>
        <w:jc w:val="both"/>
        <w:textAlignment w:val="auto"/>
        <w:rPr>
          <w:rFonts w:ascii="仿宋_GB2312" w:eastAsia="仿宋_GB2312"/>
          <w:color w:val="auto"/>
          <w:sz w:val="32"/>
          <w:szCs w:val="32"/>
          <w:highlight w:val="none"/>
          <w:lang w:val="zh-CN"/>
        </w:rPr>
      </w:pPr>
      <w:r>
        <w:rPr>
          <w:rFonts w:hint="eastAsia" w:ascii="仿宋_GB2312" w:eastAsia="仿宋_GB2312"/>
          <w:b/>
          <w:bCs/>
          <w:color w:val="auto"/>
          <w:sz w:val="32"/>
          <w:szCs w:val="32"/>
          <w:highlight w:val="none"/>
          <w:lang w:val="zh-CN"/>
        </w:rPr>
        <w:t>推进农村生活垃圾、畜禽粪污、生产废弃物清理。</w:t>
      </w:r>
      <w:r>
        <w:rPr>
          <w:rFonts w:hint="eastAsia" w:ascii="仿宋_GB2312" w:eastAsia="仿宋_GB2312"/>
          <w:color w:val="auto"/>
          <w:sz w:val="32"/>
          <w:szCs w:val="32"/>
          <w:highlight w:val="none"/>
          <w:lang w:val="zh-CN"/>
        </w:rPr>
        <w:t>完善</w:t>
      </w:r>
      <w:r>
        <w:rPr>
          <w:rFonts w:ascii="仿宋_GB2312" w:eastAsia="仿宋_GB2312"/>
          <w:color w:val="auto"/>
          <w:sz w:val="32"/>
          <w:szCs w:val="32"/>
          <w:highlight w:val="none"/>
          <w:lang w:val="zh-CN"/>
        </w:rPr>
        <w:t>农村垃圾收运处理体系，建设木棠、西培等生活垃圾转运站，实现</w:t>
      </w:r>
      <w:r>
        <w:rPr>
          <w:rFonts w:hint="eastAsia" w:ascii="仿宋_GB2312" w:eastAsia="仿宋_GB2312"/>
          <w:color w:val="auto"/>
          <w:sz w:val="32"/>
          <w:szCs w:val="32"/>
          <w:highlight w:val="none"/>
          <w:lang w:val="zh-CN"/>
        </w:rPr>
        <w:t>镇</w:t>
      </w:r>
      <w:r>
        <w:rPr>
          <w:rFonts w:ascii="仿宋_GB2312" w:eastAsia="仿宋_GB2312"/>
          <w:color w:val="auto"/>
          <w:sz w:val="32"/>
          <w:szCs w:val="32"/>
          <w:highlight w:val="none"/>
          <w:lang w:val="zh-CN"/>
        </w:rPr>
        <w:t>镇有垃圾收集站或</w:t>
      </w:r>
      <w:r>
        <w:rPr>
          <w:rFonts w:hint="eastAsia" w:ascii="仿宋_GB2312" w:eastAsia="仿宋_GB2312"/>
          <w:color w:val="auto"/>
          <w:sz w:val="32"/>
          <w:szCs w:val="32"/>
          <w:highlight w:val="none"/>
          <w:lang w:val="zh-CN"/>
        </w:rPr>
        <w:t>转运</w:t>
      </w:r>
      <w:r>
        <w:rPr>
          <w:rFonts w:ascii="仿宋_GB2312" w:eastAsia="仿宋_GB2312"/>
          <w:color w:val="auto"/>
          <w:sz w:val="32"/>
          <w:szCs w:val="32"/>
          <w:highlight w:val="none"/>
          <w:lang w:val="zh-CN"/>
        </w:rPr>
        <w:t>站</w:t>
      </w:r>
      <w:r>
        <w:rPr>
          <w:rFonts w:hint="eastAsia" w:ascii="仿宋_GB2312" w:eastAsia="仿宋_GB2312"/>
          <w:color w:val="auto"/>
          <w:sz w:val="32"/>
          <w:szCs w:val="32"/>
          <w:highlight w:val="none"/>
          <w:lang w:val="zh-CN"/>
        </w:rPr>
        <w:t>，</w:t>
      </w:r>
      <w:r>
        <w:rPr>
          <w:rFonts w:ascii="仿宋_GB2312" w:eastAsia="仿宋_GB2312"/>
          <w:color w:val="auto"/>
          <w:sz w:val="32"/>
          <w:szCs w:val="32"/>
          <w:highlight w:val="none"/>
          <w:lang w:val="zh-CN"/>
        </w:rPr>
        <w:t>加快清理历史存量垃圾</w:t>
      </w:r>
      <w:r>
        <w:rPr>
          <w:rFonts w:hint="eastAsia" w:ascii="仿宋_GB2312" w:eastAsia="仿宋_GB2312"/>
          <w:color w:val="auto"/>
          <w:sz w:val="32"/>
          <w:szCs w:val="32"/>
          <w:highlight w:val="none"/>
          <w:lang w:val="zh-CN"/>
        </w:rPr>
        <w:t>。开展畜禽粪污、农业生产废弃物及</w:t>
      </w:r>
      <w:r>
        <w:rPr>
          <w:rFonts w:ascii="仿宋_GB2312" w:eastAsia="仿宋_GB2312"/>
          <w:color w:val="auto"/>
          <w:sz w:val="32"/>
          <w:szCs w:val="32"/>
          <w:highlight w:val="none"/>
          <w:lang w:val="zh-CN"/>
        </w:rPr>
        <w:t>生活垃圾资源化利用工作</w:t>
      </w:r>
      <w:r>
        <w:rPr>
          <w:rFonts w:hint="eastAsia" w:ascii="仿宋_GB2312" w:eastAsia="仿宋_GB2312"/>
          <w:color w:val="auto"/>
          <w:sz w:val="32"/>
          <w:szCs w:val="32"/>
          <w:highlight w:val="none"/>
          <w:lang w:val="zh-CN"/>
        </w:rPr>
        <w:t>，实施畜禽养殖粪污、农田秸秆综合利用工程</w:t>
      </w:r>
      <w:r>
        <w:rPr>
          <w:rFonts w:ascii="仿宋_GB2312" w:eastAsia="仿宋_GB2312"/>
          <w:color w:val="auto"/>
          <w:sz w:val="32"/>
          <w:szCs w:val="32"/>
          <w:highlight w:val="none"/>
          <w:lang w:val="zh-CN"/>
        </w:rPr>
        <w:t>。</w:t>
      </w:r>
    </w:p>
    <w:p>
      <w:pPr>
        <w:keepNext w:val="0"/>
        <w:keepLines w:val="0"/>
        <w:pageBreakBefore w:val="0"/>
        <w:widowControl w:val="0"/>
        <w:kinsoku/>
        <w:overflowPunct/>
        <w:topLinePunct w:val="0"/>
        <w:bidi w:val="0"/>
        <w:snapToGrid/>
        <w:spacing w:line="580" w:lineRule="exact"/>
        <w:ind w:firstLine="643" w:firstLineChars="200"/>
        <w:textAlignment w:val="auto"/>
        <w:rPr>
          <w:rFonts w:ascii="仿宋_GB2312" w:eastAsia="仿宋_GB2312"/>
          <w:color w:val="auto"/>
          <w:sz w:val="32"/>
          <w:szCs w:val="32"/>
          <w:highlight w:val="none"/>
          <w:lang w:val="zh-CN"/>
        </w:rPr>
      </w:pPr>
      <w:r>
        <w:rPr>
          <w:rFonts w:ascii="仿宋_GB2312" w:eastAsia="仿宋_GB2312"/>
          <w:b/>
          <w:bCs/>
          <w:color w:val="auto"/>
          <w:sz w:val="32"/>
          <w:szCs w:val="32"/>
          <w:highlight w:val="none"/>
          <w:lang w:val="zh-CN"/>
        </w:rPr>
        <w:t>推进</w:t>
      </w:r>
      <w:r>
        <w:rPr>
          <w:rFonts w:hint="eastAsia" w:ascii="仿宋_GB2312" w:eastAsia="仿宋_GB2312"/>
          <w:b/>
          <w:bCs/>
          <w:color w:val="auto"/>
          <w:sz w:val="32"/>
          <w:szCs w:val="32"/>
          <w:highlight w:val="none"/>
          <w:lang w:val="zh-CN"/>
        </w:rPr>
        <w:t>农户</w:t>
      </w:r>
      <w:r>
        <w:rPr>
          <w:rFonts w:ascii="仿宋_GB2312" w:eastAsia="仿宋_GB2312"/>
          <w:b/>
          <w:bCs/>
          <w:color w:val="auto"/>
          <w:sz w:val="32"/>
          <w:szCs w:val="32"/>
          <w:highlight w:val="none"/>
          <w:lang w:val="zh-CN"/>
        </w:rPr>
        <w:t>厕所</w:t>
      </w:r>
      <w:r>
        <w:rPr>
          <w:rFonts w:hint="eastAsia" w:ascii="仿宋_GB2312" w:eastAsia="仿宋_GB2312"/>
          <w:b/>
          <w:bCs/>
          <w:color w:val="auto"/>
          <w:sz w:val="32"/>
          <w:szCs w:val="32"/>
          <w:highlight w:val="none"/>
          <w:lang w:val="zh-CN"/>
        </w:rPr>
        <w:t>革命</w:t>
      </w:r>
      <w:r>
        <w:rPr>
          <w:rFonts w:hint="eastAsia" w:ascii="仿宋_GB2312" w:eastAsia="仿宋_GB2312"/>
          <w:color w:val="auto"/>
          <w:sz w:val="32"/>
          <w:szCs w:val="32"/>
          <w:highlight w:val="none"/>
          <w:lang w:val="zh-CN"/>
        </w:rPr>
        <w:t>。在</w:t>
      </w:r>
      <w:r>
        <w:rPr>
          <w:rFonts w:ascii="仿宋_GB2312" w:eastAsia="仿宋_GB2312"/>
          <w:color w:val="auto"/>
          <w:sz w:val="32"/>
          <w:szCs w:val="32"/>
          <w:highlight w:val="none"/>
          <w:lang w:val="zh-CN"/>
        </w:rPr>
        <w:t>人口规模较大村庄配套建设</w:t>
      </w:r>
      <w:r>
        <w:rPr>
          <w:rFonts w:hint="eastAsia" w:ascii="仿宋_GB2312" w:eastAsia="仿宋_GB2312"/>
          <w:color w:val="auto"/>
          <w:sz w:val="32"/>
          <w:szCs w:val="32"/>
          <w:highlight w:val="none"/>
          <w:lang w:val="zh-CN"/>
        </w:rPr>
        <w:t>（改造）</w:t>
      </w:r>
      <w:r>
        <w:rPr>
          <w:rFonts w:ascii="仿宋_GB2312" w:eastAsia="仿宋_GB2312"/>
          <w:color w:val="auto"/>
          <w:sz w:val="32"/>
          <w:szCs w:val="32"/>
          <w:highlight w:val="none"/>
          <w:lang w:val="zh-CN"/>
        </w:rPr>
        <w:t>公共厕所</w:t>
      </w:r>
      <w:r>
        <w:rPr>
          <w:rFonts w:hint="eastAsia" w:ascii="仿宋_GB2312" w:eastAsia="仿宋_GB2312"/>
          <w:color w:val="auto"/>
          <w:sz w:val="32"/>
          <w:szCs w:val="32"/>
          <w:highlight w:val="none"/>
          <w:lang w:val="zh-CN"/>
        </w:rPr>
        <w:t>，探索户厕老旧化粪池防渗漏改造模式，全面规范户厕老旧化粪池防渗漏改造，到2025年无害化厕所普及率达到</w:t>
      </w:r>
      <w:r>
        <w:rPr>
          <w:rFonts w:hint="eastAsia" w:ascii="仿宋_GB2312" w:eastAsia="仿宋_GB2312"/>
          <w:color w:val="auto"/>
          <w:sz w:val="32"/>
          <w:szCs w:val="32"/>
          <w:highlight w:val="none"/>
          <w:lang w:val="en-US" w:eastAsia="zh-CN"/>
        </w:rPr>
        <w:t>99</w:t>
      </w:r>
      <w:r>
        <w:rPr>
          <w:rFonts w:hint="eastAsia" w:ascii="仿宋_GB2312" w:eastAsia="仿宋_GB2312"/>
          <w:color w:val="auto"/>
          <w:sz w:val="32"/>
          <w:szCs w:val="32"/>
          <w:highlight w:val="none"/>
          <w:lang w:val="zh-CN"/>
        </w:rPr>
        <w:t>%。结合乡村旅游等产业发展，推进和完善公厕后续管理和维护机制，实现农村户厕全覆盖。</w:t>
      </w:r>
    </w:p>
    <w:p>
      <w:pPr>
        <w:keepNext w:val="0"/>
        <w:keepLines w:val="0"/>
        <w:pageBreakBefore w:val="0"/>
        <w:widowControl w:val="0"/>
        <w:kinsoku/>
        <w:overflowPunct/>
        <w:topLinePunct w:val="0"/>
        <w:bidi w:val="0"/>
        <w:snapToGrid/>
        <w:spacing w:line="580" w:lineRule="exact"/>
        <w:ind w:firstLine="643" w:firstLineChars="200"/>
        <w:textAlignment w:val="auto"/>
        <w:rPr>
          <w:rFonts w:ascii="仿宋_GB2312" w:eastAsia="仿宋_GB2312"/>
          <w:color w:val="auto"/>
          <w:sz w:val="32"/>
          <w:szCs w:val="32"/>
          <w:highlight w:val="none"/>
          <w:lang w:val="zh-CN"/>
        </w:rPr>
      </w:pPr>
      <w:r>
        <w:rPr>
          <w:rFonts w:hint="eastAsia" w:ascii="仿宋_GB2312" w:eastAsia="仿宋_GB2312"/>
          <w:b/>
          <w:bCs/>
          <w:color w:val="auto"/>
          <w:sz w:val="32"/>
          <w:szCs w:val="32"/>
          <w:highlight w:val="none"/>
          <w:lang w:val="zh-CN"/>
        </w:rPr>
        <w:t>建立全市城乡统一的保洁机制。</w:t>
      </w:r>
      <w:r>
        <w:rPr>
          <w:rFonts w:hint="eastAsia" w:ascii="仿宋_GB2312" w:eastAsia="仿宋_GB2312"/>
          <w:b w:val="0"/>
          <w:bCs w:val="0"/>
          <w:color w:val="auto"/>
          <w:sz w:val="32"/>
          <w:szCs w:val="32"/>
          <w:highlight w:val="none"/>
          <w:lang w:val="zh-CN"/>
        </w:rPr>
        <w:t>按照“</w:t>
      </w:r>
      <w:r>
        <w:rPr>
          <w:rFonts w:hint="eastAsia" w:ascii="仿宋_GB2312" w:eastAsia="仿宋_GB2312"/>
          <w:b w:val="0"/>
          <w:bCs w:val="0"/>
          <w:color w:val="auto"/>
          <w:sz w:val="32"/>
          <w:szCs w:val="32"/>
          <w:highlight w:val="none"/>
          <w:lang w:val="en-US" w:eastAsia="zh-CN"/>
        </w:rPr>
        <w:t>五有”要求，完善农村保洁制度。</w:t>
      </w:r>
      <w:r>
        <w:rPr>
          <w:rFonts w:hint="eastAsia" w:ascii="仿宋_GB2312" w:eastAsia="仿宋_GB2312"/>
          <w:color w:val="auto"/>
          <w:sz w:val="32"/>
          <w:szCs w:val="32"/>
          <w:highlight w:val="none"/>
          <w:lang w:val="zh-CN"/>
        </w:rPr>
        <w:t>落实“门前三包”制度。探索建立乡镇综合管护、村级自行管护、专业第三方管护为补充的农村人居环境管护机制。定期开展文明卫生互评互比活动。强化督查考核工作，建立奖惩机制。</w:t>
      </w:r>
    </w:p>
    <w:p>
      <w:pPr>
        <w:keepNext w:val="0"/>
        <w:keepLines w:val="0"/>
        <w:pageBreakBefore w:val="0"/>
        <w:widowControl w:val="0"/>
        <w:kinsoku/>
        <w:overflowPunct/>
        <w:topLinePunct w:val="0"/>
        <w:bidi w:val="0"/>
        <w:snapToGrid/>
        <w:spacing w:line="580" w:lineRule="exact"/>
        <w:ind w:firstLine="643" w:firstLineChars="200"/>
        <w:textAlignment w:val="auto"/>
        <w:rPr>
          <w:rFonts w:ascii="仿宋_GB2312" w:eastAsia="仿宋_GB2312"/>
          <w:color w:val="auto"/>
          <w:sz w:val="32"/>
          <w:szCs w:val="32"/>
          <w:highlight w:val="none"/>
          <w:lang w:val="zh-CN"/>
        </w:rPr>
      </w:pPr>
      <w:r>
        <w:rPr>
          <w:rFonts w:hint="eastAsia" w:ascii="仿宋_GB2312" w:eastAsia="仿宋_GB2312"/>
          <w:b/>
          <w:bCs/>
          <w:color w:val="auto"/>
          <w:sz w:val="32"/>
          <w:szCs w:val="32"/>
          <w:highlight w:val="none"/>
          <w:lang w:val="zh-CN"/>
        </w:rPr>
        <w:t>全力推进农村违法建筑整治。</w:t>
      </w:r>
      <w:r>
        <w:rPr>
          <w:rFonts w:hint="eastAsia" w:ascii="仿宋_GB2312" w:eastAsia="仿宋_GB2312"/>
          <w:color w:val="auto"/>
          <w:sz w:val="32"/>
          <w:szCs w:val="32"/>
          <w:highlight w:val="none"/>
          <w:lang w:val="zh-CN"/>
        </w:rPr>
        <w:t>建立农村违法建筑防控机制，将综合执法权下放到乡镇。建立健全乡镇规划建设管理所、村委会报建和农村宅基地管理机制，简化农村建房审批流程，落实农村住房“逢建必报”制度。</w:t>
      </w:r>
    </w:p>
    <w:p>
      <w:pPr>
        <w:pStyle w:val="4"/>
        <w:pageBreakBefore w:val="0"/>
        <w:widowControl w:val="0"/>
        <w:kinsoku/>
        <w:overflowPunct/>
        <w:topLinePunct w:val="0"/>
        <w:bidi w:val="0"/>
        <w:snapToGrid/>
        <w:spacing w:line="560" w:lineRule="exact"/>
        <w:textAlignment w:val="auto"/>
        <w:rPr>
          <w:color w:val="auto"/>
          <w:highlight w:val="none"/>
        </w:rPr>
      </w:pPr>
      <w:bookmarkStart w:id="132" w:name="_Toc17463_WPSOffice_Level2"/>
      <w:bookmarkStart w:id="133" w:name="_Toc23858_WPSOffice_Level2"/>
      <w:bookmarkStart w:id="134" w:name="_Toc2138_WPSOffice_Level2"/>
      <w:bookmarkStart w:id="135" w:name="_Toc57914202"/>
      <w:r>
        <w:rPr>
          <w:rFonts w:hint="eastAsia"/>
          <w:color w:val="auto"/>
          <w:highlight w:val="none"/>
        </w:rPr>
        <w:t>第</w:t>
      </w:r>
      <w:r>
        <w:rPr>
          <w:rFonts w:hint="eastAsia"/>
          <w:color w:val="auto"/>
          <w:highlight w:val="none"/>
          <w:lang w:eastAsia="zh-CN"/>
        </w:rPr>
        <w:t>三</w:t>
      </w:r>
      <w:r>
        <w:rPr>
          <w:rFonts w:hint="eastAsia"/>
          <w:color w:val="auto"/>
          <w:highlight w:val="none"/>
        </w:rPr>
        <w:t xml:space="preserve">节 </w:t>
      </w:r>
      <w:r>
        <w:rPr>
          <w:rFonts w:hint="eastAsia"/>
          <w:color w:val="auto"/>
          <w:highlight w:val="none"/>
          <w:lang w:eastAsia="zh-CN"/>
        </w:rPr>
        <w:t>促进</w:t>
      </w:r>
      <w:r>
        <w:rPr>
          <w:rFonts w:hint="eastAsia"/>
          <w:color w:val="auto"/>
          <w:highlight w:val="none"/>
        </w:rPr>
        <w:t>农民增收致富</w:t>
      </w:r>
      <w:bookmarkEnd w:id="132"/>
      <w:bookmarkEnd w:id="133"/>
      <w:bookmarkEnd w:id="134"/>
      <w:bookmarkEnd w:id="135"/>
    </w:p>
    <w:p>
      <w:pPr>
        <w:pStyle w:val="2"/>
        <w:pageBreakBefore w:val="0"/>
        <w:widowControl w:val="0"/>
        <w:kinsoku/>
        <w:wordWrap w:val="0"/>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建立并完善农民参与自由贸易港建设的机制，实现农民稳定就业和增收，确保自由贸易港建设新增就业岗位充分吸纳农村劳动力转移就业，扎实推动共同富裕。</w:t>
      </w:r>
    </w:p>
    <w:p>
      <w:pPr>
        <w:pageBreakBefore w:val="0"/>
        <w:widowControl w:val="0"/>
        <w:kinsoku/>
        <w:wordWrap w:val="0"/>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（一）巩固脱贫攻坚成果</w:t>
      </w:r>
    </w:p>
    <w:p>
      <w:pPr>
        <w:pStyle w:val="2"/>
        <w:pageBreakBefore w:val="0"/>
        <w:widowControl w:val="0"/>
        <w:kinsoku/>
        <w:wordWrap w:val="0"/>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今后五年脱贫攻坚成果巩固期，严格落实“四个不摘”要求，保持现有帮扶政策、资金支持、帮扶力量总体稳定。健全防止返贫监测帮扶机制，继续对脱贫村、脱贫人口开展监测，持续跟踪收入变化和“两不愁三保障”巩固情况，定期核查，及时发现，及时帮扶，动态清零。持续发展壮大扶贫产业，继续加强脱贫地区产业发展基础设施建设，拓展销售渠道，创新流通方式，促进稳定销售。做好脱贫人口稳岗就业，加大对脱贫人口职业技能培训力度。加强资金资产项目管理，建立健全扶贫资产管理制度，持续发挥效益。兜住民生底线，规范管理公益岗位，以现有社会保障体系为依托，促进弱劳力、半劳力等家庭就近就地解决就业。</w:t>
      </w:r>
    </w:p>
    <w:p>
      <w:pPr>
        <w:pageBreakBefore w:val="0"/>
        <w:widowControl w:val="0"/>
        <w:kinsoku/>
        <w:wordWrap w:val="0"/>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二</w:t>
      </w:r>
      <w:r>
        <w:rPr>
          <w:rFonts w:hint="eastAsia" w:ascii="楷体_GB2312" w:hAnsi="楷体_GB2312" w:eastAsia="楷体_GB2312" w:cs="楷体_GB2312"/>
          <w:b/>
          <w:bCs/>
          <w:color w:val="auto"/>
          <w:sz w:val="32"/>
          <w:szCs w:val="32"/>
          <w:highlight w:val="none"/>
        </w:rPr>
        <w:t>）发展乡村集体经济</w:t>
      </w:r>
    </w:p>
    <w:p>
      <w:pPr>
        <w:pStyle w:val="2"/>
        <w:pageBreakBefore w:val="0"/>
        <w:widowControl w:val="0"/>
        <w:kinsoku/>
        <w:wordWrap w:val="0"/>
        <w:overflowPunct/>
        <w:topLinePunct w:val="0"/>
        <w:bidi w:val="0"/>
        <w:snapToGrid/>
        <w:spacing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按照“一村一品”“一村一策”，选准产业，策划项目，引进带资金、带技术、带设备、带原料的龙头企业与村集体合作，</w:t>
      </w:r>
      <w:r>
        <w:rPr>
          <w:rFonts w:hint="eastAsia" w:ascii="仿宋_GB2312" w:hAnsi="仿宋_GB2312" w:eastAsia="仿宋_GB2312" w:cs="仿宋_GB2312"/>
          <w:color w:val="auto"/>
          <w:sz w:val="32"/>
          <w:szCs w:val="32"/>
          <w:highlight w:val="none"/>
          <w:lang w:eastAsia="zh-CN"/>
        </w:rPr>
        <w:t>建立</w:t>
      </w:r>
      <w:r>
        <w:rPr>
          <w:rFonts w:hint="eastAsia" w:ascii="仿宋_GB2312" w:hAnsi="仿宋_GB2312" w:eastAsia="仿宋_GB2312" w:cs="仿宋_GB2312"/>
          <w:color w:val="auto"/>
          <w:sz w:val="32"/>
          <w:szCs w:val="32"/>
          <w:highlight w:val="none"/>
        </w:rPr>
        <w:t>“生产-管理-销售”合作流程，多渠道多形式发展壮大村集体经济。</w:t>
      </w:r>
      <w:r>
        <w:rPr>
          <w:rFonts w:hint="eastAsia" w:ascii="仿宋_GB2312" w:hAnsi="仿宋_GB2312" w:eastAsia="仿宋_GB2312" w:cs="仿宋_GB2312"/>
          <w:color w:val="auto"/>
          <w:sz w:val="32"/>
          <w:szCs w:val="40"/>
          <w:highlight w:val="none"/>
          <w:lang w:val="en-US" w:eastAsia="zh-CN"/>
        </w:rPr>
        <w:t>发挥乡村振兴投资公司在资金筹措、土地整合、智力资源、组织保障等的优势，破解制约乡村振兴发展的资金、土地等痛点、难点、堵点问题。</w:t>
      </w:r>
      <w:r>
        <w:rPr>
          <w:rFonts w:hint="eastAsia" w:ascii="仿宋_GB2312" w:hAnsi="仿宋_GB2312" w:eastAsia="仿宋_GB2312" w:cs="仿宋_GB2312"/>
          <w:color w:val="auto"/>
          <w:sz w:val="32"/>
          <w:szCs w:val="32"/>
          <w:highlight w:val="none"/>
          <w:lang w:eastAsia="zh-CN"/>
        </w:rPr>
        <w:t>完善</w:t>
      </w:r>
      <w:r>
        <w:rPr>
          <w:rFonts w:hint="eastAsia" w:ascii="仿宋_GB2312" w:hAnsi="仿宋_GB2312" w:eastAsia="仿宋_GB2312" w:cs="仿宋_GB2312"/>
          <w:color w:val="auto"/>
          <w:sz w:val="32"/>
          <w:szCs w:val="32"/>
          <w:highlight w:val="none"/>
        </w:rPr>
        <w:t>“国企+村集体”</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模式，助力村</w:t>
      </w:r>
      <w:r>
        <w:rPr>
          <w:rFonts w:hint="eastAsia" w:ascii="仿宋_GB2312" w:hAnsi="仿宋_GB2312" w:eastAsia="仿宋_GB2312" w:cs="仿宋_GB2312"/>
          <w:color w:val="auto"/>
          <w:sz w:val="32"/>
          <w:szCs w:val="32"/>
          <w:highlight w:val="none"/>
          <w:lang w:eastAsia="zh-CN"/>
        </w:rPr>
        <w:t>集体</w:t>
      </w:r>
      <w:r>
        <w:rPr>
          <w:rFonts w:hint="eastAsia" w:ascii="仿宋_GB2312" w:hAnsi="仿宋_GB2312" w:eastAsia="仿宋_GB2312" w:cs="仿宋_GB2312"/>
          <w:color w:val="auto"/>
          <w:sz w:val="32"/>
          <w:szCs w:val="32"/>
          <w:highlight w:val="none"/>
        </w:rPr>
        <w:t>搭建公司化运作平台，</w:t>
      </w:r>
      <w:r>
        <w:rPr>
          <w:rFonts w:hint="eastAsia" w:ascii="仿宋_GB2312" w:hAnsi="仿宋_GB2312" w:eastAsia="仿宋_GB2312" w:cs="仿宋_GB2312"/>
          <w:color w:val="auto"/>
          <w:sz w:val="32"/>
          <w:szCs w:val="32"/>
          <w:highlight w:val="none"/>
          <w:lang w:eastAsia="zh-CN"/>
        </w:rPr>
        <w:t>推动农村自然资源资产产权制度改革，实现资源变资产、资产变资本、资本变股本的转变，</w:t>
      </w:r>
      <w:r>
        <w:rPr>
          <w:rFonts w:hint="eastAsia" w:ascii="仿宋_GB2312" w:hAnsi="仿宋_GB2312" w:eastAsia="仿宋_GB2312" w:cs="仿宋_GB2312"/>
          <w:color w:val="auto"/>
          <w:sz w:val="32"/>
          <w:szCs w:val="40"/>
          <w:highlight w:val="none"/>
          <w:lang w:val="en-US" w:eastAsia="zh-CN"/>
        </w:rPr>
        <w:t>实现企业、农业、农民多赢的目标。</w:t>
      </w:r>
    </w:p>
    <w:p>
      <w:pPr>
        <w:pageBreakBefore w:val="0"/>
        <w:widowControl w:val="0"/>
        <w:kinsoku/>
        <w:wordWrap w:val="0"/>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三</w:t>
      </w:r>
      <w:r>
        <w:rPr>
          <w:rFonts w:hint="eastAsia" w:ascii="楷体_GB2312" w:hAnsi="楷体_GB2312" w:eastAsia="楷体_GB2312" w:cs="楷体_GB2312"/>
          <w:b/>
          <w:bCs/>
          <w:color w:val="auto"/>
          <w:sz w:val="32"/>
          <w:szCs w:val="32"/>
          <w:highlight w:val="none"/>
        </w:rPr>
        <w:t>）培育壮大</w:t>
      </w:r>
      <w:r>
        <w:rPr>
          <w:rFonts w:hint="eastAsia" w:ascii="楷体_GB2312" w:hAnsi="楷体_GB2312" w:eastAsia="楷体_GB2312" w:cs="楷体_GB2312"/>
          <w:b/>
          <w:bCs/>
          <w:color w:val="auto"/>
          <w:sz w:val="32"/>
          <w:szCs w:val="32"/>
          <w:highlight w:val="none"/>
          <w:lang w:eastAsia="zh-CN"/>
        </w:rPr>
        <w:t>新型</w:t>
      </w:r>
      <w:r>
        <w:rPr>
          <w:rFonts w:hint="eastAsia" w:ascii="楷体_GB2312" w:hAnsi="楷体_GB2312" w:eastAsia="楷体_GB2312" w:cs="楷体_GB2312"/>
          <w:b/>
          <w:bCs/>
          <w:color w:val="auto"/>
          <w:sz w:val="32"/>
          <w:szCs w:val="32"/>
          <w:highlight w:val="none"/>
        </w:rPr>
        <w:t>农业经营主体</w:t>
      </w:r>
    </w:p>
    <w:p>
      <w:pPr>
        <w:pStyle w:val="2"/>
        <w:pageBreakBefore w:val="0"/>
        <w:widowControl w:val="0"/>
        <w:kinsoku/>
        <w:wordWrap w:val="0"/>
        <w:overflowPunct/>
        <w:topLinePunct w:val="0"/>
        <w:bidi w:val="0"/>
        <w:snapToGrid/>
        <w:spacing w:line="560" w:lineRule="exact"/>
        <w:ind w:firstLine="640" w:firstLineChars="200"/>
        <w:jc w:val="both"/>
        <w:textAlignment w:val="auto"/>
        <w:rPr>
          <w:rFonts w:ascii="仿宋_GB2312" w:hAnsi="仿宋" w:eastAsia="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坚持农业家庭经营基础性地位。</w:t>
      </w:r>
      <w:r>
        <w:rPr>
          <w:rFonts w:hint="eastAsia" w:ascii="仿宋_GB2312" w:hAnsi="仿宋_GB2312" w:eastAsia="仿宋_GB2312" w:cs="仿宋_GB2312"/>
          <w:color w:val="auto"/>
          <w:sz w:val="32"/>
          <w:szCs w:val="32"/>
          <w:highlight w:val="none"/>
        </w:rPr>
        <w:t>加快</w:t>
      </w:r>
      <w:r>
        <w:rPr>
          <w:rFonts w:hint="eastAsia" w:ascii="仿宋_GB2312" w:hAnsi="仿宋_GB2312" w:eastAsia="仿宋_GB2312" w:cs="仿宋_GB2312"/>
          <w:color w:val="auto"/>
          <w:sz w:val="32"/>
          <w:szCs w:val="32"/>
          <w:highlight w:val="none"/>
          <w:lang w:eastAsia="zh-CN"/>
        </w:rPr>
        <w:t>专业大户、家庭农场、农民合作社、农业企业等</w:t>
      </w:r>
      <w:r>
        <w:rPr>
          <w:rFonts w:hint="eastAsia" w:ascii="仿宋_GB2312" w:hAnsi="仿宋_GB2312" w:eastAsia="仿宋_GB2312" w:cs="仿宋_GB2312"/>
          <w:color w:val="auto"/>
          <w:sz w:val="32"/>
          <w:szCs w:val="32"/>
          <w:highlight w:val="none"/>
        </w:rPr>
        <w:t>新型农业经营主体培育，积极发展多种形式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适度规模</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经营</w:t>
      </w:r>
      <w:r>
        <w:rPr>
          <w:rFonts w:hint="eastAsia" w:ascii="仿宋_GB2312" w:hAnsi="仿宋_GB2312" w:eastAsia="仿宋_GB2312" w:cs="仿宋_GB2312"/>
          <w:color w:val="auto"/>
          <w:sz w:val="32"/>
          <w:szCs w:val="32"/>
          <w:highlight w:val="none"/>
          <w:lang w:eastAsia="zh-CN"/>
        </w:rPr>
        <w:t>主体</w:t>
      </w:r>
      <w:r>
        <w:rPr>
          <w:rFonts w:hint="eastAsia" w:ascii="仿宋_GB2312" w:hAnsi="仿宋_GB2312" w:eastAsia="仿宋_GB2312" w:cs="仿宋_GB2312"/>
          <w:color w:val="auto"/>
          <w:sz w:val="32"/>
          <w:szCs w:val="32"/>
          <w:highlight w:val="none"/>
        </w:rPr>
        <w:t>，带动乡村产业加快发展。</w:t>
      </w:r>
      <w:r>
        <w:rPr>
          <w:rFonts w:hint="eastAsia" w:ascii="仿宋_GB2312" w:hAnsi="仿宋" w:eastAsia="仿宋_GB2312"/>
          <w:color w:val="auto"/>
          <w:sz w:val="32"/>
          <w:szCs w:val="32"/>
          <w:highlight w:val="none"/>
          <w:lang w:eastAsia="zh-CN"/>
        </w:rPr>
        <w:t>实施资金支农工程，促进金融机构加大对农业企业的信贷投放力度，拓宽涉农贷款抵质押物范围</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依法依规开展抵押融资、担保融资，开展大宗农产品仓单（存货）质押融资和保险联动工作。稳步推进政策性农业保险</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适度推动政策性保险扩面、增品、提标</w:t>
      </w:r>
      <w:r>
        <w:rPr>
          <w:rFonts w:hint="eastAsia" w:ascii="仿宋_GB2312" w:hAnsi="仿宋" w:eastAsia="仿宋_GB2312"/>
          <w:color w:val="auto"/>
          <w:sz w:val="32"/>
          <w:szCs w:val="32"/>
          <w:highlight w:val="none"/>
        </w:rPr>
        <w:t>。</w:t>
      </w:r>
    </w:p>
    <w:p>
      <w:pPr>
        <w:pageBreakBefore w:val="0"/>
        <w:widowControl w:val="0"/>
        <w:kinsoku/>
        <w:wordWrap w:val="0"/>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四</w:t>
      </w:r>
      <w:r>
        <w:rPr>
          <w:rFonts w:hint="eastAsia" w:ascii="楷体_GB2312" w:hAnsi="楷体_GB2312" w:eastAsia="楷体_GB2312" w:cs="楷体_GB2312"/>
          <w:b/>
          <w:bCs/>
          <w:color w:val="auto"/>
          <w:sz w:val="32"/>
          <w:szCs w:val="32"/>
          <w:highlight w:val="none"/>
        </w:rPr>
        <w:t>）拓宽农民就业空间和收入渠道</w:t>
      </w:r>
    </w:p>
    <w:p>
      <w:pPr>
        <w:pStyle w:val="2"/>
        <w:pageBreakBefore w:val="0"/>
        <w:widowControl w:val="0"/>
        <w:kinsoku/>
        <w:wordWrap w:val="0"/>
        <w:overflowPunct/>
        <w:topLinePunct w:val="0"/>
        <w:bidi w:val="0"/>
        <w:snapToGrid/>
        <w:spacing w:line="560"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充分利用自贸港建设的机遇，</w:t>
      </w:r>
      <w:r>
        <w:rPr>
          <w:rFonts w:hint="eastAsia" w:ascii="仿宋_GB2312" w:hAnsi="仿宋" w:eastAsia="仿宋_GB2312"/>
          <w:color w:val="auto"/>
          <w:sz w:val="32"/>
          <w:szCs w:val="32"/>
          <w:highlight w:val="none"/>
        </w:rPr>
        <w:t>进一步</w:t>
      </w:r>
      <w:r>
        <w:rPr>
          <w:rFonts w:hint="eastAsia" w:ascii="仿宋_GB2312" w:hAnsi="仿宋" w:eastAsia="仿宋_GB2312"/>
          <w:color w:val="auto"/>
          <w:sz w:val="32"/>
          <w:szCs w:val="32"/>
          <w:highlight w:val="none"/>
          <w:lang w:eastAsia="zh-CN"/>
        </w:rPr>
        <w:t>吸收</w:t>
      </w:r>
      <w:r>
        <w:rPr>
          <w:rFonts w:hint="eastAsia" w:ascii="仿宋_GB2312" w:hAnsi="仿宋" w:eastAsia="仿宋_GB2312"/>
          <w:color w:val="auto"/>
          <w:sz w:val="32"/>
          <w:szCs w:val="32"/>
          <w:highlight w:val="none"/>
        </w:rPr>
        <w:t>农村富裕劳动力。加大劳动技能培训，</w:t>
      </w:r>
      <w:r>
        <w:rPr>
          <w:rFonts w:hint="eastAsia" w:ascii="仿宋_GB2312" w:hAnsi="仿宋" w:eastAsia="仿宋_GB2312"/>
          <w:color w:val="auto"/>
          <w:sz w:val="32"/>
          <w:szCs w:val="32"/>
          <w:highlight w:val="none"/>
          <w:lang w:eastAsia="zh-CN"/>
        </w:rPr>
        <w:t>鼓励职业院校、技工院校和社会培训机构积极面向农民工开展职业技能培训，拓宽就业选择空间和提升劳动附加值。落实农民工与城镇职工平等就业制度，稳定工资性收入。推广政府投资项目“以工代赈”制，增加本地居民工资性收入。</w:t>
      </w:r>
      <w:r>
        <w:rPr>
          <w:rFonts w:hint="eastAsia" w:ascii="仿宋_GB2312" w:hAnsi="仿宋" w:eastAsia="仿宋_GB2312"/>
          <w:color w:val="auto"/>
          <w:sz w:val="32"/>
          <w:szCs w:val="32"/>
          <w:highlight w:val="none"/>
        </w:rPr>
        <w:t>积极拓展经营性收入，及时兑现转移性收入。</w:t>
      </w:r>
    </w:p>
    <w:p>
      <w:pPr>
        <w:pStyle w:val="4"/>
        <w:pageBreakBefore w:val="0"/>
        <w:widowControl w:val="0"/>
        <w:kinsoku/>
        <w:overflowPunct/>
        <w:topLinePunct w:val="0"/>
        <w:bidi w:val="0"/>
        <w:snapToGrid/>
        <w:spacing w:line="560" w:lineRule="exact"/>
        <w:textAlignment w:val="auto"/>
        <w:rPr>
          <w:color w:val="auto"/>
          <w:highlight w:val="none"/>
        </w:rPr>
      </w:pPr>
      <w:bookmarkStart w:id="136" w:name="_Toc17622_WPSOffice_Level2"/>
      <w:bookmarkStart w:id="137" w:name="_Toc14564_WPSOffice_Level2"/>
      <w:bookmarkStart w:id="138" w:name="_Toc57914203"/>
      <w:bookmarkStart w:id="139" w:name="_Toc640_WPSOffice_Level2"/>
      <w:r>
        <w:rPr>
          <w:rFonts w:hint="eastAsia"/>
          <w:color w:val="auto"/>
          <w:highlight w:val="none"/>
          <w:lang w:val="en-US" w:eastAsia="zh-CN"/>
        </w:rPr>
        <w:t>第四节 持续深化农村农垦改革</w:t>
      </w:r>
      <w:bookmarkEnd w:id="136"/>
      <w:bookmarkEnd w:id="137"/>
    </w:p>
    <w:p>
      <w:pPr>
        <w:keepNext w:val="0"/>
        <w:keepLines w:val="0"/>
        <w:pageBreakBefore w:val="0"/>
        <w:widowControl w:val="0"/>
        <w:kinsoku/>
        <w:overflowPunct/>
        <w:topLinePunct w:val="0"/>
        <w:bidi w:val="0"/>
        <w:snapToGrid/>
        <w:spacing w:line="600"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eastAsia="仿宋_GB2312" w:cs="仿宋_GB2312"/>
          <w:b/>
          <w:bCs/>
          <w:color w:val="auto"/>
          <w:sz w:val="32"/>
          <w:szCs w:val="32"/>
          <w:highlight w:val="none"/>
          <w:lang w:eastAsia="zh-CN"/>
        </w:rPr>
        <w:t>深入推进农村产权改革。</w:t>
      </w:r>
      <w:r>
        <w:rPr>
          <w:rFonts w:hint="eastAsia" w:eastAsia="仿宋_GB2312" w:cs="仿宋_GB2312"/>
          <w:b w:val="0"/>
          <w:bCs w:val="0"/>
          <w:color w:val="auto"/>
          <w:sz w:val="32"/>
          <w:szCs w:val="32"/>
          <w:highlight w:val="none"/>
          <w:lang w:eastAsia="zh-CN"/>
        </w:rPr>
        <w:t>加快完成农村承包地、集体经营性建设用地和房地一体的宅基地使用权确权登记颁证，加快推进农村不动产统一登记。</w:t>
      </w:r>
      <w:r>
        <w:rPr>
          <w:rFonts w:hint="eastAsia" w:eastAsia="仿宋_GB2312" w:cs="仿宋_GB2312"/>
          <w:color w:val="auto"/>
          <w:sz w:val="32"/>
          <w:szCs w:val="32"/>
          <w:highlight w:val="none"/>
          <w:lang w:eastAsia="zh-CN"/>
        </w:rPr>
        <w:t>探索</w:t>
      </w:r>
      <w:r>
        <w:rPr>
          <w:rFonts w:hint="eastAsia" w:eastAsia="仿宋_GB2312" w:cs="仿宋_GB2312"/>
          <w:color w:val="auto"/>
          <w:sz w:val="32"/>
          <w:szCs w:val="32"/>
          <w:highlight w:val="none"/>
        </w:rPr>
        <w:t>建立市级农村产权流转交易市场和线上交易服务平台，乡镇建立交易服务中心，实现农村产权流转交易的公开、公正、规范运行。</w:t>
      </w:r>
      <w:r>
        <w:rPr>
          <w:rFonts w:hint="eastAsia" w:eastAsia="仿宋_GB2312" w:cs="仿宋_GB2312"/>
          <w:b w:val="0"/>
          <w:bCs w:val="0"/>
          <w:color w:val="auto"/>
          <w:sz w:val="32"/>
          <w:szCs w:val="32"/>
          <w:highlight w:val="none"/>
          <w:lang w:eastAsia="zh-CN"/>
        </w:rPr>
        <w:t>统筹推进农村土地征收、集体经营性建设用地入市和宅基地制度改革试点。推进征地制度改革，缩小土地征收范围，规范土地征收程序。推进宅基地所有权、资格权、使用权三权分置，探索宅基地有偿使用和退出机制，优化宅基地审批和农房报建审批手续，保障农民居住权。盘活利用农村闲置低效建设用地。推进土地资源要素价格市场化改革。推进农村资产股份权能改革。依法依规开展农村集体经营性建设用地使用权、农民房屋财产权、集体林权抵押融资，以及承包地经营权、集体资产股权等担保融资。</w:t>
      </w:r>
    </w:p>
    <w:p>
      <w:pPr>
        <w:pStyle w:val="2"/>
        <w:keepNext w:val="0"/>
        <w:keepLines w:val="0"/>
        <w:pageBreakBefore w:val="0"/>
        <w:widowControl w:val="0"/>
        <w:kinsoku/>
        <w:wordWrap w:val="0"/>
        <w:overflowPunct/>
        <w:topLinePunct w:val="0"/>
        <w:bidi w:val="0"/>
        <w:snapToGrid/>
        <w:spacing w:line="600" w:lineRule="exact"/>
        <w:ind w:firstLine="643" w:firstLineChars="200"/>
        <w:jc w:val="both"/>
        <w:textAlignment w:val="auto"/>
        <w:rPr>
          <w:rFonts w:eastAsia="黑体"/>
          <w:bCs/>
          <w:color w:val="auto"/>
          <w:kern w:val="44"/>
          <w:sz w:val="32"/>
          <w:szCs w:val="32"/>
          <w:highlight w:val="none"/>
        </w:rPr>
      </w:pPr>
      <w:r>
        <w:rPr>
          <w:rFonts w:hint="eastAsia" w:ascii="仿宋_GB2312" w:hAnsi="仿宋_GB2312" w:eastAsia="仿宋_GB2312" w:cs="仿宋_GB2312"/>
          <w:b/>
          <w:bCs w:val="0"/>
          <w:color w:val="auto"/>
          <w:sz w:val="32"/>
          <w:szCs w:val="32"/>
          <w:highlight w:val="none"/>
          <w:lang w:eastAsia="zh-CN"/>
        </w:rPr>
        <w:t>支持农垦市场化改革。</w:t>
      </w:r>
      <w:r>
        <w:rPr>
          <w:rFonts w:hint="eastAsia" w:ascii="仿宋_GB2312" w:hAnsi="仿宋_GB2312" w:eastAsia="仿宋_GB2312" w:cs="仿宋_GB2312"/>
          <w:b w:val="0"/>
          <w:bCs/>
          <w:color w:val="auto"/>
          <w:sz w:val="32"/>
          <w:szCs w:val="32"/>
          <w:highlight w:val="none"/>
          <w:lang w:eastAsia="zh-CN"/>
        </w:rPr>
        <w:t>支持</w:t>
      </w:r>
      <w:r>
        <w:rPr>
          <w:rFonts w:hint="eastAsia" w:ascii="仿宋_GB2312" w:hAnsi="仿宋_GB2312" w:eastAsia="仿宋_GB2312" w:cs="仿宋_GB2312"/>
          <w:color w:val="auto"/>
          <w:sz w:val="32"/>
          <w:szCs w:val="32"/>
          <w:highlight w:val="none"/>
        </w:rPr>
        <w:t>农垦深入实施“八八战略”，打造垦地融合发展示范样板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加强垦地融合，加大公共设施投入，建设美丽社区，支持场部旧城区更新</w:t>
      </w:r>
      <w:r>
        <w:rPr>
          <w:rFonts w:hint="eastAsia" w:ascii="仿宋_GB2312" w:hAnsi="仿宋_GB2312" w:eastAsia="仿宋_GB2312" w:cs="仿宋_GB2312"/>
          <w:color w:val="auto"/>
          <w:sz w:val="32"/>
          <w:szCs w:val="32"/>
          <w:highlight w:val="none"/>
          <w:lang w:eastAsia="zh-CN"/>
        </w:rPr>
        <w:t>改造</w:t>
      </w:r>
      <w:r>
        <w:rPr>
          <w:rFonts w:hint="eastAsia" w:ascii="仿宋_GB2312" w:hAnsi="仿宋_GB2312" w:eastAsia="仿宋_GB2312" w:cs="仿宋_GB2312"/>
          <w:color w:val="auto"/>
          <w:sz w:val="32"/>
          <w:szCs w:val="32"/>
          <w:highlight w:val="none"/>
        </w:rPr>
        <w:t>、产业小镇及美丽乡村建设、海垦共享农庄及田园综合体建设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lang w:eastAsia="zh-CN"/>
        </w:rPr>
        <w:t>推动垦区资源资产整合、产业优化升级、科技创新成果转化和土地资源资产化资本化，打造重要国有资本投融资平台。将“三块地”改革拓展到垦区，探索垦区和乡镇用地新模式，促进城乡和垦地协调发展。支持盘活农垦优势土地资源，提升农垦资本运作能力。大力支持海垦集团在儋州的改革创新试点和重大项目建设。</w:t>
      </w:r>
      <w:bookmarkEnd w:id="138"/>
      <w:bookmarkEnd w:id="139"/>
    </w:p>
    <w:p>
      <w:pPr>
        <w:pStyle w:val="3"/>
        <w:keepNext/>
        <w:keepLines/>
        <w:pageBreakBefore w:val="0"/>
        <w:widowControl w:val="0"/>
        <w:kinsoku/>
        <w:wordWrap/>
        <w:overflowPunct/>
        <w:topLinePunct w:val="0"/>
        <w:autoSpaceDE/>
        <w:autoSpaceDN/>
        <w:bidi w:val="0"/>
        <w:adjustRightInd/>
        <w:snapToGrid/>
        <w:spacing w:after="0" w:line="579" w:lineRule="auto"/>
        <w:textAlignment w:val="auto"/>
        <w:rPr>
          <w:rFonts w:hint="eastAsia"/>
          <w:color w:val="auto"/>
          <w:highlight w:val="none"/>
          <w:lang w:val="en-US" w:eastAsia="zh-CN"/>
        </w:rPr>
      </w:pPr>
      <w:bookmarkStart w:id="140" w:name="_Toc24643_WPSOffice_Level1"/>
      <w:bookmarkStart w:id="141" w:name="_Toc16352_WPSOffice_Level1"/>
      <w:bookmarkStart w:id="142" w:name="_Toc18806_WPSOffice_Level1"/>
      <w:bookmarkStart w:id="143" w:name="_Toc57914208"/>
      <w:r>
        <w:rPr>
          <w:rFonts w:hint="eastAsia"/>
          <w:color w:val="auto"/>
          <w:highlight w:val="none"/>
        </w:rPr>
        <w:t>第</w:t>
      </w:r>
      <w:r>
        <w:rPr>
          <w:rFonts w:hint="eastAsia"/>
          <w:color w:val="auto"/>
          <w:highlight w:val="none"/>
          <w:lang w:eastAsia="zh-CN"/>
        </w:rPr>
        <w:t>六</w:t>
      </w:r>
      <w:r>
        <w:rPr>
          <w:rFonts w:hint="eastAsia"/>
          <w:color w:val="auto"/>
          <w:highlight w:val="none"/>
        </w:rPr>
        <w:t>章</w:t>
      </w:r>
      <w:r>
        <w:rPr>
          <w:color w:val="auto"/>
          <w:highlight w:val="none"/>
        </w:rPr>
        <w:t xml:space="preserve"> </w:t>
      </w:r>
      <w:r>
        <w:rPr>
          <w:rFonts w:hint="eastAsia"/>
          <w:color w:val="auto"/>
          <w:highlight w:val="none"/>
        </w:rPr>
        <w:t>践行绿色发展</w:t>
      </w:r>
      <w:bookmarkEnd w:id="140"/>
      <w:r>
        <w:rPr>
          <w:rFonts w:hint="eastAsia"/>
          <w:color w:val="auto"/>
          <w:highlight w:val="none"/>
          <w:lang w:val="en-US" w:eastAsia="zh-CN"/>
        </w:rPr>
        <w:t xml:space="preserve"> </w:t>
      </w:r>
    </w:p>
    <w:p>
      <w:pPr>
        <w:pStyle w:val="3"/>
        <w:keepNext/>
        <w:keepLines/>
        <w:pageBreakBefore w:val="0"/>
        <w:widowControl w:val="0"/>
        <w:kinsoku/>
        <w:wordWrap/>
        <w:overflowPunct/>
        <w:topLinePunct w:val="0"/>
        <w:autoSpaceDE/>
        <w:autoSpaceDN/>
        <w:bidi w:val="0"/>
        <w:adjustRightInd/>
        <w:snapToGrid/>
        <w:spacing w:before="0" w:line="579" w:lineRule="auto"/>
        <w:textAlignment w:val="auto"/>
        <w:rPr>
          <w:color w:val="auto"/>
          <w:highlight w:val="none"/>
        </w:rPr>
      </w:pPr>
      <w:bookmarkStart w:id="144" w:name="_Toc21936_WPSOffice_Level2"/>
      <w:bookmarkStart w:id="145" w:name="_Toc23318_WPSOffice_Level2"/>
      <w:bookmarkStart w:id="146" w:name="_Toc26704_WPSOffice_Level2"/>
      <w:bookmarkStart w:id="147" w:name="_Toc1584_WPSOffice_Level2"/>
      <w:r>
        <w:rPr>
          <w:rFonts w:hint="eastAsia"/>
          <w:color w:val="auto"/>
          <w:highlight w:val="none"/>
        </w:rPr>
        <w:t>全力</w:t>
      </w:r>
      <w:r>
        <w:rPr>
          <w:rFonts w:hint="eastAsia"/>
          <w:color w:val="auto"/>
          <w:highlight w:val="none"/>
          <w:u w:val="none"/>
          <w:lang w:eastAsia="zh-CN"/>
        </w:rPr>
        <w:t>创建</w:t>
      </w:r>
      <w:r>
        <w:rPr>
          <w:rFonts w:hint="eastAsia"/>
          <w:color w:val="auto"/>
          <w:highlight w:val="none"/>
          <w:u w:val="none"/>
        </w:rPr>
        <w:t>国家生态文明建设</w:t>
      </w:r>
      <w:r>
        <w:rPr>
          <w:rFonts w:hint="eastAsia"/>
          <w:color w:val="auto"/>
          <w:highlight w:val="none"/>
        </w:rPr>
        <w:t>示范市</w:t>
      </w:r>
      <w:bookmarkEnd w:id="141"/>
      <w:bookmarkEnd w:id="142"/>
      <w:bookmarkEnd w:id="143"/>
      <w:bookmarkEnd w:id="144"/>
      <w:bookmarkEnd w:id="145"/>
      <w:bookmarkEnd w:id="146"/>
      <w:bookmarkEnd w:id="147"/>
    </w:p>
    <w:p>
      <w:pPr>
        <w:pageBreakBefore w:val="0"/>
        <w:widowControl w:val="0"/>
        <w:kinsoku/>
        <w:wordWrap/>
        <w:overflowPunct/>
        <w:topLinePunct w:val="0"/>
        <w:autoSpaceDE/>
        <w:autoSpaceDN/>
        <w:bidi w:val="0"/>
        <w:adjustRightInd/>
        <w:snapToGrid/>
        <w:spacing w:line="560" w:lineRule="exact"/>
        <w:ind w:firstLine="643"/>
        <w:textAlignment w:val="auto"/>
        <w:rPr>
          <w:rFonts w:hint="eastAsia" w:eastAsia="仿宋_GB2312"/>
          <w:color w:val="auto"/>
          <w:sz w:val="32"/>
          <w:szCs w:val="32"/>
          <w:highlight w:val="none"/>
        </w:rPr>
      </w:pPr>
      <w:r>
        <w:rPr>
          <w:rFonts w:hint="eastAsia" w:eastAsia="仿宋_GB2312"/>
          <w:color w:val="auto"/>
          <w:sz w:val="32"/>
          <w:szCs w:val="32"/>
          <w:highlight w:val="none"/>
        </w:rPr>
        <w:t>全面践行“绿水青山就是金山银山”理念</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积极探索生态产品价值实现路径，把生态资源转化为生态资产。</w:t>
      </w:r>
      <w:r>
        <w:rPr>
          <w:rFonts w:hint="eastAsia" w:eastAsia="仿宋_GB2312"/>
          <w:b w:val="0"/>
          <w:bCs w:val="0"/>
          <w:color w:val="auto"/>
          <w:sz w:val="32"/>
          <w:szCs w:val="32"/>
          <w:highlight w:val="none"/>
        </w:rPr>
        <w:t>坚决打赢水、大气、噪声、土壤、固废污染防治等攻坚战，</w:t>
      </w:r>
      <w:r>
        <w:rPr>
          <w:rFonts w:hint="eastAsia" w:eastAsia="仿宋_GB2312"/>
          <w:color w:val="auto"/>
          <w:sz w:val="32"/>
          <w:szCs w:val="32"/>
          <w:highlight w:val="none"/>
        </w:rPr>
        <w:t>推进发展方式绿色化转型，</w:t>
      </w:r>
      <w:r>
        <w:rPr>
          <w:rFonts w:hint="eastAsia" w:ascii="仿宋_GB2312" w:hAnsi="仿宋_GB2312" w:eastAsia="仿宋_GB2312" w:cs="仿宋_GB2312"/>
          <w:color w:val="auto"/>
          <w:sz w:val="32"/>
          <w:szCs w:val="32"/>
          <w:highlight w:val="none"/>
          <w:lang w:eastAsia="zh-CN"/>
        </w:rPr>
        <w:t>以</w:t>
      </w:r>
      <w:r>
        <w:rPr>
          <w:rFonts w:hint="eastAsia" w:ascii="仿宋_GB2312" w:hAnsi="仿宋_GB2312" w:eastAsia="仿宋_GB2312" w:cs="仿宋_GB2312"/>
          <w:color w:val="auto"/>
          <w:sz w:val="32"/>
          <w:szCs w:val="32"/>
          <w:highlight w:val="none"/>
        </w:rPr>
        <w:t>最严格的制度</w:t>
      </w:r>
      <w:r>
        <w:rPr>
          <w:rFonts w:hint="eastAsia" w:ascii="仿宋_GB2312" w:hAnsi="仿宋_GB2312" w:eastAsia="仿宋_GB2312" w:cs="仿宋_GB2312"/>
          <w:color w:val="auto"/>
          <w:sz w:val="32"/>
          <w:szCs w:val="32"/>
          <w:highlight w:val="none"/>
          <w:lang w:eastAsia="zh-CN"/>
        </w:rPr>
        <w:t>和措施确保儋州生态环境只能更好、不能变差。积极</w:t>
      </w:r>
      <w:r>
        <w:rPr>
          <w:rFonts w:hint="eastAsia" w:eastAsia="仿宋_GB2312"/>
          <w:color w:val="auto"/>
          <w:sz w:val="32"/>
          <w:szCs w:val="32"/>
          <w:highlight w:val="none"/>
          <w:lang w:eastAsia="zh-CN"/>
        </w:rPr>
        <w:t>融入</w:t>
      </w:r>
      <w:r>
        <w:rPr>
          <w:rFonts w:hint="eastAsia" w:eastAsia="仿宋_GB2312"/>
          <w:color w:val="auto"/>
          <w:sz w:val="32"/>
          <w:szCs w:val="32"/>
          <w:highlight w:val="none"/>
        </w:rPr>
        <w:t>国家生态文明试验区建设，高</w:t>
      </w:r>
      <w:r>
        <w:rPr>
          <w:rFonts w:hint="eastAsia" w:eastAsia="仿宋_GB2312"/>
          <w:color w:val="auto"/>
          <w:sz w:val="32"/>
          <w:szCs w:val="32"/>
          <w:highlight w:val="none"/>
          <w:lang w:eastAsia="zh-CN"/>
        </w:rPr>
        <w:t>标准</w:t>
      </w:r>
      <w:r>
        <w:rPr>
          <w:rFonts w:hint="eastAsia" w:eastAsia="仿宋_GB2312"/>
          <w:color w:val="auto"/>
          <w:sz w:val="32"/>
          <w:szCs w:val="32"/>
          <w:highlight w:val="none"/>
        </w:rPr>
        <w:t>创建</w:t>
      </w:r>
      <w:r>
        <w:rPr>
          <w:rFonts w:hint="eastAsia" w:eastAsia="仿宋_GB2312"/>
          <w:color w:val="auto"/>
          <w:sz w:val="32"/>
          <w:szCs w:val="32"/>
          <w:highlight w:val="none"/>
          <w:lang w:eastAsia="zh-CN"/>
        </w:rPr>
        <w:t>国家</w:t>
      </w:r>
      <w:r>
        <w:rPr>
          <w:rFonts w:hint="eastAsia" w:eastAsia="仿宋_GB2312"/>
          <w:color w:val="auto"/>
          <w:sz w:val="32"/>
          <w:szCs w:val="32"/>
          <w:highlight w:val="none"/>
        </w:rPr>
        <w:t>生态文明建设示范市</w:t>
      </w:r>
      <w:r>
        <w:rPr>
          <w:rFonts w:hint="eastAsia" w:eastAsia="仿宋_GB2312"/>
          <w:color w:val="auto"/>
          <w:sz w:val="32"/>
          <w:szCs w:val="32"/>
          <w:highlight w:val="none"/>
          <w:lang w:eastAsia="zh-CN"/>
        </w:rPr>
        <w:t>，</w:t>
      </w:r>
      <w:r>
        <w:rPr>
          <w:rFonts w:hint="eastAsia" w:eastAsia="仿宋_GB2312"/>
          <w:b w:val="0"/>
          <w:bCs w:val="0"/>
          <w:color w:val="auto"/>
          <w:sz w:val="32"/>
          <w:szCs w:val="32"/>
          <w:highlight w:val="none"/>
        </w:rPr>
        <w:t>提高公众</w:t>
      </w:r>
      <w:r>
        <w:rPr>
          <w:rFonts w:hint="eastAsia" w:eastAsia="仿宋_GB2312"/>
          <w:b w:val="0"/>
          <w:bCs w:val="0"/>
          <w:color w:val="auto"/>
          <w:sz w:val="32"/>
          <w:szCs w:val="32"/>
          <w:highlight w:val="none"/>
          <w:lang w:eastAsia="zh-CN"/>
        </w:rPr>
        <w:t>环保意识和</w:t>
      </w:r>
      <w:r>
        <w:rPr>
          <w:rFonts w:hint="eastAsia" w:eastAsia="仿宋_GB2312"/>
          <w:b w:val="0"/>
          <w:bCs w:val="0"/>
          <w:color w:val="auto"/>
          <w:sz w:val="32"/>
          <w:szCs w:val="32"/>
          <w:highlight w:val="none"/>
        </w:rPr>
        <w:t>对环境质量的满意度</w:t>
      </w:r>
      <w:r>
        <w:rPr>
          <w:rFonts w:hint="eastAsia" w:eastAsia="仿宋_GB2312"/>
          <w:b w:val="0"/>
          <w:bCs w:val="0"/>
          <w:color w:val="auto"/>
          <w:sz w:val="32"/>
          <w:szCs w:val="32"/>
          <w:highlight w:val="none"/>
          <w:lang w:eastAsia="zh-CN"/>
        </w:rPr>
        <w:t>。</w:t>
      </w:r>
    </w:p>
    <w:p>
      <w:pPr>
        <w:pStyle w:val="4"/>
        <w:pageBreakBefore w:val="0"/>
        <w:widowControl w:val="0"/>
        <w:kinsoku/>
        <w:wordWrap/>
        <w:overflowPunct/>
        <w:topLinePunct w:val="0"/>
        <w:autoSpaceDE/>
        <w:autoSpaceDN/>
        <w:bidi w:val="0"/>
        <w:adjustRightInd/>
        <w:snapToGrid/>
        <w:spacing w:line="560" w:lineRule="exact"/>
        <w:textAlignment w:val="auto"/>
        <w:rPr>
          <w:color w:val="auto"/>
          <w:highlight w:val="none"/>
        </w:rPr>
      </w:pPr>
      <w:bookmarkStart w:id="148" w:name="_Toc57914210"/>
      <w:bookmarkStart w:id="149" w:name="_Toc13699_WPSOffice_Level2"/>
      <w:bookmarkStart w:id="150" w:name="_Toc10927_WPSOffice_Level2"/>
      <w:bookmarkStart w:id="151" w:name="_Toc25763_WPSOffice_Level2"/>
      <w:r>
        <w:rPr>
          <w:rFonts w:hint="eastAsia"/>
          <w:color w:val="auto"/>
          <w:highlight w:val="none"/>
        </w:rPr>
        <w:t>第</w:t>
      </w:r>
      <w:r>
        <w:rPr>
          <w:rFonts w:hint="eastAsia"/>
          <w:color w:val="auto"/>
          <w:highlight w:val="none"/>
          <w:lang w:eastAsia="zh-CN"/>
        </w:rPr>
        <w:t>一</w:t>
      </w:r>
      <w:r>
        <w:rPr>
          <w:rFonts w:hint="eastAsia"/>
          <w:color w:val="auto"/>
          <w:highlight w:val="none"/>
        </w:rPr>
        <w:t xml:space="preserve">节 </w:t>
      </w:r>
      <w:bookmarkEnd w:id="148"/>
      <w:bookmarkEnd w:id="149"/>
      <w:r>
        <w:rPr>
          <w:rFonts w:hint="eastAsia"/>
          <w:color w:val="auto"/>
          <w:highlight w:val="none"/>
        </w:rPr>
        <w:t>加快推动绿色低碳发展</w:t>
      </w:r>
      <w:bookmarkEnd w:id="150"/>
      <w:bookmarkEnd w:id="151"/>
    </w:p>
    <w:p>
      <w:pPr>
        <w:pageBreakBefore w:val="0"/>
        <w:widowControl w:val="0"/>
        <w:kinsoku/>
        <w:wordWrap/>
        <w:overflowPunct/>
        <w:topLinePunct w:val="0"/>
        <w:autoSpaceDE/>
        <w:autoSpaceDN/>
        <w:bidi w:val="0"/>
        <w:adjustRightInd/>
        <w:snapToGrid/>
        <w:spacing w:line="560" w:lineRule="exact"/>
        <w:ind w:firstLine="643"/>
        <w:textAlignment w:val="auto"/>
        <w:rPr>
          <w:rFonts w:eastAsia="仿宋_GB2312"/>
          <w:color w:val="auto"/>
          <w:sz w:val="32"/>
          <w:szCs w:val="32"/>
          <w:highlight w:val="none"/>
        </w:rPr>
      </w:pPr>
      <w:r>
        <w:rPr>
          <w:rFonts w:hint="eastAsia" w:eastAsia="仿宋_GB2312"/>
          <w:b/>
          <w:bCs/>
          <w:color w:val="auto"/>
          <w:sz w:val="32"/>
          <w:szCs w:val="32"/>
          <w:highlight w:val="none"/>
        </w:rPr>
        <w:t>发展绿色</w:t>
      </w:r>
      <w:r>
        <w:rPr>
          <w:rFonts w:hint="eastAsia" w:ascii="楷体_GB2312" w:hAnsi="楷体_GB2312" w:eastAsia="楷体_GB2312" w:cs="楷体_GB2312"/>
          <w:b/>
          <w:bCs/>
          <w:color w:val="auto"/>
          <w:sz w:val="32"/>
          <w:szCs w:val="32"/>
          <w:highlight w:val="none"/>
        </w:rPr>
        <w:t>低碳</w:t>
      </w:r>
      <w:r>
        <w:rPr>
          <w:rFonts w:hint="eastAsia" w:eastAsia="仿宋_GB2312"/>
          <w:b/>
          <w:bCs/>
          <w:color w:val="auto"/>
          <w:sz w:val="32"/>
          <w:szCs w:val="32"/>
          <w:highlight w:val="none"/>
          <w:lang w:eastAsia="zh-CN"/>
        </w:rPr>
        <w:t>生产方式</w:t>
      </w:r>
      <w:r>
        <w:rPr>
          <w:rFonts w:hint="eastAsia" w:eastAsia="仿宋_GB2312"/>
          <w:b/>
          <w:bCs/>
          <w:color w:val="auto"/>
          <w:sz w:val="32"/>
          <w:szCs w:val="32"/>
          <w:highlight w:val="none"/>
        </w:rPr>
        <w:t>。</w:t>
      </w:r>
      <w:r>
        <w:rPr>
          <w:rFonts w:hint="eastAsia" w:eastAsia="仿宋_GB2312"/>
          <w:color w:val="auto"/>
          <w:sz w:val="32"/>
          <w:szCs w:val="32"/>
          <w:highlight w:val="none"/>
        </w:rPr>
        <w:t>实施产业结构调整负面清单和落后产能淘汰政策，</w:t>
      </w:r>
      <w:r>
        <w:rPr>
          <w:rFonts w:hint="eastAsia" w:eastAsia="仿宋_GB2312"/>
          <w:b w:val="0"/>
          <w:bCs w:val="0"/>
          <w:color w:val="auto"/>
          <w:sz w:val="32"/>
          <w:szCs w:val="32"/>
          <w:highlight w:val="none"/>
          <w:lang w:eastAsia="zh-CN"/>
        </w:rPr>
        <w:t>全面提高能源资源利用效率，推动形成绿色生产方式。实施</w:t>
      </w:r>
      <w:r>
        <w:rPr>
          <w:rFonts w:hint="eastAsia" w:eastAsia="仿宋_GB2312"/>
          <w:b w:val="0"/>
          <w:bCs w:val="0"/>
          <w:color w:val="auto"/>
          <w:sz w:val="32"/>
          <w:szCs w:val="32"/>
          <w:highlight w:val="none"/>
          <w:u w:val="none"/>
          <w:lang w:eastAsia="zh-CN"/>
        </w:rPr>
        <w:t>能源消耗总量和碳排放总量及强度双控</w:t>
      </w:r>
      <w:r>
        <w:rPr>
          <w:rFonts w:hint="eastAsia" w:eastAsia="仿宋_GB2312"/>
          <w:b w:val="0"/>
          <w:bCs w:val="0"/>
          <w:color w:val="auto"/>
          <w:sz w:val="32"/>
          <w:szCs w:val="32"/>
          <w:highlight w:val="none"/>
          <w:lang w:eastAsia="zh-CN"/>
        </w:rPr>
        <w:t>行动，</w:t>
      </w:r>
      <w:r>
        <w:rPr>
          <w:rFonts w:hint="eastAsia" w:ascii="仿宋_GB2312" w:hAnsi="仿宋_GB2312" w:eastAsia="仿宋_GB2312" w:cs="仿宋_GB2312"/>
          <w:b w:val="0"/>
          <w:bCs w:val="0"/>
          <w:color w:val="auto"/>
          <w:sz w:val="32"/>
          <w:szCs w:val="32"/>
          <w:highlight w:val="none"/>
        </w:rPr>
        <w:t>探索碳中和实现机制。</w:t>
      </w:r>
      <w:r>
        <w:rPr>
          <w:rFonts w:hint="eastAsia" w:eastAsia="仿宋_GB2312"/>
          <w:color w:val="auto"/>
          <w:sz w:val="32"/>
          <w:szCs w:val="32"/>
          <w:highlight w:val="none"/>
        </w:rPr>
        <w:t>提升各领域、各行业节能标准要求，</w:t>
      </w:r>
      <w:r>
        <w:rPr>
          <w:rFonts w:hint="eastAsia" w:ascii="仿宋_GB2312" w:hAnsi="仿宋_GB2312" w:eastAsia="仿宋_GB2312" w:cs="仿宋_GB2312"/>
          <w:color w:val="auto"/>
          <w:sz w:val="32"/>
          <w:szCs w:val="32"/>
          <w:highlight w:val="none"/>
        </w:rPr>
        <w:t>推广绿色节能建筑、高效节能家电等，实现资源节约。</w:t>
      </w:r>
      <w:r>
        <w:rPr>
          <w:rFonts w:hint="eastAsia" w:ascii="仿宋_GB2312" w:hAnsi="仿宋_GB2312" w:eastAsia="仿宋_GB2312" w:cs="仿宋_GB2312"/>
          <w:color w:val="auto"/>
          <w:sz w:val="32"/>
          <w:szCs w:val="32"/>
          <w:highlight w:val="none"/>
          <w:lang w:eastAsia="zh-CN"/>
        </w:rPr>
        <w:t>规划建设充电桩、充电站等设施</w:t>
      </w:r>
      <w:r>
        <w:rPr>
          <w:rFonts w:hint="eastAsia" w:eastAsia="仿宋_GB2312"/>
          <w:color w:val="auto"/>
          <w:sz w:val="32"/>
          <w:szCs w:val="32"/>
          <w:highlight w:val="none"/>
        </w:rPr>
        <w:t>；</w:t>
      </w:r>
      <w:r>
        <w:rPr>
          <w:rFonts w:hint="eastAsia" w:ascii="仿宋_GB2312" w:hAnsi="仿宋_GB2312" w:eastAsia="仿宋_GB2312" w:cs="仿宋_GB2312"/>
          <w:color w:val="auto"/>
          <w:sz w:val="32"/>
          <w:szCs w:val="32"/>
          <w:highlight w:val="none"/>
        </w:rPr>
        <w:t>推动光伏发电、沼气发电、风能发电</w:t>
      </w:r>
      <w:r>
        <w:rPr>
          <w:rFonts w:hint="eastAsia" w:ascii="仿宋_GB2312" w:hAnsi="仿宋_GB2312" w:eastAsia="仿宋_GB2312" w:cs="仿宋_GB2312"/>
          <w:color w:val="auto"/>
          <w:sz w:val="32"/>
          <w:szCs w:val="32"/>
          <w:highlight w:val="none"/>
          <w:lang w:eastAsia="zh-CN"/>
        </w:rPr>
        <w:t>、垃圾发电产业发展</w:t>
      </w:r>
      <w:r>
        <w:rPr>
          <w:rFonts w:hint="eastAsia" w:ascii="仿宋_GB2312" w:hAnsi="仿宋_GB2312" w:eastAsia="仿宋_GB2312" w:cs="仿宋_GB2312"/>
          <w:color w:val="auto"/>
          <w:sz w:val="32"/>
          <w:szCs w:val="32"/>
          <w:highlight w:val="none"/>
        </w:rPr>
        <w:t>，全面</w:t>
      </w:r>
      <w:r>
        <w:rPr>
          <w:rFonts w:hint="eastAsia" w:eastAsia="仿宋_GB2312"/>
          <w:color w:val="auto"/>
          <w:sz w:val="32"/>
          <w:szCs w:val="32"/>
          <w:highlight w:val="none"/>
        </w:rPr>
        <w:t>推进能源清洁化。探索建立以绿色生态和市场为导向的农业补贴制度，推动生态养殖、清洁农业</w:t>
      </w:r>
      <w:r>
        <w:rPr>
          <w:rFonts w:hint="eastAsia" w:eastAsia="仿宋_GB2312"/>
          <w:color w:val="auto"/>
          <w:sz w:val="32"/>
          <w:szCs w:val="32"/>
          <w:highlight w:val="none"/>
          <w:lang w:eastAsia="zh-CN"/>
        </w:rPr>
        <w:t>，</w:t>
      </w:r>
      <w:r>
        <w:rPr>
          <w:rFonts w:hint="eastAsia" w:eastAsia="仿宋_GB2312"/>
          <w:color w:val="auto"/>
          <w:sz w:val="32"/>
          <w:szCs w:val="32"/>
          <w:highlight w:val="none"/>
        </w:rPr>
        <w:t>培育生态产品品牌。鼓励低碳技术创新和应用，提高资源利用效率。</w:t>
      </w:r>
      <w:r>
        <w:rPr>
          <w:rFonts w:hint="eastAsia" w:eastAsia="仿宋_GB2312"/>
          <w:color w:val="auto"/>
          <w:sz w:val="32"/>
          <w:szCs w:val="32"/>
          <w:highlight w:val="none"/>
          <w:lang w:eastAsia="zh-CN"/>
        </w:rPr>
        <w:t>鼓励</w:t>
      </w:r>
      <w:r>
        <w:rPr>
          <w:rFonts w:hint="eastAsia" w:eastAsia="仿宋_GB2312"/>
          <w:color w:val="auto"/>
          <w:sz w:val="32"/>
          <w:szCs w:val="32"/>
          <w:highlight w:val="none"/>
        </w:rPr>
        <w:t>建设</w:t>
      </w:r>
      <w:r>
        <w:rPr>
          <w:rFonts w:hint="eastAsia" w:eastAsia="仿宋_GB2312"/>
          <w:color w:val="auto"/>
          <w:sz w:val="32"/>
          <w:szCs w:val="32"/>
          <w:highlight w:val="none"/>
          <w:lang w:eastAsia="zh-CN"/>
        </w:rPr>
        <w:t>再生资源加工厂、</w:t>
      </w:r>
      <w:r>
        <w:rPr>
          <w:rFonts w:eastAsia="仿宋_GB2312"/>
          <w:color w:val="auto"/>
          <w:sz w:val="32"/>
          <w:szCs w:val="32"/>
          <w:highlight w:val="none"/>
        </w:rPr>
        <w:t>再生资源专业市场</w:t>
      </w:r>
      <w:r>
        <w:rPr>
          <w:rFonts w:hint="eastAsia" w:eastAsia="仿宋_GB2312"/>
          <w:color w:val="auto"/>
          <w:sz w:val="32"/>
          <w:szCs w:val="32"/>
          <w:highlight w:val="none"/>
          <w:lang w:eastAsia="zh-CN"/>
        </w:rPr>
        <w:t>、</w:t>
      </w:r>
      <w:r>
        <w:rPr>
          <w:rFonts w:hint="eastAsia" w:eastAsia="仿宋_GB2312"/>
          <w:color w:val="auto"/>
          <w:sz w:val="32"/>
          <w:szCs w:val="32"/>
          <w:highlight w:val="none"/>
        </w:rPr>
        <w:t>乡镇</w:t>
      </w:r>
      <w:r>
        <w:rPr>
          <w:rFonts w:hint="eastAsia" w:eastAsia="仿宋_GB2312"/>
          <w:color w:val="auto"/>
          <w:sz w:val="32"/>
          <w:szCs w:val="32"/>
          <w:highlight w:val="none"/>
          <w:lang w:eastAsia="zh-CN"/>
        </w:rPr>
        <w:t>设</w:t>
      </w:r>
      <w:r>
        <w:rPr>
          <w:rFonts w:hint="eastAsia" w:eastAsia="仿宋_GB2312"/>
          <w:color w:val="auto"/>
          <w:sz w:val="32"/>
          <w:szCs w:val="32"/>
          <w:highlight w:val="none"/>
        </w:rPr>
        <w:t>收购站</w:t>
      </w:r>
      <w:r>
        <w:rPr>
          <w:rFonts w:hint="eastAsia" w:eastAsia="仿宋_GB2312"/>
          <w:color w:val="auto"/>
          <w:sz w:val="32"/>
          <w:szCs w:val="32"/>
          <w:highlight w:val="none"/>
          <w:lang w:eastAsia="zh-CN"/>
        </w:rPr>
        <w:t>、</w:t>
      </w:r>
      <w:r>
        <w:rPr>
          <w:rFonts w:hint="eastAsia" w:eastAsia="仿宋_GB2312"/>
          <w:color w:val="auto"/>
          <w:sz w:val="32"/>
          <w:szCs w:val="32"/>
          <w:highlight w:val="none"/>
        </w:rPr>
        <w:t>村社区设收购点，发展绿色循环经济。</w:t>
      </w:r>
      <w:r>
        <w:rPr>
          <w:rFonts w:hint="eastAsia" w:eastAsia="仿宋_GB2312"/>
          <w:color w:val="auto"/>
          <w:sz w:val="32"/>
          <w:szCs w:val="32"/>
          <w:highlight w:val="none"/>
          <w:lang w:eastAsia="zh-CN"/>
        </w:rPr>
        <w:t>继续加强和光大国际的合作机制，推动固体</w:t>
      </w:r>
      <w:r>
        <w:rPr>
          <w:rFonts w:hint="eastAsia" w:ascii="仿宋_GB2312" w:hAnsi="仿宋_GB2312" w:eastAsia="仿宋_GB2312" w:cs="仿宋_GB2312"/>
          <w:snapToGrid w:val="0"/>
          <w:color w:val="auto"/>
          <w:sz w:val="32"/>
          <w:szCs w:val="32"/>
          <w:highlight w:val="none"/>
          <w:shd w:val="clear" w:color="auto" w:fill="FFFFFF"/>
          <w:lang w:eastAsia="zh-CN"/>
        </w:rPr>
        <w:t>废弃物资源化利用中心的项目实施，打造环保循环经济产业基地。</w:t>
      </w:r>
    </w:p>
    <w:p>
      <w:pPr>
        <w:pageBreakBefore w:val="0"/>
        <w:widowControl w:val="0"/>
        <w:kinsoku/>
        <w:wordWrap/>
        <w:overflowPunct/>
        <w:topLinePunct w:val="0"/>
        <w:autoSpaceDE/>
        <w:autoSpaceDN/>
        <w:bidi w:val="0"/>
        <w:adjustRightInd/>
        <w:snapToGrid/>
        <w:spacing w:line="560" w:lineRule="exact"/>
        <w:ind w:firstLine="643"/>
        <w:textAlignment w:val="auto"/>
        <w:rPr>
          <w:rFonts w:eastAsia="仿宋_GB2312"/>
          <w:color w:val="auto"/>
          <w:sz w:val="32"/>
          <w:szCs w:val="32"/>
          <w:highlight w:val="none"/>
        </w:rPr>
      </w:pPr>
      <w:r>
        <w:rPr>
          <w:rFonts w:hint="eastAsia" w:eastAsia="仿宋_GB2312"/>
          <w:b/>
          <w:bCs/>
          <w:color w:val="auto"/>
          <w:sz w:val="32"/>
          <w:szCs w:val="32"/>
          <w:highlight w:val="none"/>
        </w:rPr>
        <w:t>普及绿色</w:t>
      </w:r>
      <w:r>
        <w:rPr>
          <w:rFonts w:hint="eastAsia" w:ascii="楷体_GB2312" w:hAnsi="楷体_GB2312" w:eastAsia="楷体_GB2312" w:cs="楷体_GB2312"/>
          <w:b/>
          <w:bCs/>
          <w:color w:val="auto"/>
          <w:sz w:val="32"/>
          <w:szCs w:val="32"/>
          <w:highlight w:val="none"/>
        </w:rPr>
        <w:t>低碳</w:t>
      </w:r>
      <w:r>
        <w:rPr>
          <w:rFonts w:hint="eastAsia" w:eastAsia="仿宋_GB2312"/>
          <w:b/>
          <w:bCs/>
          <w:color w:val="auto"/>
          <w:sz w:val="32"/>
          <w:szCs w:val="32"/>
          <w:highlight w:val="none"/>
        </w:rPr>
        <w:t>生活方式。</w:t>
      </w:r>
      <w:r>
        <w:rPr>
          <w:rFonts w:hint="eastAsia" w:ascii="仿宋_GB2312" w:hAnsi="仿宋_GB2312" w:eastAsia="仿宋_GB2312" w:cs="仿宋_GB2312"/>
          <w:b w:val="0"/>
          <w:bCs w:val="0"/>
          <w:color w:val="auto"/>
          <w:sz w:val="32"/>
          <w:szCs w:val="32"/>
          <w:highlight w:val="none"/>
        </w:rPr>
        <w:t>推动生态文明教育进学校、进社区、进机关</w:t>
      </w:r>
      <w:r>
        <w:rPr>
          <w:rFonts w:hint="eastAsia" w:ascii="仿宋_GB2312" w:hAnsi="仿宋_GB2312" w:eastAsia="仿宋_GB2312" w:cs="仿宋_GB2312"/>
          <w:b w:val="0"/>
          <w:bCs w:val="0"/>
          <w:color w:val="auto"/>
          <w:sz w:val="32"/>
          <w:szCs w:val="32"/>
          <w:highlight w:val="none"/>
          <w:lang w:eastAsia="zh-CN"/>
        </w:rPr>
        <w:t>。</w:t>
      </w:r>
      <w:r>
        <w:rPr>
          <w:rFonts w:hint="eastAsia" w:eastAsia="仿宋_GB2312"/>
          <w:b w:val="0"/>
          <w:bCs w:val="0"/>
          <w:color w:val="auto"/>
          <w:sz w:val="32"/>
          <w:szCs w:val="32"/>
          <w:highlight w:val="none"/>
        </w:rPr>
        <w:t>全面推进垃圾分类处理和“禁塑”工作</w:t>
      </w:r>
      <w:r>
        <w:rPr>
          <w:rFonts w:hint="eastAsia" w:eastAsia="仿宋_GB2312"/>
          <w:color w:val="auto"/>
          <w:sz w:val="32"/>
          <w:szCs w:val="32"/>
          <w:highlight w:val="none"/>
        </w:rPr>
        <w:t>，</w:t>
      </w:r>
      <w:r>
        <w:rPr>
          <w:rFonts w:hint="eastAsia" w:ascii="仿宋_GB2312" w:hAnsi="仿宋_GB2312" w:eastAsia="仿宋_GB2312" w:cs="仿宋_GB2312"/>
          <w:color w:val="auto"/>
          <w:kern w:val="0"/>
          <w:sz w:val="32"/>
          <w:szCs w:val="32"/>
          <w:highlight w:val="none"/>
          <w:lang w:val="en-US" w:eastAsia="zh-CN"/>
        </w:rPr>
        <w:t>建设生活垃圾收转运系统</w:t>
      </w:r>
      <w:r>
        <w:rPr>
          <w:rFonts w:hint="eastAsia" w:ascii="仿宋_GB2312" w:hAnsi="仿宋_GB2312" w:eastAsia="仿宋_GB2312" w:cs="仿宋_GB2312"/>
          <w:strike w:val="0"/>
          <w:dstrike w:val="0"/>
          <w:color w:val="auto"/>
          <w:kern w:val="0"/>
          <w:sz w:val="32"/>
          <w:szCs w:val="32"/>
          <w:highlight w:val="none"/>
          <w:lang w:val="en-US" w:eastAsia="zh-CN"/>
        </w:rPr>
        <w:t>,实现生活垃圾无害化处理</w:t>
      </w:r>
      <w:r>
        <w:rPr>
          <w:rFonts w:hint="eastAsia" w:ascii="仿宋_GB2312" w:hAnsi="仿宋_GB2312" w:eastAsia="仿宋_GB2312" w:cs="仿宋_GB2312"/>
          <w:color w:val="auto"/>
          <w:kern w:val="0"/>
          <w:sz w:val="32"/>
          <w:szCs w:val="32"/>
          <w:highlight w:val="none"/>
          <w:lang w:val="en-US" w:eastAsia="zh-CN"/>
        </w:rPr>
        <w:t>。</w:t>
      </w:r>
      <w:r>
        <w:rPr>
          <w:rFonts w:hint="eastAsia" w:eastAsia="仿宋_GB2312"/>
          <w:color w:val="auto"/>
          <w:sz w:val="32"/>
          <w:szCs w:val="32"/>
          <w:highlight w:val="none"/>
          <w:lang w:eastAsia="zh-CN"/>
        </w:rPr>
        <w:t>提倡绿色出行</w:t>
      </w:r>
      <w:r>
        <w:rPr>
          <w:rFonts w:hint="eastAsia" w:eastAsia="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优先发展公共交通，推广“步行+自行车+公交”的出行方式，</w:t>
      </w:r>
      <w:r>
        <w:rPr>
          <w:rFonts w:hint="eastAsia" w:eastAsia="仿宋_GB2312"/>
          <w:color w:val="auto"/>
          <w:sz w:val="32"/>
          <w:szCs w:val="32"/>
          <w:highlight w:val="none"/>
          <w:lang w:eastAsia="zh-CN"/>
        </w:rPr>
        <w:t>提高公共交通机动化出行分担率</w:t>
      </w:r>
      <w:r>
        <w:rPr>
          <w:rFonts w:hint="eastAsia" w:ascii="仿宋_GB2312" w:hAnsi="仿宋_GB2312" w:eastAsia="仿宋_GB2312" w:cs="仿宋_GB2312"/>
          <w:color w:val="auto"/>
          <w:sz w:val="32"/>
          <w:szCs w:val="32"/>
          <w:highlight w:val="none"/>
        </w:rPr>
        <w:t>；普及新能源汽车和节能环保汽车应用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加强生态环境保护宣传教育，提高居民环保意识；</w:t>
      </w:r>
      <w:r>
        <w:rPr>
          <w:rFonts w:hint="eastAsia" w:eastAsia="仿宋_GB2312"/>
          <w:color w:val="auto"/>
          <w:sz w:val="32"/>
          <w:szCs w:val="32"/>
          <w:highlight w:val="none"/>
        </w:rPr>
        <w:t>引导居民参与低碳、绿色消费，推广绿色政务、绿色商务，形成良好的生态文明社会风尚，推动城乡人居环境全面改善。</w:t>
      </w:r>
    </w:p>
    <w:p>
      <w:pPr>
        <w:pStyle w:val="4"/>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Cs w:val="32"/>
          <w:highlight w:val="none"/>
        </w:rPr>
      </w:pPr>
      <w:bookmarkStart w:id="152" w:name="_Toc29771_WPSOffice_Level2"/>
      <w:bookmarkStart w:id="153" w:name="_Toc6549_WPSOffice_Level2"/>
      <w:r>
        <w:rPr>
          <w:rFonts w:hint="eastAsia"/>
          <w:color w:val="auto"/>
          <w:highlight w:val="none"/>
          <w:lang w:val="en-US" w:eastAsia="zh-CN"/>
        </w:rPr>
        <w:t xml:space="preserve">第二节 </w:t>
      </w:r>
      <w:r>
        <w:rPr>
          <w:rFonts w:hint="default"/>
          <w:color w:val="auto"/>
          <w:highlight w:val="none"/>
          <w:lang w:val="en-US" w:eastAsia="zh-CN"/>
        </w:rPr>
        <w:t>持续加强生态环境治理</w:t>
      </w:r>
      <w:bookmarkEnd w:id="152"/>
      <w:bookmarkEnd w:id="153"/>
    </w:p>
    <w:p>
      <w:pPr>
        <w:pageBreakBefore w:val="0"/>
        <w:widowControl w:val="0"/>
        <w:kinsoku/>
        <w:wordWrap/>
        <w:overflowPunct/>
        <w:topLinePunct w:val="0"/>
        <w:autoSpaceDE/>
        <w:autoSpaceDN/>
        <w:bidi w:val="0"/>
        <w:adjustRightInd/>
        <w:snapToGrid/>
        <w:spacing w:line="560" w:lineRule="exact"/>
        <w:ind w:firstLine="643"/>
        <w:textAlignment w:val="auto"/>
        <w:rPr>
          <w:rFonts w:hint="eastAsia" w:eastAsia="仿宋_GB2312"/>
          <w:b/>
          <w:bCs/>
          <w:color w:val="auto"/>
          <w:sz w:val="32"/>
          <w:szCs w:val="32"/>
          <w:highlight w:val="none"/>
        </w:rPr>
      </w:pPr>
      <w:r>
        <w:rPr>
          <w:rFonts w:hint="eastAsia" w:eastAsia="仿宋_GB2312"/>
          <w:b/>
          <w:bCs/>
          <w:color w:val="auto"/>
          <w:sz w:val="32"/>
          <w:szCs w:val="32"/>
          <w:highlight w:val="none"/>
          <w:lang w:eastAsia="zh-CN"/>
        </w:rPr>
        <w:t>持续</w:t>
      </w:r>
      <w:r>
        <w:rPr>
          <w:rFonts w:hint="eastAsia" w:eastAsia="仿宋_GB2312"/>
          <w:b/>
          <w:bCs/>
          <w:color w:val="auto"/>
          <w:sz w:val="32"/>
          <w:szCs w:val="32"/>
          <w:highlight w:val="none"/>
        </w:rPr>
        <w:t>开展生态环境六大专项整治</w:t>
      </w:r>
      <w:r>
        <w:rPr>
          <w:rFonts w:hint="eastAsia" w:eastAsia="仿宋_GB2312"/>
          <w:b/>
          <w:bCs/>
          <w:color w:val="auto"/>
          <w:sz w:val="32"/>
          <w:szCs w:val="32"/>
          <w:highlight w:val="none"/>
          <w:lang w:eastAsia="zh-CN"/>
        </w:rPr>
        <w:t>。</w:t>
      </w:r>
      <w:r>
        <w:rPr>
          <w:rFonts w:hint="eastAsia" w:eastAsia="仿宋_GB2312"/>
          <w:b w:val="0"/>
          <w:bCs w:val="0"/>
          <w:color w:val="auto"/>
          <w:sz w:val="32"/>
          <w:szCs w:val="32"/>
          <w:highlight w:val="none"/>
        </w:rPr>
        <w:t>扎实做好中央环保督察和国家海洋督察反馈问题整改。</w:t>
      </w:r>
      <w:r>
        <w:rPr>
          <w:rFonts w:hint="eastAsia" w:eastAsia="仿宋_GB2312"/>
          <w:color w:val="auto"/>
          <w:sz w:val="32"/>
          <w:szCs w:val="32"/>
          <w:highlight w:val="none"/>
          <w:lang w:eastAsia="zh-CN"/>
        </w:rPr>
        <w:t>着重实施</w:t>
      </w:r>
      <w:r>
        <w:rPr>
          <w:rFonts w:hint="eastAsia" w:eastAsia="仿宋_GB2312"/>
          <w:color w:val="auto"/>
          <w:sz w:val="32"/>
          <w:szCs w:val="32"/>
          <w:highlight w:val="none"/>
        </w:rPr>
        <w:t>“两违”处置和农村污水治理</w:t>
      </w:r>
      <w:r>
        <w:rPr>
          <w:rFonts w:hint="eastAsia" w:eastAsia="仿宋_GB2312"/>
          <w:color w:val="auto"/>
          <w:sz w:val="32"/>
          <w:szCs w:val="32"/>
          <w:highlight w:val="none"/>
          <w:lang w:eastAsia="zh-CN"/>
        </w:rPr>
        <w:t>。</w:t>
      </w:r>
      <w:r>
        <w:rPr>
          <w:rFonts w:hint="eastAsia" w:eastAsia="仿宋_GB2312"/>
          <w:b/>
          <w:bCs/>
          <w:color w:val="auto"/>
          <w:sz w:val="32"/>
          <w:szCs w:val="32"/>
          <w:highlight w:val="none"/>
          <w:lang w:eastAsia="zh-CN"/>
        </w:rPr>
        <w:t>河湖水。</w:t>
      </w:r>
      <w:r>
        <w:rPr>
          <w:rFonts w:hint="eastAsia" w:eastAsia="仿宋_GB2312"/>
          <w:b w:val="0"/>
          <w:bCs w:val="0"/>
          <w:color w:val="auto"/>
          <w:sz w:val="32"/>
          <w:szCs w:val="32"/>
          <w:highlight w:val="none"/>
        </w:rPr>
        <w:t>保护重点流域湖库水生态环境</w:t>
      </w:r>
      <w:r>
        <w:rPr>
          <w:rFonts w:hint="eastAsia" w:eastAsia="仿宋_GB2312"/>
          <w:b w:val="0"/>
          <w:bCs w:val="0"/>
          <w:color w:val="auto"/>
          <w:sz w:val="32"/>
          <w:szCs w:val="32"/>
          <w:highlight w:val="none"/>
          <w:lang w:eastAsia="zh-CN"/>
        </w:rPr>
        <w:t>，</w:t>
      </w:r>
      <w:r>
        <w:rPr>
          <w:rFonts w:hint="eastAsia" w:eastAsia="仿宋_GB2312"/>
          <w:b w:val="0"/>
          <w:bCs w:val="0"/>
          <w:color w:val="auto"/>
          <w:sz w:val="32"/>
          <w:szCs w:val="32"/>
          <w:highlight w:val="none"/>
        </w:rPr>
        <w:t>全力保障饮用水水源安全</w:t>
      </w:r>
      <w:r>
        <w:rPr>
          <w:rFonts w:hint="eastAsia" w:eastAsia="仿宋_GB2312"/>
          <w:b w:val="0"/>
          <w:bCs w:val="0"/>
          <w:color w:val="auto"/>
          <w:sz w:val="32"/>
          <w:szCs w:val="32"/>
          <w:highlight w:val="none"/>
          <w:lang w:eastAsia="zh-CN"/>
        </w:rPr>
        <w:t>。</w:t>
      </w:r>
      <w:r>
        <w:rPr>
          <w:rFonts w:hint="eastAsia" w:eastAsia="仿宋_GB2312"/>
          <w:b w:val="0"/>
          <w:bCs w:val="0"/>
          <w:color w:val="auto"/>
          <w:sz w:val="32"/>
          <w:szCs w:val="32"/>
          <w:highlight w:val="none"/>
        </w:rPr>
        <w:t>加快实施松涛水库和主要河流的生态保护、问题整治和补偿机制。</w:t>
      </w:r>
      <w:r>
        <w:rPr>
          <w:rFonts w:hint="eastAsia" w:eastAsia="仿宋_GB2312"/>
          <w:b/>
          <w:bCs/>
          <w:color w:val="auto"/>
          <w:sz w:val="32"/>
          <w:szCs w:val="32"/>
          <w:highlight w:val="none"/>
          <w:lang w:eastAsia="zh-CN"/>
        </w:rPr>
        <w:t>海域海水</w:t>
      </w:r>
      <w:r>
        <w:rPr>
          <w:rFonts w:hint="eastAsia" w:eastAsia="仿宋_GB2312"/>
          <w:b w:val="0"/>
          <w:bCs w:val="0"/>
          <w:color w:val="auto"/>
          <w:sz w:val="32"/>
          <w:szCs w:val="32"/>
          <w:highlight w:val="none"/>
          <w:lang w:eastAsia="zh-CN"/>
        </w:rPr>
        <w:t>。保护</w:t>
      </w:r>
      <w:r>
        <w:rPr>
          <w:rFonts w:hint="eastAsia" w:eastAsia="仿宋_GB2312"/>
          <w:b w:val="0"/>
          <w:bCs w:val="0"/>
          <w:color w:val="auto"/>
          <w:sz w:val="32"/>
          <w:szCs w:val="32"/>
          <w:highlight w:val="none"/>
        </w:rPr>
        <w:t>近岸海域海水水质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实现</w:t>
      </w:r>
      <w:r>
        <w:rPr>
          <w:rFonts w:hint="eastAsia" w:ascii="仿宋_GB2312" w:hAnsi="仿宋_GB2312" w:eastAsia="仿宋_GB2312" w:cs="仿宋_GB2312"/>
          <w:color w:val="auto"/>
          <w:sz w:val="32"/>
          <w:szCs w:val="32"/>
          <w:highlight w:val="none"/>
        </w:rPr>
        <w:t>近岸海域</w:t>
      </w:r>
      <w:r>
        <w:rPr>
          <w:rFonts w:hint="eastAsia" w:ascii="仿宋_GB2312" w:hAnsi="仿宋_GB2312" w:eastAsia="仿宋_GB2312" w:cs="仿宋_GB2312"/>
          <w:color w:val="auto"/>
          <w:sz w:val="32"/>
          <w:szCs w:val="32"/>
          <w:highlight w:val="none"/>
          <w:lang w:eastAsia="zh-CN"/>
        </w:rPr>
        <w:t>水质向好</w:t>
      </w:r>
      <w:r>
        <w:rPr>
          <w:rFonts w:hint="eastAsia" w:eastAsia="仿宋_GB2312"/>
          <w:b w:val="0"/>
          <w:bCs w:val="0"/>
          <w:color w:val="auto"/>
          <w:sz w:val="32"/>
          <w:szCs w:val="32"/>
          <w:highlight w:val="none"/>
          <w:lang w:eastAsia="zh-CN"/>
        </w:rPr>
        <w:t>。实施</w:t>
      </w:r>
      <w:r>
        <w:rPr>
          <w:rFonts w:hint="eastAsia" w:ascii="仿宋_GB2312" w:hAnsi="仿宋_GB2312" w:eastAsia="仿宋_GB2312" w:cs="仿宋_GB2312"/>
          <w:color w:val="auto"/>
          <w:sz w:val="32"/>
          <w:szCs w:val="32"/>
          <w:highlight w:val="none"/>
        </w:rPr>
        <w:t>磷枪石岛海域的生态修复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大气。</w:t>
      </w:r>
      <w:r>
        <w:rPr>
          <w:rFonts w:hint="eastAsia" w:eastAsia="仿宋_GB2312"/>
          <w:b w:val="0"/>
          <w:bCs w:val="0"/>
          <w:color w:val="auto"/>
          <w:sz w:val="32"/>
          <w:szCs w:val="32"/>
          <w:highlight w:val="none"/>
        </w:rPr>
        <w:t>扎实推进大气污染防治，</w:t>
      </w:r>
      <w:r>
        <w:rPr>
          <w:rFonts w:hint="eastAsia" w:eastAsia="仿宋_GB2312"/>
          <w:b w:val="0"/>
          <w:bCs w:val="0"/>
          <w:color w:val="auto"/>
          <w:sz w:val="32"/>
          <w:szCs w:val="32"/>
          <w:highlight w:val="none"/>
          <w:lang w:eastAsia="zh-CN"/>
        </w:rPr>
        <w:t>加强工业废气监测，实施</w:t>
      </w:r>
      <w:r>
        <w:rPr>
          <w:rFonts w:hint="eastAsia" w:ascii="仿宋_GB2312" w:hAnsi="仿宋_GB2312" w:eastAsia="仿宋_GB2312" w:cs="仿宋_GB2312"/>
          <w:b w:val="0"/>
          <w:bCs w:val="0"/>
          <w:color w:val="auto"/>
          <w:kern w:val="2"/>
          <w:sz w:val="32"/>
          <w:szCs w:val="32"/>
          <w:lang w:val="en-US" w:eastAsia="zh-CN" w:bidi="ar"/>
        </w:rPr>
        <w:t>扬尘综合治理，严查运输车辆扬尘污染，严禁秸秆露天焚烧，严格控制餐饮业油烟污染。</w:t>
      </w:r>
      <w:r>
        <w:rPr>
          <w:rFonts w:hint="eastAsia" w:eastAsia="仿宋_GB2312"/>
          <w:b/>
          <w:bCs/>
          <w:color w:val="auto"/>
          <w:sz w:val="32"/>
          <w:szCs w:val="32"/>
          <w:highlight w:val="none"/>
          <w:lang w:eastAsia="zh-CN"/>
        </w:rPr>
        <w:t>土壤。</w:t>
      </w:r>
      <w:r>
        <w:rPr>
          <w:rFonts w:hint="eastAsia" w:eastAsia="仿宋_GB2312"/>
          <w:b w:val="0"/>
          <w:bCs w:val="0"/>
          <w:color w:val="auto"/>
          <w:sz w:val="32"/>
          <w:szCs w:val="32"/>
          <w:highlight w:val="none"/>
        </w:rPr>
        <w:t>加强土壤环境保护，开展土壤污染治理与修复。</w:t>
      </w:r>
      <w:r>
        <w:rPr>
          <w:rFonts w:eastAsia="仿宋_GB2312"/>
          <w:color w:val="auto"/>
          <w:sz w:val="32"/>
          <w:szCs w:val="32"/>
          <w:highlight w:val="none"/>
        </w:rPr>
        <w:t>完成受污染耕地安全利用和严格管控任务</w:t>
      </w:r>
      <w:r>
        <w:rPr>
          <w:rFonts w:hint="eastAsia" w:eastAsia="仿宋_GB2312"/>
          <w:color w:val="auto"/>
          <w:sz w:val="32"/>
          <w:szCs w:val="32"/>
          <w:highlight w:val="none"/>
        </w:rPr>
        <w:t>，完成国家和省级土壤污染防治年度评估目标和任务。</w:t>
      </w:r>
      <w:r>
        <w:rPr>
          <w:rFonts w:hint="eastAsia" w:ascii="仿宋_GB2312" w:hAnsi="仿宋_GB2312" w:eastAsia="仿宋_GB2312" w:cs="仿宋_GB2312"/>
          <w:color w:val="auto"/>
          <w:kern w:val="0"/>
          <w:sz w:val="32"/>
          <w:szCs w:val="32"/>
          <w:highlight w:val="none"/>
          <w:lang w:eastAsia="zh-CN"/>
        </w:rPr>
        <w:t>大力推进“天角潭</w:t>
      </w:r>
      <w:r>
        <w:rPr>
          <w:rFonts w:hint="eastAsia" w:ascii="仿宋_GB2312" w:hAnsi="仿宋_GB2312" w:eastAsia="仿宋_GB2312" w:cs="仿宋_GB2312"/>
          <w:color w:val="auto"/>
          <w:kern w:val="0"/>
          <w:sz w:val="32"/>
          <w:szCs w:val="32"/>
          <w:highlight w:val="none"/>
          <w:lang w:val="en-US" w:eastAsia="zh-CN"/>
        </w:rPr>
        <w:t>-北门江-新英湾流域”全域土地综合整治。</w:t>
      </w:r>
      <w:r>
        <w:rPr>
          <w:rFonts w:hint="eastAsia" w:ascii="仿宋_GB2312" w:hAnsi="仿宋_GB2312" w:eastAsia="仿宋_GB2312" w:cs="仿宋_GB2312"/>
          <w:b/>
          <w:bCs/>
          <w:color w:val="auto"/>
          <w:kern w:val="0"/>
          <w:sz w:val="32"/>
          <w:szCs w:val="32"/>
          <w:highlight w:val="none"/>
          <w:lang w:val="en-US" w:eastAsia="zh-CN"/>
        </w:rPr>
        <w:t>林区湿地。</w:t>
      </w:r>
      <w:r>
        <w:rPr>
          <w:rFonts w:hint="eastAsia" w:eastAsia="仿宋_GB2312"/>
          <w:b w:val="0"/>
          <w:bCs w:val="0"/>
          <w:color w:val="auto"/>
          <w:sz w:val="32"/>
          <w:szCs w:val="32"/>
          <w:highlight w:val="none"/>
        </w:rPr>
        <w:t>加强对</w:t>
      </w:r>
      <w:r>
        <w:rPr>
          <w:rFonts w:hint="eastAsia" w:eastAsia="仿宋_GB2312"/>
          <w:b w:val="0"/>
          <w:bCs w:val="0"/>
          <w:color w:val="auto"/>
          <w:sz w:val="32"/>
          <w:szCs w:val="32"/>
          <w:highlight w:val="none"/>
          <w:lang w:eastAsia="zh-CN"/>
        </w:rPr>
        <w:t>森林、</w:t>
      </w:r>
      <w:r>
        <w:rPr>
          <w:rFonts w:hint="eastAsia" w:eastAsia="仿宋_GB2312"/>
          <w:b w:val="0"/>
          <w:bCs w:val="0"/>
          <w:color w:val="auto"/>
          <w:sz w:val="32"/>
          <w:szCs w:val="32"/>
          <w:highlight w:val="none"/>
        </w:rPr>
        <w:t>湿地等重要生态系统的保护和修复，加强生物多样性保护，提高林草覆盖率。</w:t>
      </w:r>
      <w:r>
        <w:rPr>
          <w:rFonts w:hint="eastAsia" w:eastAsia="仿宋_GB2312"/>
          <w:color w:val="auto"/>
          <w:sz w:val="32"/>
          <w:szCs w:val="32"/>
          <w:highlight w:val="none"/>
        </w:rPr>
        <w:t>加快</w:t>
      </w:r>
      <w:r>
        <w:rPr>
          <w:rFonts w:hint="eastAsia" w:ascii="仿宋_GB2312" w:hAnsi="仿宋_GB2312" w:eastAsia="仿宋_GB2312" w:cs="仿宋_GB2312"/>
          <w:color w:val="auto"/>
          <w:sz w:val="32"/>
          <w:szCs w:val="32"/>
          <w:highlight w:val="none"/>
        </w:rPr>
        <w:t>新英湾红树林的生态修复</w:t>
      </w:r>
      <w:r>
        <w:rPr>
          <w:rFonts w:hint="eastAsia" w:ascii="仿宋_GB2312" w:hAnsi="仿宋_GB2312" w:eastAsia="仿宋_GB2312" w:cs="仿宋_GB2312"/>
          <w:color w:val="auto"/>
          <w:sz w:val="32"/>
          <w:szCs w:val="32"/>
          <w:highlight w:val="none"/>
          <w:lang w:eastAsia="zh-CN"/>
        </w:rPr>
        <w:t>。</w:t>
      </w:r>
    </w:p>
    <w:p>
      <w:pPr>
        <w:pageBreakBefore w:val="0"/>
        <w:widowControl w:val="0"/>
        <w:kinsoku/>
        <w:wordWrap/>
        <w:overflowPunct/>
        <w:topLinePunct w:val="0"/>
        <w:autoSpaceDE/>
        <w:autoSpaceDN/>
        <w:bidi w:val="0"/>
        <w:adjustRightInd/>
        <w:snapToGrid/>
        <w:spacing w:line="560" w:lineRule="exact"/>
        <w:ind w:firstLine="643"/>
        <w:textAlignment w:val="auto"/>
        <w:rPr>
          <w:rFonts w:eastAsia="仿宋_GB2312"/>
          <w:color w:val="auto"/>
          <w:sz w:val="32"/>
          <w:szCs w:val="32"/>
          <w:highlight w:val="none"/>
        </w:rPr>
      </w:pPr>
      <w:r>
        <w:rPr>
          <w:rFonts w:hint="eastAsia" w:eastAsia="仿宋_GB2312"/>
          <w:b/>
          <w:bCs/>
          <w:color w:val="auto"/>
          <w:sz w:val="32"/>
          <w:szCs w:val="32"/>
          <w:highlight w:val="none"/>
        </w:rPr>
        <w:t>持续推进各</w:t>
      </w:r>
      <w:r>
        <w:rPr>
          <w:rFonts w:hint="eastAsia" w:eastAsia="仿宋_GB2312"/>
          <w:b/>
          <w:bCs/>
          <w:color w:val="auto"/>
          <w:sz w:val="32"/>
          <w:szCs w:val="32"/>
          <w:highlight w:val="none"/>
          <w:lang w:eastAsia="zh-CN"/>
        </w:rPr>
        <w:t>类</w:t>
      </w:r>
      <w:r>
        <w:rPr>
          <w:rFonts w:hint="eastAsia" w:eastAsia="仿宋_GB2312"/>
          <w:b/>
          <w:bCs/>
          <w:color w:val="auto"/>
          <w:sz w:val="32"/>
          <w:szCs w:val="32"/>
          <w:highlight w:val="none"/>
        </w:rPr>
        <w:t>资源综合保护。</w:t>
      </w:r>
      <w:r>
        <w:rPr>
          <w:rFonts w:hint="eastAsia" w:eastAsia="仿宋_GB2312"/>
          <w:color w:val="auto"/>
          <w:sz w:val="32"/>
          <w:szCs w:val="32"/>
          <w:highlight w:val="none"/>
        </w:rPr>
        <w:t>推进</w:t>
      </w:r>
      <w:r>
        <w:rPr>
          <w:rFonts w:hint="eastAsia" w:ascii="仿宋_GB2312" w:hAnsi="仿宋_GB2312" w:eastAsia="仿宋_GB2312" w:cs="仿宋_GB2312"/>
          <w:color w:val="auto"/>
          <w:sz w:val="32"/>
          <w:szCs w:val="32"/>
          <w:highlight w:val="none"/>
        </w:rPr>
        <w:t>番加省级森林保护区、新英湾红树林自然保护区、松涛水库水源涵养区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海南新盈红树林国家湿地公园</w:t>
      </w:r>
      <w:r>
        <w:rPr>
          <w:rFonts w:hint="eastAsia" w:ascii="仿宋_GB2312" w:hAnsi="仿宋_GB2312" w:eastAsia="仿宋_GB2312" w:cs="仿宋_GB2312"/>
          <w:color w:val="auto"/>
          <w:sz w:val="32"/>
          <w:szCs w:val="32"/>
          <w:highlight w:val="none"/>
        </w:rPr>
        <w:t>等重点生态功能区的整体保护、系统修复、综合治理；实施生物多样性保护战略，加强珍惜濒危野生动植物保护，防范外来物种入侵和有害物种传播；推进海洋生态环境和砂质岸线保护。</w:t>
      </w:r>
    </w:p>
    <w:p>
      <w:pPr>
        <w:pStyle w:val="4"/>
        <w:pageBreakBefore w:val="0"/>
        <w:widowControl w:val="0"/>
        <w:kinsoku/>
        <w:wordWrap/>
        <w:overflowPunct/>
        <w:topLinePunct w:val="0"/>
        <w:autoSpaceDE/>
        <w:autoSpaceDN/>
        <w:bidi w:val="0"/>
        <w:adjustRightInd/>
        <w:snapToGrid/>
        <w:spacing w:line="560" w:lineRule="exact"/>
        <w:textAlignment w:val="auto"/>
        <w:rPr>
          <w:rFonts w:hint="eastAsia" w:eastAsia="仿宋_GB2312"/>
          <w:color w:val="auto"/>
          <w:sz w:val="32"/>
          <w:szCs w:val="32"/>
          <w:highlight w:val="none"/>
          <w:lang w:eastAsia="zh-CN"/>
        </w:rPr>
      </w:pPr>
      <w:bookmarkStart w:id="154" w:name="_Toc8815_WPSOffice_Level2"/>
      <w:bookmarkStart w:id="155" w:name="_Toc57914209"/>
      <w:bookmarkStart w:id="156" w:name="_Toc20269_WPSOffice_Level2"/>
      <w:bookmarkStart w:id="157" w:name="_Toc31947_WPSOffice_Level2"/>
      <w:bookmarkStart w:id="158" w:name="_Toc57914211"/>
      <w:r>
        <w:rPr>
          <w:rFonts w:hint="eastAsia"/>
          <w:color w:val="auto"/>
          <w:highlight w:val="none"/>
        </w:rPr>
        <w:t>第</w:t>
      </w:r>
      <w:r>
        <w:rPr>
          <w:rFonts w:hint="eastAsia"/>
          <w:color w:val="auto"/>
          <w:highlight w:val="none"/>
          <w:lang w:eastAsia="zh-CN"/>
        </w:rPr>
        <w:t>三</w:t>
      </w:r>
      <w:r>
        <w:rPr>
          <w:rFonts w:hint="eastAsia"/>
          <w:color w:val="auto"/>
          <w:highlight w:val="none"/>
        </w:rPr>
        <w:t>节</w:t>
      </w:r>
      <w:r>
        <w:rPr>
          <w:rFonts w:hint="eastAsia"/>
          <w:color w:val="auto"/>
          <w:highlight w:val="none"/>
          <w:lang w:val="en-US" w:eastAsia="zh-CN"/>
        </w:rPr>
        <w:t xml:space="preserve"> </w:t>
      </w:r>
      <w:r>
        <w:rPr>
          <w:rFonts w:hint="eastAsia"/>
          <w:color w:val="auto"/>
          <w:highlight w:val="none"/>
          <w:lang w:eastAsia="zh-CN"/>
        </w:rPr>
        <w:t>优化生态环境</w:t>
      </w:r>
      <w:r>
        <w:rPr>
          <w:rFonts w:hint="eastAsia"/>
          <w:color w:val="auto"/>
          <w:highlight w:val="none"/>
        </w:rPr>
        <w:t>空间</w:t>
      </w:r>
      <w:r>
        <w:rPr>
          <w:rFonts w:hint="eastAsia"/>
          <w:color w:val="auto"/>
          <w:highlight w:val="none"/>
          <w:lang w:eastAsia="zh-CN"/>
        </w:rPr>
        <w:t>布</w:t>
      </w:r>
      <w:r>
        <w:rPr>
          <w:rFonts w:hint="eastAsia"/>
          <w:color w:val="auto"/>
          <w:highlight w:val="none"/>
        </w:rPr>
        <w:t>局</w:t>
      </w:r>
      <w:bookmarkEnd w:id="154"/>
      <w:bookmarkEnd w:id="155"/>
      <w:bookmarkEnd w:id="156"/>
      <w:bookmarkEnd w:id="157"/>
    </w:p>
    <w:p>
      <w:pPr>
        <w:pageBreakBefore w:val="0"/>
        <w:widowControl w:val="0"/>
        <w:kinsoku/>
        <w:wordWrap/>
        <w:overflowPunct/>
        <w:topLinePunct w:val="0"/>
        <w:autoSpaceDE/>
        <w:autoSpaceDN/>
        <w:bidi w:val="0"/>
        <w:adjustRightInd/>
        <w:snapToGrid/>
        <w:spacing w:line="560" w:lineRule="exact"/>
        <w:ind w:firstLine="643"/>
        <w:textAlignment w:val="auto"/>
        <w:rPr>
          <w:rFonts w:eastAsia="仿宋_GB2312"/>
          <w:color w:val="auto"/>
          <w:sz w:val="32"/>
          <w:szCs w:val="32"/>
          <w:highlight w:val="none"/>
        </w:rPr>
      </w:pPr>
      <w:r>
        <w:rPr>
          <w:rFonts w:hint="eastAsia" w:eastAsia="仿宋_GB2312"/>
          <w:color w:val="auto"/>
          <w:sz w:val="32"/>
          <w:szCs w:val="32"/>
          <w:highlight w:val="none"/>
          <w:lang w:eastAsia="zh-CN"/>
        </w:rPr>
        <w:t>实施主体功能区战略，进一步优化国土空间开发格局，引导人口、经济合理布局，构筑与资源环境承载力相匹配的生态安全、新型城镇化和农业发展格局。推动“三线一单”工作，健全国土空间规划和用途统筹协调管控制度。开展自然保护区优化调整，形成较为完善的自然保护体系。强化生态系统保护，严守陆海生态保护红线，巩固以东南部松涛水库重要生态区和新英湾重要生态区为核心的生态绿心，严守以北门江、珠碧江、文澜河和松涛干渠等为主要生态绿廊的生态廊道，严守以春江水库、后水湾红树林湿地、海头镇入海口等重要的生态节点。重点维护自然保护区、地质公园、森林公园、湿地公园等自然保护地，巩固全市生态保护空间格局。建成经济发展绿色高效、生态环境优美、生态人居和谐、生态文化普及、生态机制完善的生态城市。</w:t>
      </w:r>
    </w:p>
    <w:p>
      <w:pPr>
        <w:pStyle w:val="4"/>
        <w:pageBreakBefore w:val="0"/>
        <w:widowControl w:val="0"/>
        <w:kinsoku/>
        <w:wordWrap/>
        <w:overflowPunct/>
        <w:topLinePunct w:val="0"/>
        <w:autoSpaceDE/>
        <w:autoSpaceDN/>
        <w:bidi w:val="0"/>
        <w:adjustRightInd/>
        <w:snapToGrid/>
        <w:spacing w:line="560" w:lineRule="exact"/>
        <w:textAlignment w:val="auto"/>
        <w:rPr>
          <w:color w:val="auto"/>
          <w:highlight w:val="none"/>
        </w:rPr>
      </w:pPr>
      <w:bookmarkStart w:id="159" w:name="_Toc5594_WPSOffice_Level2"/>
      <w:bookmarkStart w:id="160" w:name="_Toc24704_WPSOffice_Level2"/>
      <w:bookmarkStart w:id="161" w:name="_Toc6481_WPSOffice_Level2"/>
      <w:r>
        <w:rPr>
          <w:rFonts w:hint="eastAsia"/>
          <w:color w:val="auto"/>
          <w:highlight w:val="none"/>
        </w:rPr>
        <w:t>第</w:t>
      </w:r>
      <w:r>
        <w:rPr>
          <w:rFonts w:hint="eastAsia"/>
          <w:color w:val="auto"/>
          <w:highlight w:val="none"/>
          <w:lang w:eastAsia="zh-CN"/>
        </w:rPr>
        <w:t>四</w:t>
      </w:r>
      <w:r>
        <w:rPr>
          <w:rFonts w:hint="eastAsia"/>
          <w:color w:val="auto"/>
          <w:highlight w:val="none"/>
        </w:rPr>
        <w:t xml:space="preserve">节 </w:t>
      </w:r>
      <w:bookmarkEnd w:id="158"/>
      <w:bookmarkEnd w:id="159"/>
      <w:r>
        <w:rPr>
          <w:rFonts w:hint="eastAsia"/>
          <w:color w:val="auto"/>
          <w:highlight w:val="none"/>
          <w:lang w:eastAsia="zh-CN"/>
        </w:rPr>
        <w:t>建立健全</w:t>
      </w:r>
      <w:r>
        <w:rPr>
          <w:rFonts w:hint="eastAsia"/>
          <w:color w:val="auto"/>
          <w:highlight w:val="none"/>
        </w:rPr>
        <w:t>生态文明建设长效机制</w:t>
      </w:r>
      <w:bookmarkEnd w:id="160"/>
      <w:bookmarkEnd w:id="161"/>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bCs/>
          <w:color w:val="auto"/>
          <w:sz w:val="32"/>
          <w:szCs w:val="32"/>
          <w:highlight w:val="none"/>
        </w:rPr>
        <w:t>（一）</w:t>
      </w:r>
      <w:r>
        <w:rPr>
          <w:rFonts w:hint="eastAsia" w:ascii="楷体_GB2312" w:hAnsi="楷体_GB2312" w:eastAsia="楷体_GB2312" w:cs="楷体_GB2312"/>
          <w:b/>
          <w:bCs/>
          <w:color w:val="auto"/>
          <w:sz w:val="32"/>
          <w:szCs w:val="32"/>
          <w:highlight w:val="none"/>
          <w:lang w:eastAsia="zh-CN"/>
        </w:rPr>
        <w:t>健全生态文明评价考核和督查机制</w:t>
      </w:r>
    </w:p>
    <w:p>
      <w:pPr>
        <w:pageBreakBefore w:val="0"/>
        <w:widowControl w:val="0"/>
        <w:kinsoku/>
        <w:wordWrap/>
        <w:overflowPunct/>
        <w:topLinePunct w:val="0"/>
        <w:autoSpaceDE/>
        <w:autoSpaceDN/>
        <w:bidi w:val="0"/>
        <w:adjustRightInd/>
        <w:snapToGrid/>
        <w:spacing w:line="560" w:lineRule="exact"/>
        <w:ind w:firstLine="643"/>
        <w:textAlignment w:val="auto"/>
        <w:rPr>
          <w:rFonts w:eastAsia="仿宋_GB2312"/>
          <w:color w:val="auto"/>
          <w:sz w:val="32"/>
          <w:szCs w:val="32"/>
          <w:highlight w:val="none"/>
        </w:rPr>
      </w:pPr>
      <w:r>
        <w:rPr>
          <w:rFonts w:hint="eastAsia" w:eastAsia="仿宋_GB2312"/>
          <w:color w:val="auto"/>
          <w:sz w:val="32"/>
          <w:szCs w:val="32"/>
          <w:highlight w:val="none"/>
          <w:lang w:eastAsia="zh-CN"/>
        </w:rPr>
        <w:t>建立健全生态文明建设长效机制，严格落实领导干部任期生态文明建设责任制，完善以绿色低碳发展为导向的评价考核体系。</w:t>
      </w:r>
      <w:r>
        <w:rPr>
          <w:rFonts w:hint="eastAsia" w:eastAsia="仿宋_GB2312"/>
          <w:color w:val="auto"/>
          <w:sz w:val="32"/>
          <w:szCs w:val="32"/>
          <w:highlight w:val="none"/>
        </w:rPr>
        <w:t>进一步加强河、湖、湾</w:t>
      </w:r>
      <w:r>
        <w:rPr>
          <w:rFonts w:hint="eastAsia" w:eastAsia="仿宋_GB2312"/>
          <w:color w:val="auto"/>
          <w:sz w:val="32"/>
          <w:szCs w:val="32"/>
          <w:highlight w:val="none"/>
          <w:lang w:eastAsia="zh-CN"/>
        </w:rPr>
        <w:t>、林</w:t>
      </w:r>
      <w:r>
        <w:rPr>
          <w:rFonts w:hint="eastAsia" w:eastAsia="仿宋_GB2312"/>
          <w:color w:val="auto"/>
          <w:sz w:val="32"/>
          <w:szCs w:val="32"/>
          <w:highlight w:val="none"/>
        </w:rPr>
        <w:t>长制工作落实</w:t>
      </w:r>
      <w:r>
        <w:rPr>
          <w:rFonts w:hint="eastAsia" w:eastAsia="仿宋_GB2312"/>
          <w:color w:val="auto"/>
          <w:sz w:val="32"/>
          <w:szCs w:val="32"/>
          <w:highlight w:val="none"/>
          <w:lang w:eastAsia="zh-CN"/>
        </w:rPr>
        <w:t>，强化生态警察综合执法力量建设</w:t>
      </w:r>
      <w:r>
        <w:rPr>
          <w:rFonts w:hint="eastAsia" w:eastAsia="仿宋_GB2312"/>
          <w:color w:val="auto"/>
          <w:sz w:val="32"/>
          <w:szCs w:val="32"/>
          <w:highlight w:val="none"/>
        </w:rPr>
        <w:t>；建立河流湖库的水质信息公开制度和事故追责制度，强化近岸海域水质监测和应急监测工作；推进农用地、建设用地等重点行业用地土壤环境基础信息核查工作，建立污染地块名录及其开发利用负面清单，建立有效的污染场地环境信息披露机制；实施多部门联合监管工作机制，构建“站上查、点上测、路上巡、面上堵”的立体治理网络。</w:t>
      </w:r>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（二）健全环境违法行为联合惩戒</w:t>
      </w:r>
      <w:r>
        <w:rPr>
          <w:rFonts w:hint="eastAsia" w:ascii="楷体_GB2312" w:hAnsi="楷体_GB2312" w:eastAsia="楷体_GB2312" w:cs="楷体_GB2312"/>
          <w:b/>
          <w:bCs/>
          <w:color w:val="auto"/>
          <w:sz w:val="32"/>
          <w:szCs w:val="32"/>
          <w:highlight w:val="none"/>
          <w:lang w:eastAsia="zh-CN"/>
        </w:rPr>
        <w:t>和监督</w:t>
      </w:r>
      <w:r>
        <w:rPr>
          <w:rFonts w:hint="eastAsia" w:ascii="楷体_GB2312" w:hAnsi="楷体_GB2312" w:eastAsia="楷体_GB2312" w:cs="楷体_GB2312"/>
          <w:b/>
          <w:bCs/>
          <w:color w:val="auto"/>
          <w:sz w:val="32"/>
          <w:szCs w:val="32"/>
          <w:highlight w:val="none"/>
        </w:rPr>
        <w:t>机制</w:t>
      </w:r>
    </w:p>
    <w:p>
      <w:pPr>
        <w:pageBreakBefore w:val="0"/>
        <w:widowControl w:val="0"/>
        <w:kinsoku/>
        <w:wordWrap/>
        <w:overflowPunct/>
        <w:topLinePunct w:val="0"/>
        <w:autoSpaceDE/>
        <w:autoSpaceDN/>
        <w:bidi w:val="0"/>
        <w:adjustRightInd/>
        <w:snapToGrid/>
        <w:spacing w:line="560" w:lineRule="exact"/>
        <w:ind w:firstLine="643"/>
        <w:textAlignment w:val="auto"/>
        <w:rPr>
          <w:rFonts w:eastAsia="仿宋_GB2312"/>
          <w:color w:val="auto"/>
          <w:sz w:val="32"/>
          <w:szCs w:val="32"/>
          <w:highlight w:val="none"/>
        </w:rPr>
      </w:pPr>
      <w:r>
        <w:rPr>
          <w:rFonts w:hint="eastAsia" w:eastAsia="仿宋_GB2312"/>
          <w:color w:val="auto"/>
          <w:sz w:val="32"/>
          <w:szCs w:val="32"/>
          <w:highlight w:val="none"/>
          <w:lang w:eastAsia="zh-CN"/>
        </w:rPr>
        <w:t>探索构建生态保护领域行政、民事和刑事“三位一体”的责任追究机制。</w:t>
      </w:r>
      <w:r>
        <w:rPr>
          <w:rFonts w:hint="eastAsia" w:ascii="仿宋_GB2312" w:hAnsi="仿宋_GB2312" w:eastAsia="仿宋_GB2312" w:cs="仿宋_GB2312"/>
          <w:color w:val="auto"/>
          <w:sz w:val="32"/>
          <w:szCs w:val="32"/>
          <w:highlight w:val="none"/>
          <w:lang w:eastAsia="zh-CN"/>
        </w:rPr>
        <w:t>探索</w:t>
      </w:r>
      <w:r>
        <w:rPr>
          <w:rFonts w:hint="eastAsia" w:eastAsia="仿宋_GB2312"/>
          <w:color w:val="auto"/>
          <w:sz w:val="32"/>
          <w:szCs w:val="32"/>
          <w:highlight w:val="none"/>
        </w:rPr>
        <w:t>与</w:t>
      </w:r>
      <w:r>
        <w:rPr>
          <w:rFonts w:hint="eastAsia" w:eastAsia="仿宋_GB2312"/>
          <w:color w:val="auto"/>
          <w:sz w:val="32"/>
          <w:szCs w:val="32"/>
          <w:highlight w:val="none"/>
          <w:lang w:eastAsia="zh-CN"/>
        </w:rPr>
        <w:t>昌江、临高、</w:t>
      </w:r>
      <w:r>
        <w:rPr>
          <w:rFonts w:hint="eastAsia" w:eastAsia="仿宋_GB2312"/>
          <w:color w:val="auto"/>
          <w:sz w:val="32"/>
          <w:szCs w:val="32"/>
          <w:highlight w:val="none"/>
        </w:rPr>
        <w:t>白沙、琼中、澄迈等</w:t>
      </w:r>
      <w:r>
        <w:rPr>
          <w:rFonts w:hint="eastAsia" w:eastAsia="仿宋_GB2312"/>
          <w:color w:val="auto"/>
          <w:sz w:val="32"/>
          <w:szCs w:val="32"/>
          <w:highlight w:val="none"/>
          <w:lang w:eastAsia="zh-CN"/>
        </w:rPr>
        <w:t>周边</w:t>
      </w:r>
      <w:r>
        <w:rPr>
          <w:rFonts w:hint="eastAsia" w:eastAsia="仿宋_GB2312"/>
          <w:color w:val="auto"/>
          <w:sz w:val="32"/>
          <w:szCs w:val="32"/>
          <w:highlight w:val="none"/>
        </w:rPr>
        <w:t>市县</w:t>
      </w:r>
      <w:r>
        <w:rPr>
          <w:rFonts w:hint="eastAsia" w:eastAsia="仿宋_GB2312"/>
          <w:color w:val="auto"/>
          <w:sz w:val="32"/>
          <w:szCs w:val="32"/>
          <w:highlight w:val="none"/>
          <w:lang w:eastAsia="zh-CN"/>
        </w:rPr>
        <w:t>建立</w:t>
      </w:r>
      <w:r>
        <w:rPr>
          <w:rFonts w:hint="eastAsia" w:eastAsia="仿宋_GB2312"/>
          <w:color w:val="auto"/>
          <w:sz w:val="32"/>
          <w:szCs w:val="32"/>
          <w:highlight w:val="none"/>
        </w:rPr>
        <w:t>联合生态保护协作</w:t>
      </w:r>
      <w:r>
        <w:rPr>
          <w:rFonts w:hint="eastAsia" w:eastAsia="仿宋_GB2312"/>
          <w:color w:val="auto"/>
          <w:sz w:val="32"/>
          <w:szCs w:val="32"/>
          <w:highlight w:val="none"/>
          <w:lang w:eastAsia="zh-CN"/>
        </w:rPr>
        <w:t>机制。</w:t>
      </w:r>
      <w:r>
        <w:rPr>
          <w:rFonts w:hint="eastAsia" w:eastAsia="仿宋_GB2312"/>
          <w:color w:val="auto"/>
          <w:sz w:val="32"/>
          <w:szCs w:val="32"/>
          <w:highlight w:val="none"/>
        </w:rPr>
        <w:t>建立完善环保信用评价、守信激励、失信惩戒及承诺制度，健全环境违法行为联合惩戒机制。</w:t>
      </w:r>
      <w:r>
        <w:rPr>
          <w:rFonts w:hint="eastAsia" w:eastAsia="仿宋_GB2312"/>
          <w:color w:val="auto"/>
          <w:sz w:val="32"/>
          <w:szCs w:val="32"/>
          <w:highlight w:val="none"/>
          <w:lang w:eastAsia="zh-CN"/>
        </w:rPr>
        <w:t>加强领导干部自然资源资产审计。</w:t>
      </w:r>
      <w:r>
        <w:rPr>
          <w:rFonts w:hint="eastAsia" w:eastAsia="仿宋_GB2312"/>
          <w:color w:val="auto"/>
          <w:sz w:val="32"/>
          <w:szCs w:val="32"/>
          <w:highlight w:val="none"/>
        </w:rPr>
        <w:t>支持引导社会环保组织、民间团体、志愿者在生态环境监管、环保政策制定、监督企业履行环保责任等方面发挥积极作用。</w:t>
      </w:r>
      <w:r>
        <w:rPr>
          <w:rFonts w:hint="eastAsia" w:ascii="仿宋_GB2312" w:hAnsi="仿宋_GB2312" w:eastAsia="仿宋_GB2312" w:cs="仿宋_GB2312"/>
          <w:color w:val="auto"/>
          <w:sz w:val="32"/>
          <w:szCs w:val="32"/>
          <w:highlight w:val="none"/>
        </w:rPr>
        <w:t>充分发挥12369环保热线和12345</w:t>
      </w:r>
      <w:r>
        <w:rPr>
          <w:rFonts w:hint="eastAsia" w:ascii="仿宋_GB2312" w:hAnsi="仿宋_GB2312" w:eastAsia="仿宋_GB2312" w:cs="仿宋_GB2312"/>
          <w:color w:val="auto"/>
          <w:sz w:val="32"/>
          <w:szCs w:val="32"/>
          <w:highlight w:val="none"/>
          <w:lang w:eastAsia="zh-CN"/>
        </w:rPr>
        <w:t>政府综合服务</w:t>
      </w:r>
      <w:r>
        <w:rPr>
          <w:rFonts w:hint="eastAsia" w:ascii="仿宋_GB2312" w:hAnsi="仿宋_GB2312" w:eastAsia="仿宋_GB2312" w:cs="仿宋_GB2312"/>
          <w:color w:val="auto"/>
          <w:sz w:val="32"/>
          <w:szCs w:val="32"/>
          <w:highlight w:val="none"/>
        </w:rPr>
        <w:t>热线的作用，健全举报、听证、舆论监督等公众参与机制。</w:t>
      </w:r>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三</w:t>
      </w:r>
      <w:r>
        <w:rPr>
          <w:rFonts w:hint="eastAsia" w:ascii="楷体_GB2312" w:hAnsi="楷体_GB2312" w:eastAsia="楷体_GB2312" w:cs="楷体_GB2312"/>
          <w:b/>
          <w:bCs/>
          <w:color w:val="auto"/>
          <w:sz w:val="32"/>
          <w:szCs w:val="32"/>
          <w:highlight w:val="none"/>
        </w:rPr>
        <w:t>）强化生态环境事故风险防控能力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eastAsia="仿宋_GB2312"/>
          <w:color w:val="auto"/>
          <w:sz w:val="32"/>
          <w:szCs w:val="32"/>
          <w:highlight w:val="none"/>
        </w:rPr>
      </w:pPr>
      <w:r>
        <w:rPr>
          <w:rFonts w:hint="eastAsia" w:eastAsia="仿宋_GB2312"/>
          <w:b w:val="0"/>
          <w:bCs w:val="0"/>
          <w:color w:val="auto"/>
          <w:sz w:val="32"/>
          <w:szCs w:val="32"/>
          <w:highlight w:val="none"/>
        </w:rPr>
        <w:t>建立健全环境风险防控体系，强化环境监督管理</w:t>
      </w:r>
      <w:r>
        <w:rPr>
          <w:rFonts w:hint="eastAsia" w:eastAsia="仿宋_GB2312"/>
          <w:b w:val="0"/>
          <w:bCs w:val="0"/>
          <w:color w:val="auto"/>
          <w:sz w:val="32"/>
          <w:szCs w:val="32"/>
          <w:highlight w:val="none"/>
          <w:lang w:eastAsia="zh-CN"/>
        </w:rPr>
        <w:t>。</w:t>
      </w:r>
      <w:r>
        <w:rPr>
          <w:rFonts w:hint="eastAsia" w:eastAsia="仿宋_GB2312"/>
          <w:color w:val="auto"/>
          <w:sz w:val="32"/>
          <w:szCs w:val="32"/>
          <w:highlight w:val="none"/>
        </w:rPr>
        <w:t>提高生态灾害与突发环境事件防范与处理能力。对以赤潮和风暴潮为代表的儋州高发生态灾害，健全防控体系，提高防控意识，提升防控能力。特别重视洋浦港等港口及沿岸码头附近企业和船只不当作业引发的海洋溢油、危险化学品泄漏等风险，制定应急预案，敦促企业定期开展规范化作业培训与监管</w:t>
      </w:r>
      <w:r>
        <w:rPr>
          <w:rFonts w:hint="eastAsia" w:eastAsia="仿宋_GB2312"/>
          <w:color w:val="auto"/>
          <w:sz w:val="32"/>
          <w:szCs w:val="32"/>
          <w:highlight w:val="none"/>
          <w:lang w:eastAsia="zh-CN"/>
        </w:rPr>
        <w:t>。</w:t>
      </w:r>
      <w:r>
        <w:rPr>
          <w:rFonts w:hint="eastAsia" w:eastAsia="仿宋_GB2312"/>
          <w:color w:val="auto"/>
          <w:sz w:val="32"/>
          <w:szCs w:val="32"/>
          <w:highlight w:val="none"/>
        </w:rPr>
        <w:t>提升相关单位突发环境事件处理反应速度，建立滨海新区与洋浦开发区针对海洋环境突发事件的联防联控。</w:t>
      </w:r>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四</w:t>
      </w:r>
      <w:r>
        <w:rPr>
          <w:rFonts w:hint="eastAsia" w:ascii="楷体_GB2312" w:hAnsi="楷体_GB2312" w:eastAsia="楷体_GB2312" w:cs="楷体_GB2312"/>
          <w:b/>
          <w:bCs/>
          <w:color w:val="auto"/>
          <w:sz w:val="32"/>
          <w:szCs w:val="32"/>
          <w:highlight w:val="none"/>
        </w:rPr>
        <w:t>）探索生态资源市场配置机制</w:t>
      </w:r>
    </w:p>
    <w:p>
      <w:pPr>
        <w:pageBreakBefore w:val="0"/>
        <w:widowControl w:val="0"/>
        <w:kinsoku/>
        <w:wordWrap/>
        <w:overflowPunct/>
        <w:topLinePunct w:val="0"/>
        <w:autoSpaceDE/>
        <w:autoSpaceDN/>
        <w:bidi w:val="0"/>
        <w:adjustRightInd/>
        <w:snapToGrid/>
        <w:spacing w:line="560" w:lineRule="exact"/>
        <w:ind w:firstLine="643"/>
        <w:textAlignment w:val="auto"/>
        <w:rPr>
          <w:color w:val="auto"/>
          <w:highlight w:val="none"/>
        </w:rPr>
      </w:pPr>
      <w:r>
        <w:rPr>
          <w:rFonts w:hint="eastAsia" w:eastAsia="仿宋_GB2312"/>
          <w:color w:val="auto"/>
          <w:sz w:val="32"/>
          <w:szCs w:val="32"/>
          <w:highlight w:val="none"/>
        </w:rPr>
        <w:t>建立自然资源资产产权</w:t>
      </w:r>
      <w:r>
        <w:rPr>
          <w:rFonts w:hint="eastAsia" w:eastAsia="仿宋_GB2312"/>
          <w:color w:val="auto"/>
          <w:sz w:val="32"/>
          <w:szCs w:val="32"/>
          <w:highlight w:val="none"/>
          <w:lang w:eastAsia="zh-CN"/>
        </w:rPr>
        <w:t>登记</w:t>
      </w:r>
      <w:r>
        <w:rPr>
          <w:rFonts w:hint="eastAsia" w:eastAsia="仿宋_GB2312"/>
          <w:color w:val="auto"/>
          <w:sz w:val="32"/>
          <w:szCs w:val="32"/>
          <w:highlight w:val="none"/>
        </w:rPr>
        <w:t>制度和有偿使用制度，</w:t>
      </w:r>
      <w:r>
        <w:rPr>
          <w:rFonts w:hint="eastAsia" w:ascii="仿宋_GB2312" w:hAnsi="仿宋_GB2312" w:eastAsia="仿宋_GB2312" w:cs="仿宋_GB2312"/>
          <w:color w:val="auto"/>
          <w:sz w:val="32"/>
          <w:szCs w:val="32"/>
          <w:highlight w:val="none"/>
        </w:rPr>
        <w:t>在番加省级森林保护区依法合规探索开展森林经营先行先试，依法稳定集体林地承包权、放活经营权、保障收益权，拓展经营权能，</w:t>
      </w:r>
      <w:r>
        <w:rPr>
          <w:rFonts w:hint="eastAsia" w:eastAsia="仿宋_GB2312"/>
          <w:color w:val="auto"/>
          <w:sz w:val="32"/>
          <w:szCs w:val="32"/>
          <w:highlight w:val="none"/>
        </w:rPr>
        <w:t>探索开展绿色信贷，</w:t>
      </w:r>
      <w:r>
        <w:rPr>
          <w:rFonts w:hint="eastAsia" w:ascii="仿宋_GB2312" w:hAnsi="仿宋_GB2312" w:eastAsia="仿宋_GB2312" w:cs="仿宋_GB2312"/>
          <w:color w:val="auto"/>
          <w:sz w:val="32"/>
          <w:szCs w:val="32"/>
          <w:highlight w:val="none"/>
        </w:rPr>
        <w:t>推行林权抵押贷款，实现</w:t>
      </w:r>
      <w:r>
        <w:rPr>
          <w:rFonts w:hint="eastAsia" w:eastAsia="仿宋_GB2312"/>
          <w:color w:val="auto"/>
          <w:sz w:val="32"/>
          <w:szCs w:val="32"/>
          <w:highlight w:val="none"/>
        </w:rPr>
        <w:t>资本市场融资，</w:t>
      </w:r>
      <w:r>
        <w:rPr>
          <w:rFonts w:hint="eastAsia" w:ascii="仿宋_GB2312" w:hAnsi="仿宋_GB2312" w:eastAsia="仿宋_GB2312" w:cs="仿宋_GB2312"/>
          <w:color w:val="auto"/>
          <w:sz w:val="32"/>
          <w:szCs w:val="32"/>
          <w:highlight w:val="none"/>
        </w:rPr>
        <w:t>盘活林木林地资源</w:t>
      </w:r>
      <w:r>
        <w:rPr>
          <w:rFonts w:hint="eastAsia" w:eastAsia="仿宋_GB2312"/>
          <w:color w:val="auto"/>
          <w:sz w:val="32"/>
          <w:szCs w:val="32"/>
          <w:highlight w:val="none"/>
        </w:rPr>
        <w:t>；探索发行生态文明建设政府债券，吸引社会资本参与生态文明重点工程建设。</w:t>
      </w:r>
    </w:p>
    <w:p>
      <w:pPr>
        <w:pStyle w:val="3"/>
        <w:keepNext/>
        <w:keepLines/>
        <w:pageBreakBefore w:val="0"/>
        <w:widowControl w:val="0"/>
        <w:numPr>
          <w:ilvl w:val="0"/>
          <w:numId w:val="3"/>
        </w:numPr>
        <w:kinsoku/>
        <w:wordWrap/>
        <w:overflowPunct/>
        <w:topLinePunct w:val="0"/>
        <w:autoSpaceDE/>
        <w:autoSpaceDN/>
        <w:bidi w:val="0"/>
        <w:adjustRightInd/>
        <w:snapToGrid/>
        <w:spacing w:after="0" w:line="579" w:lineRule="auto"/>
        <w:textAlignment w:val="auto"/>
        <w:rPr>
          <w:rFonts w:hint="eastAsia"/>
          <w:color w:val="auto"/>
          <w:highlight w:val="none"/>
          <w:lang w:val="en-US" w:eastAsia="zh-CN"/>
        </w:rPr>
      </w:pPr>
      <w:bookmarkStart w:id="162" w:name="_Toc5789_WPSOffice_Level1"/>
      <w:bookmarkStart w:id="163" w:name="_Toc4676_WPSOffice_Level1"/>
      <w:bookmarkStart w:id="164" w:name="_Toc1991_WPSOffice_Level1"/>
      <w:bookmarkStart w:id="165" w:name="_Toc57914212"/>
      <w:r>
        <w:rPr>
          <w:rFonts w:hint="eastAsia"/>
          <w:color w:val="auto"/>
          <w:highlight w:val="none"/>
          <w:lang w:val="en-US" w:eastAsia="zh-CN"/>
        </w:rPr>
        <w:t>繁荣发展文化事业和文化产业</w:t>
      </w:r>
      <w:bookmarkEnd w:id="162"/>
      <w:bookmarkEnd w:id="163"/>
      <w:bookmarkStart w:id="166" w:name="_Toc25787_WPSOffice_Level2"/>
    </w:p>
    <w:p>
      <w:pPr>
        <w:pStyle w:val="3"/>
        <w:keepNext/>
        <w:keepLines/>
        <w:pageBreakBefore w:val="0"/>
        <w:widowControl w:val="0"/>
        <w:numPr>
          <w:ilvl w:val="0"/>
          <w:numId w:val="0"/>
        </w:numPr>
        <w:kinsoku/>
        <w:wordWrap/>
        <w:overflowPunct/>
        <w:topLinePunct w:val="0"/>
        <w:autoSpaceDE/>
        <w:autoSpaceDN/>
        <w:bidi w:val="0"/>
        <w:adjustRightInd/>
        <w:snapToGrid/>
        <w:spacing w:before="0" w:line="579" w:lineRule="auto"/>
        <w:jc w:val="center"/>
        <w:textAlignment w:val="auto"/>
        <w:rPr>
          <w:rFonts w:hint="eastAsia"/>
          <w:color w:val="auto"/>
          <w:highlight w:val="none"/>
          <w:lang w:val="en-US" w:eastAsia="zh-CN"/>
        </w:rPr>
      </w:pPr>
      <w:bookmarkStart w:id="167" w:name="_Toc29445_WPSOffice_Level2"/>
      <w:bookmarkStart w:id="168" w:name="_Toc30411_WPSOffice_Level2"/>
      <w:bookmarkStart w:id="169" w:name="_Toc28000_WPSOffice_Level2"/>
      <w:bookmarkStart w:id="170" w:name="_Toc17527_WPSOffice_Level2"/>
      <w:r>
        <w:rPr>
          <w:rFonts w:hint="eastAsia"/>
          <w:color w:val="auto"/>
          <w:highlight w:val="none"/>
          <w:lang w:val="en-US" w:eastAsia="zh-CN"/>
        </w:rPr>
        <w:t>提升文化软实力</w:t>
      </w:r>
      <w:bookmarkEnd w:id="164"/>
      <w:bookmarkEnd w:id="166"/>
      <w:bookmarkEnd w:id="167"/>
      <w:bookmarkEnd w:id="168"/>
      <w:bookmarkEnd w:id="169"/>
      <w:bookmarkEnd w:id="170"/>
    </w:p>
    <w:p>
      <w:pPr>
        <w:pageBreakBefore w:val="0"/>
        <w:widowControl w:val="0"/>
        <w:kinsoku/>
        <w:wordWrap/>
        <w:overflowPunct/>
        <w:topLinePunct w:val="0"/>
        <w:autoSpaceDE w:val="0"/>
        <w:autoSpaceDN w:val="0"/>
        <w:bidi w:val="0"/>
        <w:adjustRightInd w:val="0"/>
        <w:snapToGrid/>
        <w:spacing w:line="560" w:lineRule="exact"/>
        <w:ind w:firstLine="642"/>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坚持马克思主义在意识形态领域的指导地位，坚持党管宣传、党管意识形态、党管媒体的原则，坚定文化自信，坚持以社会主义核心价值观引领文化建设，促进满足人民文化需求和增强人民精神力量相统一，加强社会主义精神文明建设。统筹文化事业和文化产业发展，打造海南西部文化体育中心。</w:t>
      </w:r>
    </w:p>
    <w:p>
      <w:pPr>
        <w:pStyle w:val="4"/>
        <w:pageBreakBefore w:val="0"/>
        <w:widowControl w:val="0"/>
        <w:kinsoku/>
        <w:wordWrap/>
        <w:overflowPunct/>
        <w:topLinePunct w:val="0"/>
        <w:bidi w:val="0"/>
        <w:snapToGrid/>
        <w:spacing w:line="560" w:lineRule="exact"/>
        <w:textAlignment w:val="auto"/>
        <w:rPr>
          <w:rFonts w:hint="eastAsia" w:eastAsia="楷体_GB2312"/>
          <w:bCs/>
          <w:color w:val="auto"/>
          <w:szCs w:val="32"/>
          <w:highlight w:val="none"/>
          <w:lang w:val="en-US" w:eastAsia="zh-CN"/>
        </w:rPr>
      </w:pPr>
      <w:bookmarkStart w:id="171" w:name="_Toc4970_WPSOffice_Level2"/>
      <w:bookmarkStart w:id="172" w:name="_Toc5740_WPSOffice_Level2"/>
      <w:bookmarkStart w:id="173" w:name="_Toc16060_WPSOffice_Level2"/>
      <w:r>
        <w:rPr>
          <w:rFonts w:hint="eastAsia"/>
          <w:color w:val="auto"/>
          <w:highlight w:val="none"/>
          <w:lang w:eastAsia="zh-CN"/>
        </w:rPr>
        <w:t>第一节</w:t>
      </w:r>
      <w:r>
        <w:rPr>
          <w:rFonts w:hint="eastAsia"/>
          <w:color w:val="auto"/>
          <w:highlight w:val="none"/>
          <w:lang w:val="en-US" w:eastAsia="zh-CN"/>
        </w:rPr>
        <w:t xml:space="preserve"> 提高社会文明程度</w:t>
      </w:r>
      <w:bookmarkEnd w:id="171"/>
      <w:bookmarkEnd w:id="172"/>
      <w:bookmarkEnd w:id="173"/>
    </w:p>
    <w:p>
      <w:pPr>
        <w:pStyle w:val="2"/>
        <w:pageBreakBefore w:val="0"/>
        <w:widowControl w:val="0"/>
        <w:kinsoku/>
        <w:wordWrap/>
        <w:overflowPunct/>
        <w:topLinePunct w:val="0"/>
        <w:bidi w:val="0"/>
        <w:snapToGrid/>
        <w:spacing w:line="560" w:lineRule="exact"/>
        <w:ind w:firstLine="643" w:firstLineChars="200"/>
        <w:textAlignment w:val="auto"/>
        <w:rPr>
          <w:rFonts w:hint="eastAsia" w:ascii="仿宋_GB2312" w:eastAsia="仿宋_GB2312"/>
          <w:color w:val="auto"/>
          <w:sz w:val="32"/>
          <w:szCs w:val="32"/>
          <w:highlight w:val="none"/>
          <w:lang w:eastAsia="zh-CN"/>
        </w:rPr>
      </w:pPr>
      <w:r>
        <w:rPr>
          <w:rFonts w:hint="eastAsia" w:ascii="仿宋_GB2312" w:eastAsia="仿宋_GB2312"/>
          <w:b/>
          <w:bCs/>
          <w:color w:val="auto"/>
          <w:sz w:val="32"/>
          <w:szCs w:val="32"/>
          <w:highlight w:val="none"/>
          <w:lang w:eastAsia="zh-CN"/>
        </w:rPr>
        <w:t>弘扬爱国主义和特区精神。</w:t>
      </w:r>
      <w:r>
        <w:rPr>
          <w:rFonts w:hint="eastAsia" w:ascii="仿宋_GB2312" w:eastAsia="仿宋_GB2312"/>
          <w:color w:val="auto"/>
          <w:sz w:val="32"/>
          <w:szCs w:val="32"/>
          <w:highlight w:val="none"/>
          <w:lang w:eastAsia="zh-CN"/>
        </w:rPr>
        <w:t>坚持党管宣传、党管意识形态、党管媒体的原则，牢牢掌握意识形态工作的领导权、管理权、话语权。深入学习贯彻习近平新时代中国特色社会主义思想，推动理想信念教育常态化制度化，加强爱国主义、集体主义、社会主义教育，大力弘扬“敢闯敢试、敢为人先、埋头苦干”的特区精神和“扎根守土、坚韧不拔、无私奉献”的椰树精神。</w:t>
      </w:r>
    </w:p>
    <w:p>
      <w:pPr>
        <w:pageBreakBefore w:val="0"/>
        <w:widowControl w:val="0"/>
        <w:kinsoku/>
        <w:wordWrap/>
        <w:overflowPunct/>
        <w:topLinePunct w:val="0"/>
        <w:autoSpaceDE w:val="0"/>
        <w:autoSpaceDN w:val="0"/>
        <w:bidi w:val="0"/>
        <w:adjustRightInd w:val="0"/>
        <w:snapToGrid/>
        <w:spacing w:line="560" w:lineRule="exact"/>
        <w:ind w:firstLine="642"/>
        <w:textAlignment w:val="auto"/>
        <w:rPr>
          <w:rFonts w:hint="eastAsia" w:ascii="仿宋_GB2312" w:eastAsia="仿宋_GB2312"/>
          <w:color w:val="auto"/>
          <w:sz w:val="32"/>
          <w:szCs w:val="32"/>
          <w:highlight w:val="none"/>
          <w:lang w:eastAsia="zh-CN"/>
        </w:rPr>
      </w:pPr>
      <w:r>
        <w:rPr>
          <w:rFonts w:hint="eastAsia" w:ascii="仿宋_GB2312" w:eastAsia="仿宋_GB2312"/>
          <w:b/>
          <w:bCs/>
          <w:color w:val="auto"/>
          <w:sz w:val="32"/>
          <w:szCs w:val="32"/>
          <w:highlight w:val="none"/>
          <w:lang w:eastAsia="zh-CN"/>
        </w:rPr>
        <w:t>深入开展社会文明大行动。</w:t>
      </w:r>
      <w:r>
        <w:rPr>
          <w:rFonts w:hint="eastAsia" w:ascii="仿宋_GB2312" w:eastAsia="仿宋_GB2312"/>
          <w:color w:val="auto"/>
          <w:sz w:val="32"/>
          <w:szCs w:val="32"/>
          <w:highlight w:val="none"/>
          <w:lang w:eastAsia="zh-CN"/>
        </w:rPr>
        <w:t>持续开展“一创两建”，巩固拓展创建国家卫生城市成果，久久为功争创全国文明城市。广泛开展双拥共建活动。推进公民道德建设和诚信建设，推进新时代文明实践中心（所、站）建设，健全志愿服务体系，推动文明实践和志愿服务常态化开展。深化乡风文明行动，创新发展“新乡贤”文化。深化“爱国家、爱海南、爱家乡、爱家庭”为主题的卫生大健康行动，培育良好家风、乡风、校风、行风。提倡艰苦奋斗、节俭节约。倡导移风易俗，树立文明新风尚。加强网络文明建设，发挥积极健康的网络文化。</w:t>
      </w:r>
    </w:p>
    <w:p>
      <w:pPr>
        <w:pStyle w:val="2"/>
        <w:pageBreakBefore w:val="0"/>
        <w:widowControl w:val="0"/>
        <w:kinsoku/>
        <w:wordWrap/>
        <w:overflowPunct/>
        <w:topLinePunct w:val="0"/>
        <w:bidi w:val="0"/>
        <w:snapToGrid/>
        <w:spacing w:line="560" w:lineRule="exact"/>
        <w:ind w:firstLine="643" w:firstLineChars="200"/>
        <w:textAlignment w:val="auto"/>
        <w:rPr>
          <w:rFonts w:hint="eastAsia" w:ascii="仿宋_GB2312" w:eastAsia="仿宋_GB2312"/>
          <w:color w:val="auto"/>
          <w:sz w:val="32"/>
          <w:szCs w:val="32"/>
          <w:highlight w:val="none"/>
          <w:lang w:eastAsia="zh-CN"/>
        </w:rPr>
      </w:pPr>
      <w:r>
        <w:rPr>
          <w:rFonts w:hint="eastAsia" w:ascii="仿宋_GB2312" w:eastAsia="仿宋_GB2312"/>
          <w:b/>
          <w:bCs/>
          <w:color w:val="auto"/>
          <w:sz w:val="32"/>
          <w:szCs w:val="32"/>
          <w:highlight w:val="none"/>
          <w:lang w:eastAsia="zh-CN"/>
        </w:rPr>
        <w:t>建立终身学习性社会。</w:t>
      </w:r>
      <w:r>
        <w:rPr>
          <w:rFonts w:hint="eastAsia" w:ascii="仿宋_GB2312" w:eastAsia="仿宋_GB2312"/>
          <w:color w:val="auto"/>
          <w:sz w:val="32"/>
          <w:szCs w:val="32"/>
          <w:highlight w:val="none"/>
          <w:lang w:eastAsia="zh-CN"/>
        </w:rPr>
        <w:t>创造氛围，构建服务全民终身学习的教育体系，建立“人人皆学、处处能学、时时可学”的学习型社会。大力推广全民阅读，重视青少年和儿童阅读，规范发展社会培训。完善职业教育、高等教育、继续教育统筹协调发展机制，畅通人才成长渠道。以“互联网</w:t>
      </w:r>
      <w:r>
        <w:rPr>
          <w:rFonts w:hint="eastAsia" w:ascii="仿宋_GB2312" w:eastAsia="仿宋_GB2312"/>
          <w:color w:val="auto"/>
          <w:sz w:val="32"/>
          <w:szCs w:val="32"/>
          <w:highlight w:val="none"/>
          <w:lang w:val="en-US" w:eastAsia="zh-CN"/>
        </w:rPr>
        <w:t>+教育”为主、搭建终身学习平台。打造儋州学生“健康阳光、好学上进、勤劳诚信、文明朴实”特色印记。</w:t>
      </w:r>
    </w:p>
    <w:p>
      <w:pPr>
        <w:pStyle w:val="4"/>
        <w:pageBreakBefore w:val="0"/>
        <w:widowControl w:val="0"/>
        <w:kinsoku/>
        <w:wordWrap/>
        <w:overflowPunct/>
        <w:topLinePunct w:val="0"/>
        <w:bidi w:val="0"/>
        <w:snapToGrid/>
        <w:spacing w:line="560" w:lineRule="exact"/>
        <w:textAlignment w:val="auto"/>
        <w:rPr>
          <w:rFonts w:hint="eastAsia"/>
          <w:color w:val="auto"/>
          <w:highlight w:val="none"/>
          <w:lang w:val="en-US" w:eastAsia="zh-CN"/>
        </w:rPr>
      </w:pPr>
      <w:bookmarkStart w:id="174" w:name="_Toc20795_WPSOffice_Level2"/>
      <w:bookmarkStart w:id="175" w:name="_Toc16438_WPSOffice_Level2"/>
      <w:bookmarkStart w:id="176" w:name="_Toc15141_WPSOffice_Level2"/>
      <w:r>
        <w:rPr>
          <w:rFonts w:hint="eastAsia"/>
          <w:color w:val="auto"/>
          <w:highlight w:val="none"/>
          <w:lang w:eastAsia="zh-CN"/>
        </w:rPr>
        <w:t>第二节</w:t>
      </w:r>
      <w:r>
        <w:rPr>
          <w:rFonts w:hint="eastAsia"/>
          <w:color w:val="auto"/>
          <w:highlight w:val="none"/>
          <w:lang w:val="en-US" w:eastAsia="zh-CN"/>
        </w:rPr>
        <w:t xml:space="preserve"> 加快发展文化体育事业</w:t>
      </w:r>
      <w:bookmarkEnd w:id="174"/>
      <w:bookmarkEnd w:id="175"/>
      <w:bookmarkEnd w:id="176"/>
    </w:p>
    <w:p>
      <w:pPr>
        <w:pageBreakBefore w:val="0"/>
        <w:widowControl w:val="0"/>
        <w:kinsoku/>
        <w:wordWrap/>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（一）完善公共文化体育服务体系</w:t>
      </w:r>
    </w:p>
    <w:p>
      <w:pPr>
        <w:pageBreakBefore w:val="0"/>
        <w:widowControl w:val="0"/>
        <w:kinsoku/>
        <w:wordWrap/>
        <w:overflowPunct/>
        <w:topLinePunct w:val="0"/>
        <w:bidi w:val="0"/>
        <w:snapToGrid/>
        <w:spacing w:line="560" w:lineRule="exact"/>
        <w:ind w:firstLine="643" w:firstLineChars="200"/>
        <w:textAlignment w:val="auto"/>
        <w:rPr>
          <w:color w:val="auto"/>
          <w:highlight w:val="none"/>
        </w:rPr>
      </w:pPr>
      <w:r>
        <w:rPr>
          <w:rFonts w:hint="eastAsia" w:ascii="仿宋_GB2312" w:eastAsia="仿宋_GB2312"/>
          <w:b/>
          <w:bCs/>
          <w:color w:val="auto"/>
          <w:sz w:val="32"/>
          <w:szCs w:val="32"/>
          <w:highlight w:val="none"/>
          <w:lang w:eastAsia="zh-CN"/>
        </w:rPr>
        <w:t>建设和完善公共文化</w:t>
      </w:r>
      <w:r>
        <w:rPr>
          <w:rFonts w:hint="eastAsia" w:ascii="仿宋_GB2312" w:eastAsia="仿宋_GB2312"/>
          <w:b/>
          <w:bCs/>
          <w:color w:val="auto"/>
          <w:sz w:val="32"/>
          <w:szCs w:val="32"/>
          <w:highlight w:val="none"/>
        </w:rPr>
        <w:t>体育</w:t>
      </w:r>
      <w:r>
        <w:rPr>
          <w:rFonts w:hint="eastAsia" w:ascii="仿宋_GB2312" w:eastAsia="仿宋_GB2312"/>
          <w:b/>
          <w:bCs/>
          <w:color w:val="auto"/>
          <w:sz w:val="32"/>
          <w:szCs w:val="32"/>
          <w:highlight w:val="none"/>
          <w:lang w:eastAsia="zh-CN"/>
        </w:rPr>
        <w:t>基础设施。</w:t>
      </w:r>
      <w:r>
        <w:rPr>
          <w:rFonts w:hint="eastAsia" w:ascii="仿宋_GB2312" w:eastAsia="仿宋_GB2312"/>
          <w:color w:val="auto"/>
          <w:sz w:val="32"/>
          <w:szCs w:val="32"/>
          <w:highlight w:val="none"/>
        </w:rPr>
        <w:t>加快完成体育中心“一场两馆”建设，</w:t>
      </w:r>
      <w:r>
        <w:rPr>
          <w:rFonts w:hint="eastAsia" w:ascii="仿宋_GB2312" w:eastAsia="仿宋_GB2312"/>
          <w:color w:val="auto"/>
          <w:sz w:val="32"/>
          <w:szCs w:val="32"/>
          <w:highlight w:val="none"/>
          <w:lang w:eastAsia="zh-CN"/>
        </w:rPr>
        <w:t>完善一批</w:t>
      </w:r>
      <w:r>
        <w:rPr>
          <w:rFonts w:hint="eastAsia" w:ascii="仿宋_GB2312" w:eastAsia="仿宋_GB2312"/>
          <w:color w:val="auto"/>
          <w:sz w:val="32"/>
          <w:szCs w:val="32"/>
          <w:highlight w:val="none"/>
        </w:rPr>
        <w:t>休闲漫步道、体育公园、健身路径</w:t>
      </w:r>
      <w:r>
        <w:rPr>
          <w:rFonts w:hint="eastAsia" w:ascii="仿宋_GB2312" w:eastAsia="仿宋_GB2312"/>
          <w:color w:val="auto"/>
          <w:sz w:val="32"/>
          <w:szCs w:val="32"/>
          <w:highlight w:val="none"/>
          <w:lang w:eastAsia="zh-CN"/>
        </w:rPr>
        <w:t>、健身中心</w:t>
      </w:r>
      <w:r>
        <w:rPr>
          <w:rFonts w:hint="eastAsia" w:ascii="仿宋_GB2312" w:eastAsia="仿宋_GB2312"/>
          <w:color w:val="auto"/>
          <w:sz w:val="32"/>
          <w:szCs w:val="32"/>
          <w:highlight w:val="none"/>
        </w:rPr>
        <w:t>等公共体育设施。</w:t>
      </w:r>
      <w:r>
        <w:rPr>
          <w:rFonts w:hint="eastAsia" w:ascii="仿宋_GB2312" w:eastAsia="仿宋_GB2312"/>
          <w:b w:val="0"/>
          <w:bCs w:val="0"/>
          <w:color w:val="auto"/>
          <w:sz w:val="32"/>
          <w:szCs w:val="32"/>
          <w:highlight w:val="none"/>
        </w:rPr>
        <w:t>扩建升级儋州市图书馆、文化馆、博物馆。</w:t>
      </w:r>
      <w:r>
        <w:rPr>
          <w:rFonts w:hint="eastAsia" w:ascii="仿宋_GB2312" w:eastAsia="仿宋_GB2312"/>
          <w:b w:val="0"/>
          <w:bCs w:val="0"/>
          <w:color w:val="auto"/>
          <w:sz w:val="32"/>
          <w:szCs w:val="32"/>
          <w:highlight w:val="none"/>
          <w:lang w:eastAsia="zh-CN"/>
        </w:rPr>
        <w:t>推动儋阳楼对公众开放</w:t>
      </w:r>
      <w:r>
        <w:rPr>
          <w:rFonts w:hint="eastAsia" w:ascii="仿宋_GB2312" w:eastAsia="仿宋_GB2312"/>
          <w:color w:val="auto"/>
          <w:sz w:val="32"/>
          <w:szCs w:val="32"/>
          <w:highlight w:val="none"/>
        </w:rPr>
        <w:t>。启用市书画院，</w:t>
      </w:r>
      <w:r>
        <w:rPr>
          <w:rFonts w:hint="eastAsia" w:eastAsia="仿宋_GB2312"/>
          <w:color w:val="auto"/>
          <w:sz w:val="32"/>
          <w:szCs w:val="32"/>
          <w:highlight w:val="none"/>
        </w:rPr>
        <w:t>建设</w:t>
      </w:r>
      <w:r>
        <w:rPr>
          <w:rFonts w:hint="eastAsia" w:ascii="仿宋_GB2312" w:eastAsia="仿宋_GB2312"/>
          <w:color w:val="auto"/>
          <w:sz w:val="32"/>
          <w:szCs w:val="32"/>
          <w:highlight w:val="none"/>
        </w:rPr>
        <w:t>非遗展示中心。完善儋州市16个综合文化站的软硬件设施，推进建设全市行政村（社区）、居文化室、舞台、篮（排）球场等综合性文体服务中心项目。</w:t>
      </w:r>
      <w:r>
        <w:rPr>
          <w:rFonts w:hint="eastAsia" w:ascii="仿宋_GB2312" w:eastAsia="仿宋_GB2312"/>
          <w:b w:val="0"/>
          <w:bCs w:val="0"/>
          <w:color w:val="auto"/>
          <w:sz w:val="32"/>
          <w:szCs w:val="32"/>
          <w:highlight w:val="none"/>
        </w:rPr>
        <w:t>建设儋州市应急广播系统。</w:t>
      </w:r>
      <w:r>
        <w:rPr>
          <w:rFonts w:hint="eastAsia" w:ascii="仿宋_GB2312" w:eastAsia="仿宋_GB2312"/>
          <w:color w:val="auto"/>
          <w:sz w:val="32"/>
          <w:szCs w:val="32"/>
          <w:highlight w:val="none"/>
        </w:rPr>
        <w:t>继续推进居</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村</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社区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等农民体育健身工程建设。到2025年，全市经常参加体育活动的人数占全市总人数的30%以上，成年人体质测定合格率超过70%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城镇居民体育健身面积达到人均1.8m</w:t>
      </w:r>
      <w:r>
        <w:rPr>
          <w:rFonts w:ascii="仿宋_GB2312" w:eastAsia="仿宋_GB2312"/>
          <w:color w:val="auto"/>
          <w:sz w:val="32"/>
          <w:szCs w:val="32"/>
          <w:highlight w:val="none"/>
          <w:vertAlign w:val="superscript"/>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全市居</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村</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社区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“农民体育健身工程”全覆盖</w:t>
      </w:r>
      <w:r>
        <w:rPr>
          <w:rFonts w:hint="eastAsia" w:ascii="仿宋_GB2312" w:eastAsia="仿宋_GB2312"/>
          <w:color w:val="auto"/>
          <w:sz w:val="32"/>
          <w:szCs w:val="32"/>
          <w:highlight w:val="none"/>
          <w:lang w:eastAsia="zh-CN"/>
        </w:rPr>
        <w:t>。</w:t>
      </w:r>
    </w:p>
    <w:p>
      <w:pPr>
        <w:pageBreakBefore w:val="0"/>
        <w:widowControl w:val="0"/>
        <w:kinsoku/>
        <w:wordWrap/>
        <w:overflowPunct/>
        <w:topLinePunct w:val="0"/>
        <w:bidi w:val="0"/>
        <w:snapToGrid/>
        <w:spacing w:line="560" w:lineRule="exact"/>
        <w:ind w:firstLine="643" w:firstLineChars="200"/>
        <w:textAlignment w:val="auto"/>
        <w:rPr>
          <w:rFonts w:ascii="仿宋_GB2312" w:eastAsia="仿宋_GB2312"/>
          <w:color w:val="auto"/>
          <w:sz w:val="32"/>
          <w:szCs w:val="32"/>
          <w:highlight w:val="none"/>
        </w:rPr>
      </w:pPr>
      <w:r>
        <w:rPr>
          <w:rFonts w:hint="eastAsia" w:ascii="仿宋_GB2312" w:eastAsia="仿宋_GB2312"/>
          <w:b/>
          <w:bCs/>
          <w:color w:val="auto"/>
          <w:sz w:val="32"/>
          <w:szCs w:val="32"/>
          <w:highlight w:val="none"/>
          <w:lang w:eastAsia="zh-CN"/>
        </w:rPr>
        <w:t>加快发展文化事业</w:t>
      </w:r>
      <w:r>
        <w:rPr>
          <w:rFonts w:hint="eastAsia" w:ascii="仿宋_GB2312" w:eastAsia="仿宋_GB2312"/>
          <w:b/>
          <w:bCs/>
          <w:color w:val="auto"/>
          <w:sz w:val="32"/>
          <w:szCs w:val="32"/>
          <w:highlight w:val="none"/>
        </w:rPr>
        <w:t>。</w:t>
      </w:r>
      <w:r>
        <w:rPr>
          <w:rFonts w:hint="eastAsia" w:ascii="仿宋_GB2312" w:eastAsia="仿宋_GB2312"/>
          <w:b w:val="0"/>
          <w:bCs w:val="0"/>
          <w:color w:val="auto"/>
          <w:sz w:val="32"/>
          <w:szCs w:val="32"/>
          <w:highlight w:val="none"/>
          <w:lang w:eastAsia="zh-CN"/>
        </w:rPr>
        <w:t>发挥海花岛旅游产业园的文化传播和示范带动作用，培育壮大国际会展、</w:t>
      </w:r>
      <w:r>
        <w:rPr>
          <w:rFonts w:hint="eastAsia" w:ascii="仿宋_GB2312" w:eastAsia="仿宋_GB2312"/>
          <w:b w:val="0"/>
          <w:bCs w:val="0"/>
          <w:color w:val="auto"/>
          <w:sz w:val="32"/>
          <w:szCs w:val="32"/>
          <w:highlight w:val="none"/>
        </w:rPr>
        <w:t>特色博物馆</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rPr>
        <w:t>歌剧院</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rPr>
        <w:t>音乐厅</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rPr>
        <w:t>电影艺术中心</w:t>
      </w:r>
      <w:r>
        <w:rPr>
          <w:rFonts w:hint="eastAsia" w:ascii="仿宋_GB2312" w:eastAsia="仿宋_GB2312"/>
          <w:b w:val="0"/>
          <w:bCs w:val="0"/>
          <w:color w:val="auto"/>
          <w:sz w:val="32"/>
          <w:szCs w:val="32"/>
          <w:highlight w:val="none"/>
          <w:lang w:eastAsia="zh-CN"/>
        </w:rPr>
        <w:t>等文化业态。</w:t>
      </w:r>
      <w:r>
        <w:rPr>
          <w:rFonts w:hint="eastAsia" w:ascii="仿宋_GB2312" w:eastAsia="仿宋_GB2312"/>
          <w:color w:val="auto"/>
          <w:sz w:val="32"/>
          <w:szCs w:val="32"/>
          <w:highlight w:val="none"/>
          <w:lang w:eastAsia="zh-CN"/>
        </w:rPr>
        <w:t>高质量举办</w:t>
      </w:r>
      <w:r>
        <w:rPr>
          <w:rFonts w:hint="eastAsia" w:ascii="仿宋_GB2312" w:eastAsia="仿宋_GB2312"/>
          <w:color w:val="auto"/>
          <w:sz w:val="32"/>
          <w:szCs w:val="32"/>
          <w:highlight w:val="none"/>
        </w:rPr>
        <w:t>调声</w:t>
      </w:r>
      <w:r>
        <w:rPr>
          <w:rFonts w:hint="eastAsia" w:ascii="仿宋_GB2312" w:eastAsia="仿宋_GB2312"/>
          <w:color w:val="auto"/>
          <w:sz w:val="32"/>
          <w:szCs w:val="32"/>
          <w:highlight w:val="none"/>
          <w:lang w:eastAsia="zh-CN"/>
        </w:rPr>
        <w:t>文化</w:t>
      </w:r>
      <w:r>
        <w:rPr>
          <w:rFonts w:hint="eastAsia" w:ascii="仿宋_GB2312" w:eastAsia="仿宋_GB2312"/>
          <w:color w:val="auto"/>
          <w:sz w:val="32"/>
          <w:szCs w:val="32"/>
          <w:highlight w:val="none"/>
        </w:rPr>
        <w:t>节</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东坡文化节、</w:t>
      </w:r>
      <w:r>
        <w:rPr>
          <w:rFonts w:hint="eastAsia" w:ascii="仿宋_GB2312" w:eastAsia="仿宋_GB2312"/>
          <w:color w:val="auto"/>
          <w:sz w:val="32"/>
          <w:szCs w:val="32"/>
          <w:highlight w:val="none"/>
          <w:lang w:eastAsia="zh-CN"/>
        </w:rPr>
        <w:t>雪茄文化旅游节</w:t>
      </w:r>
      <w:r>
        <w:rPr>
          <w:rFonts w:hint="eastAsia" w:ascii="仿宋_GB2312" w:eastAsia="仿宋_GB2312"/>
          <w:color w:val="auto"/>
          <w:sz w:val="32"/>
          <w:szCs w:val="32"/>
          <w:highlight w:val="none"/>
        </w:rPr>
        <w:t>等文化活动</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u w:val="none"/>
          <w:lang w:eastAsia="zh-CN"/>
        </w:rPr>
        <w:t>深入实施开展民族团结进步创建活动，</w:t>
      </w:r>
      <w:r>
        <w:rPr>
          <w:rFonts w:hint="eastAsia" w:ascii="仿宋_GB2312" w:eastAsia="仿宋_GB2312"/>
          <w:color w:val="auto"/>
          <w:sz w:val="32"/>
          <w:szCs w:val="32"/>
          <w:highlight w:val="none"/>
        </w:rPr>
        <w:t>加强民族特色传统</w:t>
      </w:r>
      <w:r>
        <w:rPr>
          <w:rFonts w:hint="eastAsia" w:ascii="仿宋_GB2312" w:eastAsia="仿宋_GB2312"/>
          <w:color w:val="auto"/>
          <w:sz w:val="32"/>
          <w:szCs w:val="32"/>
          <w:highlight w:val="none"/>
          <w:lang w:eastAsia="zh-CN"/>
        </w:rPr>
        <w:t>文化</w:t>
      </w:r>
      <w:r>
        <w:rPr>
          <w:rFonts w:hint="eastAsia" w:ascii="仿宋_GB2312" w:eastAsia="仿宋_GB2312"/>
          <w:color w:val="auto"/>
          <w:sz w:val="32"/>
          <w:szCs w:val="32"/>
          <w:highlight w:val="none"/>
        </w:rPr>
        <w:t>传承</w:t>
      </w:r>
      <w:r>
        <w:rPr>
          <w:rFonts w:hint="eastAsia" w:ascii="仿宋_GB2312" w:eastAsia="仿宋_GB2312"/>
          <w:color w:val="auto"/>
          <w:sz w:val="32"/>
          <w:szCs w:val="32"/>
          <w:highlight w:val="none"/>
          <w:lang w:eastAsia="zh-CN"/>
        </w:rPr>
        <w:t>，深化</w:t>
      </w:r>
      <w:r>
        <w:rPr>
          <w:rFonts w:hint="eastAsia" w:ascii="仿宋_GB2312" w:eastAsia="仿宋_GB2312"/>
          <w:color w:val="auto"/>
          <w:sz w:val="32"/>
          <w:szCs w:val="32"/>
          <w:highlight w:val="none"/>
        </w:rPr>
        <w:t>中和“元宵节”、白马井“正月十六”、海头“二月二”、黎家“三月三”等传统节庆民俗活动</w:t>
      </w:r>
      <w:r>
        <w:rPr>
          <w:rFonts w:hint="eastAsia" w:ascii="仿宋_GB2312" w:eastAsia="仿宋_GB2312"/>
          <w:color w:val="auto"/>
          <w:sz w:val="32"/>
          <w:szCs w:val="32"/>
          <w:highlight w:val="none"/>
          <w:lang w:eastAsia="zh-CN"/>
        </w:rPr>
        <w:t>，提升文化内涵</w:t>
      </w:r>
      <w:r>
        <w:rPr>
          <w:rFonts w:eastAsia="仿宋_GB2312"/>
          <w:color w:val="auto"/>
          <w:sz w:val="32"/>
          <w:szCs w:val="32"/>
          <w:highlight w:val="none"/>
        </w:rPr>
        <w:t>；开展广场文艺汇演、文化下乡、广场舞等群众性文化活动，推广普及舞蹈、音乐、美术、书法等大众文化</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加强文艺作品和文艺人才培养力度。加强对外文化交流和多层次文明对话。</w:t>
      </w:r>
    </w:p>
    <w:p>
      <w:pPr>
        <w:pStyle w:val="2"/>
        <w:pageBreakBefore w:val="0"/>
        <w:widowControl w:val="0"/>
        <w:kinsoku/>
        <w:wordWrap/>
        <w:overflowPunct/>
        <w:topLinePunct w:val="0"/>
        <w:bidi w:val="0"/>
        <w:snapToGrid/>
        <w:spacing w:line="560" w:lineRule="exact"/>
        <w:ind w:firstLine="643" w:firstLineChars="200"/>
        <w:jc w:val="both"/>
        <w:textAlignment w:val="auto"/>
        <w:rPr>
          <w:rFonts w:ascii="仿宋_GB2312" w:eastAsia="仿宋_GB2312"/>
          <w:b/>
          <w:bCs/>
          <w:color w:val="auto"/>
          <w:sz w:val="32"/>
          <w:szCs w:val="32"/>
          <w:highlight w:val="none"/>
        </w:rPr>
      </w:pPr>
      <w:r>
        <w:rPr>
          <w:rFonts w:hint="eastAsia" w:ascii="仿宋_GB2312" w:eastAsia="仿宋_GB2312"/>
          <w:b/>
          <w:bCs/>
          <w:color w:val="auto"/>
          <w:sz w:val="32"/>
          <w:szCs w:val="32"/>
          <w:highlight w:val="none"/>
          <w:lang w:eastAsia="zh-CN"/>
        </w:rPr>
        <w:t>加快发展体育事业</w:t>
      </w:r>
      <w:r>
        <w:rPr>
          <w:rFonts w:hint="eastAsia" w:ascii="仿宋_GB2312" w:eastAsia="仿宋_GB2312"/>
          <w:b/>
          <w:bCs/>
          <w:color w:val="auto"/>
          <w:sz w:val="32"/>
          <w:szCs w:val="32"/>
          <w:highlight w:val="none"/>
        </w:rPr>
        <w:t>。</w:t>
      </w:r>
      <w:r>
        <w:rPr>
          <w:rFonts w:hint="eastAsia" w:ascii="仿宋_GB2312" w:eastAsia="仿宋_GB2312"/>
          <w:b w:val="0"/>
          <w:bCs w:val="0"/>
          <w:color w:val="auto"/>
          <w:sz w:val="32"/>
          <w:szCs w:val="32"/>
          <w:highlight w:val="none"/>
          <w:lang w:eastAsia="zh-CN"/>
        </w:rPr>
        <w:t>持续开展全民健身活动，加强体育人才培养</w:t>
      </w:r>
      <w:r>
        <w:rPr>
          <w:rFonts w:hint="eastAsia" w:ascii="仿宋_GB2312" w:eastAsia="仿宋_GB2312"/>
          <w:b w:val="0"/>
          <w:bCs w:val="0"/>
          <w:color w:val="auto"/>
          <w:kern w:val="2"/>
          <w:sz w:val="32"/>
          <w:szCs w:val="32"/>
          <w:highlight w:val="none"/>
        </w:rPr>
        <w:t>。</w:t>
      </w:r>
      <w:r>
        <w:rPr>
          <w:rFonts w:hint="eastAsia" w:ascii="仿宋_GB2312" w:eastAsia="仿宋_GB2312"/>
          <w:color w:val="auto"/>
          <w:sz w:val="32"/>
          <w:szCs w:val="32"/>
          <w:highlight w:val="none"/>
        </w:rPr>
        <w:t>高质量举办第六届省运会</w:t>
      </w:r>
      <w:r>
        <w:rPr>
          <w:rFonts w:hint="eastAsia" w:ascii="仿宋_GB2312" w:eastAsia="仿宋_GB2312"/>
          <w:color w:val="auto"/>
          <w:sz w:val="32"/>
          <w:szCs w:val="32"/>
          <w:highlight w:val="none"/>
          <w:lang w:eastAsia="zh-CN"/>
        </w:rPr>
        <w:t>。</w:t>
      </w:r>
      <w:r>
        <w:rPr>
          <w:rFonts w:hint="eastAsia" w:ascii="仿宋_GB2312" w:eastAsia="仿宋_GB2312"/>
          <w:b w:val="0"/>
          <w:bCs w:val="0"/>
          <w:color w:val="auto"/>
          <w:kern w:val="2"/>
          <w:sz w:val="32"/>
          <w:szCs w:val="32"/>
          <w:highlight w:val="none"/>
        </w:rPr>
        <w:t>打造重点品牌赛事</w:t>
      </w:r>
      <w:r>
        <w:rPr>
          <w:rFonts w:hint="eastAsia" w:ascii="仿宋_GB2312" w:eastAsia="仿宋_GB2312"/>
          <w:b w:val="0"/>
          <w:bCs w:val="0"/>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继续</w:t>
      </w:r>
      <w:r>
        <w:rPr>
          <w:rFonts w:hint="eastAsia" w:ascii="仿宋_GB2312" w:hAnsi="仿宋_GB2312" w:eastAsia="仿宋_GB2312" w:cs="仿宋_GB2312"/>
          <w:color w:val="auto"/>
          <w:sz w:val="32"/>
          <w:szCs w:val="32"/>
          <w:highlight w:val="none"/>
        </w:rPr>
        <w:t>举办</w:t>
      </w:r>
      <w:r>
        <w:rPr>
          <w:rFonts w:hint="eastAsia" w:ascii="仿宋_GB2312" w:hAnsi="仿宋_GB2312" w:eastAsia="仿宋_GB2312" w:cs="仿宋_GB2312"/>
          <w:color w:val="auto"/>
          <w:kern w:val="2"/>
          <w:sz w:val="32"/>
          <w:szCs w:val="32"/>
          <w:highlight w:val="none"/>
        </w:rPr>
        <w:t>海南儋州国际象棋特级大师超霸战、海南儋州国际马拉松赛等大型国际赛事。配合做好环海南岛国际公路自行车赛、海南国际新能源汽车拉力赛的后勤服务。引进中国海南国际桥牌节及“国际桥牌庆典”等大型国际活动。打造一批具有儋州特色的国际性品牌赛事。</w:t>
      </w:r>
    </w:p>
    <w:p>
      <w:pPr>
        <w:pageBreakBefore w:val="0"/>
        <w:widowControl w:val="0"/>
        <w:kinsoku/>
        <w:wordWrap/>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二</w:t>
      </w:r>
      <w:r>
        <w:rPr>
          <w:rFonts w:hint="eastAsia" w:ascii="楷体_GB2312" w:hAnsi="楷体_GB2312" w:eastAsia="楷体_GB2312" w:cs="楷体_GB2312"/>
          <w:b/>
          <w:bCs/>
          <w:color w:val="auto"/>
          <w:sz w:val="32"/>
          <w:szCs w:val="32"/>
          <w:highlight w:val="none"/>
        </w:rPr>
        <w:t>）加强对文物及非物质文化遗产的保护和传承</w:t>
      </w:r>
    </w:p>
    <w:p>
      <w:pPr>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b/>
          <w:bCs/>
          <w:color w:val="auto"/>
          <w:sz w:val="32"/>
          <w:szCs w:val="32"/>
          <w:highlight w:val="none"/>
        </w:rPr>
      </w:pPr>
      <w:r>
        <w:rPr>
          <w:rFonts w:hint="eastAsia" w:ascii="仿宋_GB2312" w:eastAsia="仿宋_GB2312"/>
          <w:color w:val="auto"/>
          <w:sz w:val="32"/>
          <w:szCs w:val="32"/>
          <w:highlight w:val="none"/>
        </w:rPr>
        <w:t>加强文物征集工作。围绕儋州文物资源和各类展览需求，广泛征集儋州历史文物、民族民俗文物和革命文物等。加强对文物保护及普查评定工作，</w:t>
      </w:r>
      <w:r>
        <w:rPr>
          <w:rFonts w:eastAsia="仿宋_GB2312"/>
          <w:color w:val="auto"/>
          <w:sz w:val="32"/>
          <w:szCs w:val="32"/>
          <w:highlight w:val="none"/>
        </w:rPr>
        <w:t>开展不可移动文物普查</w:t>
      </w:r>
      <w:r>
        <w:rPr>
          <w:rFonts w:hint="eastAsia" w:eastAsia="仿宋_GB2312"/>
          <w:color w:val="auto"/>
          <w:sz w:val="32"/>
          <w:szCs w:val="32"/>
          <w:highlight w:val="none"/>
          <w:lang w:eastAsia="zh-CN"/>
        </w:rPr>
        <w:t>和</w:t>
      </w:r>
      <w:r>
        <w:rPr>
          <w:rFonts w:eastAsia="仿宋_GB2312"/>
          <w:color w:val="auto"/>
          <w:sz w:val="32"/>
          <w:szCs w:val="32"/>
          <w:highlight w:val="none"/>
        </w:rPr>
        <w:t>市级文物的评定工作</w:t>
      </w:r>
      <w:r>
        <w:rPr>
          <w:rFonts w:hint="eastAsia" w:eastAsia="仿宋_GB2312"/>
          <w:color w:val="auto"/>
          <w:sz w:val="32"/>
          <w:szCs w:val="32"/>
          <w:highlight w:val="none"/>
        </w:rPr>
        <w:t>，争取升级市级文物为省级文物。</w:t>
      </w:r>
      <w:r>
        <w:rPr>
          <w:rFonts w:hint="eastAsia" w:ascii="仿宋_GB2312" w:eastAsia="仿宋_GB2312"/>
          <w:color w:val="auto"/>
          <w:sz w:val="32"/>
          <w:szCs w:val="32"/>
          <w:highlight w:val="none"/>
        </w:rPr>
        <w:t>完成海南省“文物+旅游”三年行动计划相关文物修缮和利用。加强</w:t>
      </w:r>
      <w:r>
        <w:rPr>
          <w:rFonts w:hint="eastAsia" w:ascii="仿宋_GB2312" w:eastAsia="仿宋_GB2312"/>
          <w:color w:val="auto"/>
          <w:sz w:val="32"/>
          <w:szCs w:val="32"/>
          <w:highlight w:val="none"/>
          <w:lang w:eastAsia="zh-CN"/>
        </w:rPr>
        <w:t>民族传统文化和</w:t>
      </w:r>
      <w:r>
        <w:rPr>
          <w:rFonts w:hint="eastAsia" w:ascii="仿宋_GB2312" w:eastAsia="仿宋_GB2312"/>
          <w:color w:val="auto"/>
          <w:sz w:val="32"/>
          <w:szCs w:val="32"/>
          <w:highlight w:val="none"/>
        </w:rPr>
        <w:t>民族非物质文化遗产</w:t>
      </w:r>
      <w:r>
        <w:rPr>
          <w:rFonts w:hint="eastAsia" w:ascii="仿宋_GB2312" w:eastAsia="仿宋_GB2312"/>
          <w:color w:val="auto"/>
          <w:sz w:val="32"/>
          <w:szCs w:val="32"/>
          <w:highlight w:val="none"/>
          <w:lang w:eastAsia="zh-CN"/>
        </w:rPr>
        <w:t>保护、</w:t>
      </w:r>
      <w:r>
        <w:rPr>
          <w:rFonts w:hint="eastAsia" w:ascii="仿宋_GB2312" w:eastAsia="仿宋_GB2312"/>
          <w:color w:val="auto"/>
          <w:sz w:val="32"/>
          <w:szCs w:val="32"/>
          <w:highlight w:val="none"/>
        </w:rPr>
        <w:t>传承</w:t>
      </w:r>
      <w:r>
        <w:rPr>
          <w:rFonts w:hint="eastAsia" w:ascii="仿宋_GB2312" w:eastAsia="仿宋_GB2312"/>
          <w:color w:val="auto"/>
          <w:sz w:val="32"/>
          <w:szCs w:val="32"/>
          <w:highlight w:val="none"/>
          <w:lang w:eastAsia="zh-CN"/>
        </w:rPr>
        <w:t>、发展</w:t>
      </w:r>
      <w:r>
        <w:rPr>
          <w:rFonts w:hint="eastAsia" w:ascii="仿宋_GB2312" w:eastAsia="仿宋_GB2312"/>
          <w:color w:val="auto"/>
          <w:sz w:val="32"/>
          <w:szCs w:val="32"/>
          <w:highlight w:val="none"/>
        </w:rPr>
        <w:t>工作。</w:t>
      </w:r>
      <w:r>
        <w:rPr>
          <w:rFonts w:hint="eastAsia" w:ascii="仿宋_GB2312" w:eastAsia="仿宋_GB2312"/>
          <w:color w:val="auto"/>
          <w:sz w:val="32"/>
          <w:szCs w:val="32"/>
          <w:highlight w:val="none"/>
          <w:lang w:eastAsia="zh-CN"/>
        </w:rPr>
        <w:t>组织开展本土特色文化和儋州方言研究，推动本土特色文化有序传承发展。</w:t>
      </w:r>
      <w:r>
        <w:rPr>
          <w:rFonts w:hint="eastAsia" w:ascii="仿宋" w:hAnsi="仿宋" w:eastAsia="仿宋" w:cs="仿宋"/>
          <w:color w:val="auto"/>
          <w:sz w:val="32"/>
          <w:szCs w:val="32"/>
          <w:highlight w:val="none"/>
        </w:rPr>
        <w:t>继续推动峨蔓盐田申报世界文化遗产中国预备名单工作，争取在2025年正式列入预备名单</w:t>
      </w:r>
      <w:r>
        <w:rPr>
          <w:rFonts w:hint="eastAsia" w:ascii="仿宋_GB2312" w:eastAsia="仿宋_GB2312"/>
          <w:color w:val="auto"/>
          <w:sz w:val="32"/>
          <w:szCs w:val="32"/>
          <w:highlight w:val="none"/>
        </w:rPr>
        <w:t>。</w:t>
      </w:r>
    </w:p>
    <w:p>
      <w:pPr>
        <w:pStyle w:val="4"/>
        <w:pageBreakBefore w:val="0"/>
        <w:widowControl w:val="0"/>
        <w:kinsoku/>
        <w:wordWrap/>
        <w:overflowPunct/>
        <w:topLinePunct w:val="0"/>
        <w:bidi w:val="0"/>
        <w:snapToGrid/>
        <w:spacing w:line="560" w:lineRule="exact"/>
        <w:textAlignment w:val="auto"/>
        <w:rPr>
          <w:rFonts w:hint="eastAsia"/>
          <w:color w:val="auto"/>
          <w:highlight w:val="none"/>
          <w:lang w:val="en-US" w:eastAsia="zh-CN"/>
        </w:rPr>
      </w:pPr>
      <w:bookmarkStart w:id="177" w:name="_Toc2639_WPSOffice_Level2"/>
      <w:bookmarkStart w:id="178" w:name="_Toc19991_WPSOffice_Level2"/>
      <w:bookmarkStart w:id="179" w:name="_Toc11040_WPSOffice_Level2"/>
      <w:r>
        <w:rPr>
          <w:rFonts w:hint="eastAsia"/>
          <w:color w:val="auto"/>
          <w:highlight w:val="none"/>
          <w:lang w:val="en-US" w:eastAsia="zh-CN"/>
        </w:rPr>
        <w:t>第三节 构建现代文化产业体系</w:t>
      </w:r>
      <w:bookmarkEnd w:id="177"/>
      <w:bookmarkEnd w:id="178"/>
      <w:bookmarkEnd w:id="179"/>
    </w:p>
    <w:p>
      <w:pPr>
        <w:pageBreakBefore w:val="0"/>
        <w:widowControl w:val="0"/>
        <w:kinsoku/>
        <w:wordWrap/>
        <w:overflowPunct/>
        <w:topLinePunct w:val="0"/>
        <w:autoSpaceDE w:val="0"/>
        <w:autoSpaceDN w:val="0"/>
        <w:bidi w:val="0"/>
        <w:adjustRightInd w:val="0"/>
        <w:snapToGrid/>
        <w:spacing w:line="560" w:lineRule="exact"/>
        <w:ind w:firstLine="642"/>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坚持把社会效益放在首位、社会效益和经济效益相统一，深化文化体制改革，加强文化市场体系建设，扩大优质文化产品供给。制定实施文化产业发展规划，积极发展新型文化企业，大力培育文化新业态和文化消费新模式。实施“文化+”战略，推动文化和旅游、教育、体育、农业等深度融合。支持海花岛旅游产业园建设，培育发展会议会展、主题乐园、影视文化等文化消费业态。支持办好电影学院，培育发展电影电视产业链。依托海南电影学院影视作品的版权交易、进口电影等，推进国际知识产权（版权）交易，积极参与国家对外文化贸易基地建设。推动媒体深度融合，实施全媒体传播工程，建强用好融媒体中心，积极发展数字文化产业。大力研究和弘扬东坡文化，推动东坡文化文旅化、文创化、文博化，打造东坡文化产业。鼓励文创产品研发，培育一批儋州特色文创品牌。实施民营文化企业扶持计划，推动各类文化市场主体发展壮大，提高市场竞争力。</w:t>
      </w:r>
      <w:bookmarkEnd w:id="165"/>
      <w:bookmarkStart w:id="180" w:name="_Toc24503_WPSOffice_Level1"/>
    </w:p>
    <w:p>
      <w:pPr>
        <w:keepNext w:val="0"/>
        <w:keepLines w:val="0"/>
        <w:pageBreakBefore w:val="0"/>
        <w:widowControl w:val="0"/>
        <w:kinsoku/>
        <w:wordWrap/>
        <w:overflowPunct/>
        <w:topLinePunct w:val="0"/>
        <w:autoSpaceDE w:val="0"/>
        <w:autoSpaceDN w:val="0"/>
        <w:bidi w:val="0"/>
        <w:adjustRightInd w:val="0"/>
        <w:snapToGrid/>
        <w:spacing w:before="340" w:after="340" w:line="560" w:lineRule="exact"/>
        <w:jc w:val="center"/>
        <w:textAlignment w:val="auto"/>
        <w:rPr>
          <w:color w:val="auto"/>
          <w:highlight w:val="none"/>
        </w:rPr>
      </w:pPr>
      <w:bookmarkStart w:id="181" w:name="_Toc25778_WPSOffice_Level1"/>
      <w:r>
        <w:rPr>
          <w:rStyle w:val="41"/>
          <w:rFonts w:hint="eastAsia"/>
          <w:color w:val="auto"/>
          <w:highlight w:val="none"/>
          <w:lang w:eastAsia="zh-CN"/>
        </w:rPr>
        <w:t>第八章</w:t>
      </w:r>
      <w:r>
        <w:rPr>
          <w:rStyle w:val="41"/>
          <w:rFonts w:hint="eastAsia"/>
          <w:color w:val="auto"/>
          <w:highlight w:val="none"/>
          <w:lang w:val="en-US" w:eastAsia="zh-CN"/>
        </w:rPr>
        <w:t xml:space="preserve"> 改善人民生活品质 增进民生福祉</w:t>
      </w:r>
      <w:bookmarkEnd w:id="180"/>
      <w:bookmarkEnd w:id="181"/>
    </w:p>
    <w:p>
      <w:pPr>
        <w:pageBreakBefore w:val="0"/>
        <w:widowControl w:val="0"/>
        <w:kinsoku/>
        <w:wordWrap/>
        <w:overflowPunct/>
        <w:topLinePunct w:val="0"/>
        <w:autoSpaceDE w:val="0"/>
        <w:autoSpaceDN w:val="0"/>
        <w:bidi w:val="0"/>
        <w:adjustRightInd w:val="0"/>
        <w:snapToGrid/>
        <w:spacing w:line="560" w:lineRule="exact"/>
        <w:ind w:firstLine="642"/>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坚持把实现好、维护好、发展好最广大人民根本利益作为发展的出发点和落脚点，尽力而为、量力而行，健全基本公共服务体系，促进人的全面发展和社会全面进步，让自由贸易港建设红利更多更公平惠及儋州百姓，不断增强群众的获得感、幸福感和安全感。坚持就业优先、教育优先，推进健康儋州建设，强化各类社会保障服务，增进民生福祉。</w:t>
      </w:r>
    </w:p>
    <w:p>
      <w:pPr>
        <w:pStyle w:val="4"/>
        <w:pageBreakBefore w:val="0"/>
        <w:widowControl w:val="0"/>
        <w:kinsoku/>
        <w:wordWrap/>
        <w:overflowPunct/>
        <w:topLinePunct w:val="0"/>
        <w:bidi w:val="0"/>
        <w:snapToGrid/>
        <w:spacing w:line="560" w:lineRule="exact"/>
        <w:textAlignment w:val="auto"/>
        <w:rPr>
          <w:color w:val="auto"/>
          <w:highlight w:val="none"/>
        </w:rPr>
      </w:pPr>
      <w:bookmarkStart w:id="182" w:name="_Toc14553_WPSOffice_Level2"/>
      <w:bookmarkStart w:id="183" w:name="_Toc18300_WPSOffice_Level2"/>
      <w:bookmarkStart w:id="184" w:name="_Toc14266_WPSOffice_Level2"/>
      <w:r>
        <w:rPr>
          <w:rFonts w:hint="eastAsia"/>
          <w:color w:val="auto"/>
          <w:highlight w:val="none"/>
        </w:rPr>
        <w:t>第一节</w:t>
      </w:r>
      <w:r>
        <w:rPr>
          <w:color w:val="auto"/>
          <w:highlight w:val="none"/>
        </w:rPr>
        <w:t xml:space="preserve"> </w:t>
      </w:r>
      <w:r>
        <w:rPr>
          <w:rFonts w:hint="eastAsia"/>
          <w:color w:val="auto"/>
          <w:highlight w:val="none"/>
          <w:lang w:eastAsia="zh-CN"/>
        </w:rPr>
        <w:t>提高城乡居民收入水平</w:t>
      </w:r>
      <w:bookmarkEnd w:id="182"/>
      <w:bookmarkEnd w:id="183"/>
      <w:bookmarkEnd w:id="184"/>
    </w:p>
    <w:p>
      <w:pPr>
        <w:pageBreakBefore w:val="0"/>
        <w:widowControl w:val="0"/>
        <w:kinsoku/>
        <w:wordWrap/>
        <w:overflowPunct/>
        <w:topLinePunct w:val="0"/>
        <w:bidi w:val="0"/>
        <w:snapToGrid/>
        <w:spacing w:line="560" w:lineRule="exact"/>
        <w:ind w:firstLine="640" w:firstLineChars="200"/>
        <w:textAlignment w:val="auto"/>
        <w:outlineLvl w:val="2"/>
        <w:rPr>
          <w:rFonts w:hint="eastAsia"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lang w:eastAsia="zh-CN"/>
        </w:rPr>
        <w:t>坚持按劳分配为主体，多种分配方式并存，提高劳动报酬在初次分配中的比重。健全工资正常增长机制，实现城乡居民收入增长与经济增长同步、劳动报酬提高与劳动生产率提高同步。着力提高低收入群体收入，扩大中等收入群体。落实按要素分配政策制度，健全各类生产要素由市场决定报酬的机制，探索通过土地、资本等要素使用权、收益权，增加中低收入群体要素收入。多渠道增加城乡居民财产性收入。加快完善与自由贸易港建设相适应、体现工作绩效和分级分类管理的机关事业单位工资分配政策。抓好“菜篮子”“米袋子”保供稳价工作，加快畜禽和蔬菜生产基地建设，优化流通体系，降低流通成本，稳定物价，使城乡居民生活一年比一年好。</w:t>
      </w:r>
    </w:p>
    <w:p>
      <w:pPr>
        <w:pStyle w:val="4"/>
        <w:pageBreakBefore w:val="0"/>
        <w:widowControl w:val="0"/>
        <w:kinsoku/>
        <w:wordWrap/>
        <w:overflowPunct/>
        <w:topLinePunct w:val="0"/>
        <w:bidi w:val="0"/>
        <w:snapToGrid/>
        <w:spacing w:line="560" w:lineRule="exact"/>
        <w:textAlignment w:val="auto"/>
        <w:rPr>
          <w:rFonts w:hint="eastAsia"/>
          <w:color w:val="auto"/>
          <w:highlight w:val="none"/>
        </w:rPr>
      </w:pPr>
      <w:bookmarkStart w:id="185" w:name="_Toc22785_WPSOffice_Level2"/>
      <w:bookmarkStart w:id="186" w:name="_Toc21699_WPSOffice_Level2"/>
      <w:bookmarkStart w:id="187" w:name="_Toc6577_WPSOffice_Level2"/>
      <w:r>
        <w:rPr>
          <w:rFonts w:hint="eastAsia"/>
          <w:color w:val="auto"/>
          <w:highlight w:val="none"/>
          <w:lang w:eastAsia="zh-CN"/>
        </w:rPr>
        <w:t>第二节 强化就业创业优先保障</w:t>
      </w:r>
      <w:bookmarkEnd w:id="185"/>
      <w:bookmarkEnd w:id="186"/>
      <w:bookmarkEnd w:id="187"/>
    </w:p>
    <w:p>
      <w:pPr>
        <w:pageBreakBefore w:val="0"/>
        <w:widowControl w:val="0"/>
        <w:kinsoku/>
        <w:wordWrap/>
        <w:overflowPunct/>
        <w:topLinePunct w:val="0"/>
        <w:bidi w:val="0"/>
        <w:snapToGrid/>
        <w:spacing w:line="560" w:lineRule="exact"/>
        <w:ind w:firstLine="643" w:firstLineChars="200"/>
        <w:textAlignment w:val="auto"/>
        <w:rPr>
          <w:rFonts w:ascii="仿宋_GB2312" w:eastAsia="仿宋_GB2312"/>
          <w:color w:val="auto"/>
          <w:sz w:val="32"/>
          <w:szCs w:val="32"/>
          <w:highlight w:val="none"/>
        </w:rPr>
      </w:pPr>
      <w:r>
        <w:rPr>
          <w:rFonts w:hint="eastAsia" w:ascii="仿宋_GB2312" w:eastAsia="仿宋_GB2312"/>
          <w:b/>
          <w:bCs/>
          <w:color w:val="auto"/>
          <w:sz w:val="32"/>
          <w:szCs w:val="32"/>
          <w:highlight w:val="none"/>
        </w:rPr>
        <w:t>促进经济发展与扩大就业良性互动。</w:t>
      </w:r>
      <w:r>
        <w:rPr>
          <w:rFonts w:hint="eastAsia" w:ascii="仿宋_GB2312" w:eastAsia="仿宋_GB2312"/>
          <w:b w:val="0"/>
          <w:bCs w:val="0"/>
          <w:color w:val="auto"/>
          <w:sz w:val="32"/>
          <w:szCs w:val="32"/>
          <w:highlight w:val="none"/>
          <w:lang w:eastAsia="zh-CN"/>
        </w:rPr>
        <w:t>坚持经济发展就业导向，扩大就业容量，提升就业质量，促进充分就业，保障劳动者待遇和权益。</w:t>
      </w:r>
      <w:r>
        <w:rPr>
          <w:rFonts w:hint="eastAsia" w:ascii="仿宋_GB2312" w:eastAsia="仿宋_GB2312"/>
          <w:color w:val="auto"/>
          <w:sz w:val="32"/>
          <w:szCs w:val="32"/>
          <w:highlight w:val="none"/>
        </w:rPr>
        <w:t>把促进就业作为评价经济社会发展成果的重要指标。实施更加积极的就业政策，加强对灵活就业、新就业形态的政策支持。“十四五”期间实现城镇新增就业4.5万人以上，农村转移就业5万人，城镇登记失业率控制在3.5%以内。到2025年，第三产业从业人数比重达到60%。</w:t>
      </w:r>
    </w:p>
    <w:p>
      <w:pPr>
        <w:pageBreakBefore w:val="0"/>
        <w:widowControl w:val="0"/>
        <w:kinsoku/>
        <w:wordWrap/>
        <w:overflowPunct/>
        <w:topLinePunct w:val="0"/>
        <w:bidi w:val="0"/>
        <w:snapToGrid/>
        <w:spacing w:line="560" w:lineRule="exact"/>
        <w:ind w:firstLine="643" w:firstLineChars="200"/>
        <w:textAlignment w:val="auto"/>
        <w:rPr>
          <w:rFonts w:ascii="仿宋_GB2312" w:eastAsia="仿宋_GB2312"/>
          <w:color w:val="auto"/>
          <w:sz w:val="32"/>
          <w:szCs w:val="32"/>
          <w:highlight w:val="none"/>
        </w:rPr>
      </w:pPr>
      <w:r>
        <w:rPr>
          <w:rFonts w:hint="eastAsia" w:ascii="仿宋_GB2312" w:eastAsia="仿宋_GB2312"/>
          <w:b/>
          <w:bCs/>
          <w:color w:val="auto"/>
          <w:sz w:val="32"/>
          <w:szCs w:val="32"/>
          <w:highlight w:val="none"/>
        </w:rPr>
        <w:t>统筹做好重点群体就业。</w:t>
      </w:r>
      <w:r>
        <w:rPr>
          <w:rFonts w:hint="eastAsia" w:ascii="仿宋_GB2312" w:eastAsia="仿宋_GB2312"/>
          <w:color w:val="auto"/>
          <w:sz w:val="32"/>
          <w:szCs w:val="32"/>
          <w:highlight w:val="none"/>
        </w:rPr>
        <w:t>把高校毕业生就业放在首位，健全高校毕业生到基层工作的服务保障机制，支持大学生到城乡基层和中小企业就业，统筹推进高校毕业生“三支一扶”计划。统筹城乡就业，推进农村富余劳动力转移就业，提高城乡居民收入水平。</w:t>
      </w:r>
      <w:r>
        <w:rPr>
          <w:rFonts w:hint="eastAsia" w:ascii="仿宋_GB2312" w:eastAsia="仿宋_GB2312"/>
          <w:color w:val="auto"/>
          <w:sz w:val="32"/>
          <w:szCs w:val="32"/>
          <w:highlight w:val="none"/>
          <w:lang w:eastAsia="zh-CN"/>
        </w:rPr>
        <w:t>落实</w:t>
      </w:r>
      <w:r>
        <w:rPr>
          <w:rFonts w:hint="eastAsia" w:ascii="仿宋_GB2312" w:eastAsia="仿宋_GB2312"/>
          <w:color w:val="auto"/>
          <w:sz w:val="32"/>
          <w:szCs w:val="32"/>
          <w:highlight w:val="none"/>
        </w:rPr>
        <w:t>就业援助政策，规范公益性岗位开发和管理，吸纳更多</w:t>
      </w:r>
      <w:r>
        <w:rPr>
          <w:rFonts w:hint="eastAsia" w:ascii="仿宋_GB2312" w:eastAsia="仿宋_GB2312"/>
          <w:color w:val="auto"/>
          <w:sz w:val="32"/>
          <w:szCs w:val="32"/>
          <w:highlight w:val="none"/>
          <w:lang w:eastAsia="zh-CN"/>
        </w:rPr>
        <w:t>就业困难人员</w:t>
      </w:r>
      <w:r>
        <w:rPr>
          <w:rFonts w:hint="eastAsia" w:ascii="仿宋_GB2312" w:eastAsia="仿宋_GB2312"/>
          <w:color w:val="auto"/>
          <w:sz w:val="32"/>
          <w:szCs w:val="32"/>
          <w:highlight w:val="none"/>
        </w:rPr>
        <w:t>就业，对就业困难人员实行实名动态管理和分类帮扶，</w:t>
      </w:r>
      <w:r>
        <w:rPr>
          <w:rFonts w:hint="eastAsia" w:ascii="仿宋_GB2312" w:eastAsia="仿宋_GB2312"/>
          <w:color w:val="auto"/>
          <w:sz w:val="32"/>
          <w:szCs w:val="32"/>
          <w:highlight w:val="none"/>
          <w:lang w:eastAsia="zh-CN"/>
        </w:rPr>
        <w:t>确保零就业家庭成员动态清零</w:t>
      </w:r>
      <w:r>
        <w:rPr>
          <w:rFonts w:hint="eastAsia" w:ascii="仿宋_GB2312" w:eastAsia="仿宋_GB2312"/>
          <w:color w:val="auto"/>
          <w:sz w:val="32"/>
          <w:szCs w:val="32"/>
          <w:highlight w:val="none"/>
        </w:rPr>
        <w:t>。提高贫困人口转移就业技能，采取“创业主体+基地+贫困户”和“企业、专业合作社或家庭农场+贫困户”等模式帮扶贫困群众就近就地就业，带领贫困群众脱贫致富。</w:t>
      </w:r>
      <w:r>
        <w:rPr>
          <w:rFonts w:hint="eastAsia" w:ascii="仿宋_GB2312" w:eastAsia="仿宋_GB2312"/>
          <w:color w:val="auto"/>
          <w:sz w:val="32"/>
          <w:szCs w:val="32"/>
          <w:highlight w:val="none"/>
          <w:lang w:eastAsia="zh-CN"/>
        </w:rPr>
        <w:t>落实创业贷款政策，大力支持返乡人员、退役军人就业创业。</w:t>
      </w:r>
    </w:p>
    <w:p>
      <w:pPr>
        <w:pageBreakBefore w:val="0"/>
        <w:widowControl w:val="0"/>
        <w:kinsoku/>
        <w:wordWrap/>
        <w:overflowPunct/>
        <w:topLinePunct w:val="0"/>
        <w:bidi w:val="0"/>
        <w:snapToGrid/>
        <w:spacing w:line="560" w:lineRule="exact"/>
        <w:ind w:firstLine="643" w:firstLineChars="200"/>
        <w:textAlignment w:val="auto"/>
        <w:rPr>
          <w:rFonts w:ascii="仿宋_GB2312" w:eastAsia="仿宋_GB2312"/>
          <w:color w:val="auto"/>
          <w:sz w:val="32"/>
          <w:szCs w:val="32"/>
          <w:highlight w:val="none"/>
        </w:rPr>
      </w:pPr>
      <w:r>
        <w:rPr>
          <w:rFonts w:hint="eastAsia" w:ascii="仿宋_GB2312" w:eastAsia="仿宋_GB2312"/>
          <w:b/>
          <w:bCs/>
          <w:color w:val="auto"/>
          <w:sz w:val="32"/>
          <w:szCs w:val="32"/>
          <w:highlight w:val="none"/>
        </w:rPr>
        <w:t>完善人力资源市场机制。</w:t>
      </w:r>
      <w:r>
        <w:rPr>
          <w:rFonts w:hint="eastAsia" w:ascii="仿宋_GB2312" w:eastAsia="仿宋_GB2312"/>
          <w:color w:val="auto"/>
          <w:sz w:val="32"/>
          <w:szCs w:val="32"/>
          <w:highlight w:val="none"/>
        </w:rPr>
        <w:t>大力发展人力资源服务业。统筹</w:t>
      </w:r>
      <w:r>
        <w:rPr>
          <w:rFonts w:hint="eastAsia" w:ascii="仿宋_GB2312" w:eastAsia="仿宋_GB2312"/>
          <w:color w:val="auto"/>
          <w:sz w:val="32"/>
          <w:szCs w:val="32"/>
          <w:highlight w:val="none"/>
          <w:lang w:eastAsia="zh-CN"/>
        </w:rPr>
        <w:t>推进海南西部</w:t>
      </w:r>
      <w:r>
        <w:rPr>
          <w:rFonts w:hint="eastAsia" w:ascii="仿宋_GB2312" w:eastAsia="仿宋_GB2312"/>
          <w:color w:val="auto"/>
          <w:sz w:val="32"/>
          <w:szCs w:val="32"/>
          <w:highlight w:val="none"/>
        </w:rPr>
        <w:t>人力资源市场</w:t>
      </w:r>
      <w:r>
        <w:rPr>
          <w:rFonts w:hint="eastAsia" w:ascii="仿宋_GB2312" w:eastAsia="仿宋_GB2312"/>
          <w:color w:val="auto"/>
          <w:sz w:val="32"/>
          <w:szCs w:val="32"/>
          <w:highlight w:val="none"/>
          <w:lang w:eastAsia="zh-CN"/>
        </w:rPr>
        <w:t>建设</w:t>
      </w:r>
      <w:r>
        <w:rPr>
          <w:rFonts w:hint="eastAsia" w:ascii="仿宋_GB2312" w:eastAsia="仿宋_GB2312"/>
          <w:color w:val="auto"/>
          <w:sz w:val="32"/>
          <w:szCs w:val="32"/>
          <w:highlight w:val="none"/>
        </w:rPr>
        <w:t>，打破城乡、地区、行业分割和身份、性别歧视，维护劳动者平等就业权利，促进劳动力在地区、行业、企业之间自由流动。推进人力资源市场诚信体系和标准体系建设。规范招人用人制度，尊重劳动者和用人单位市场主体地位，消除影响平等就业的制度障碍和就业歧视。</w:t>
      </w:r>
    </w:p>
    <w:p>
      <w:pPr>
        <w:pStyle w:val="2"/>
        <w:pageBreakBefore w:val="0"/>
        <w:widowControl w:val="0"/>
        <w:kinsoku/>
        <w:wordWrap/>
        <w:overflowPunct/>
        <w:topLinePunct w:val="0"/>
        <w:bidi w:val="0"/>
        <w:snapToGrid/>
        <w:spacing w:line="560" w:lineRule="exact"/>
        <w:ind w:firstLine="643" w:firstLineChars="200"/>
        <w:textAlignment w:val="auto"/>
        <w:rPr>
          <w:rFonts w:hint="eastAsia"/>
          <w:color w:val="auto"/>
          <w:highlight w:val="none"/>
          <w:lang w:eastAsia="zh-CN"/>
        </w:rPr>
      </w:pPr>
      <w:r>
        <w:rPr>
          <w:rFonts w:hint="eastAsia" w:ascii="仿宋_GB2312" w:eastAsia="仿宋_GB2312"/>
          <w:b/>
          <w:bCs/>
          <w:color w:val="auto"/>
          <w:sz w:val="32"/>
          <w:szCs w:val="32"/>
          <w:highlight w:val="none"/>
          <w:lang w:eastAsia="zh-CN"/>
        </w:rPr>
        <w:t>完善现代职业教育体系</w:t>
      </w:r>
      <w:r>
        <w:rPr>
          <w:rFonts w:hint="eastAsia" w:ascii="仿宋_GB2312" w:eastAsia="仿宋_GB2312"/>
          <w:b/>
          <w:bCs/>
          <w:color w:val="auto"/>
          <w:sz w:val="32"/>
          <w:szCs w:val="32"/>
          <w:highlight w:val="none"/>
        </w:rPr>
        <w:t>。</w:t>
      </w:r>
      <w:r>
        <w:rPr>
          <w:rFonts w:hint="eastAsia" w:ascii="仿宋_GB2312" w:eastAsia="仿宋_GB2312"/>
          <w:b w:val="0"/>
          <w:bCs w:val="0"/>
          <w:color w:val="auto"/>
          <w:sz w:val="32"/>
          <w:szCs w:val="32"/>
          <w:highlight w:val="none"/>
          <w:lang w:eastAsia="zh-CN"/>
        </w:rPr>
        <w:t>打造儋州职业技能培训品牌，</w:t>
      </w:r>
      <w:r>
        <w:rPr>
          <w:rFonts w:hint="eastAsia" w:ascii="仿宋_GB2312" w:hAnsi="仿宋" w:eastAsia="仿宋_GB2312"/>
          <w:color w:val="auto"/>
          <w:sz w:val="32"/>
          <w:szCs w:val="32"/>
          <w:highlight w:val="none"/>
        </w:rPr>
        <w:t>加快构建终身职业技能培训制度</w:t>
      </w:r>
      <w:r>
        <w:rPr>
          <w:rFonts w:hint="eastAsia" w:ascii="仿宋_GB2312" w:hAnsi="仿宋" w:eastAsia="仿宋_GB2312"/>
          <w:color w:val="auto"/>
          <w:sz w:val="32"/>
          <w:szCs w:val="32"/>
          <w:highlight w:val="none"/>
          <w:lang w:eastAsia="zh-CN"/>
        </w:rPr>
        <w:t>，</w:t>
      </w:r>
      <w:r>
        <w:rPr>
          <w:rFonts w:hint="eastAsia" w:ascii="仿宋_GB2312" w:eastAsia="仿宋_GB2312"/>
          <w:b w:val="0"/>
          <w:bCs w:val="0"/>
          <w:color w:val="auto"/>
          <w:sz w:val="32"/>
          <w:szCs w:val="32"/>
          <w:highlight w:val="none"/>
          <w:lang w:eastAsia="zh-CN"/>
        </w:rPr>
        <w:t>重点推进家政、养老护理、旅游、建筑等领域务工人员专项技能提升，继续擦亮“儋州月嫂”“儋州家政”劳务品牌</w:t>
      </w:r>
      <w:r>
        <w:rPr>
          <w:rFonts w:hint="eastAsia" w:ascii="仿宋_GB2312" w:hAnsi="仿宋" w:eastAsia="仿宋_GB2312"/>
          <w:color w:val="auto"/>
          <w:sz w:val="32"/>
          <w:szCs w:val="32"/>
          <w:highlight w:val="none"/>
        </w:rPr>
        <w:t>。加大培训资金投入，提高就业补助资金中用于职业培训的比例，提高培训质量，每年培训技能人才</w:t>
      </w:r>
      <w:r>
        <w:rPr>
          <w:rFonts w:ascii="仿宋_GB2312" w:hAnsi="仿宋" w:eastAsia="仿宋_GB2312"/>
          <w:color w:val="auto"/>
          <w:sz w:val="32"/>
          <w:szCs w:val="32"/>
          <w:highlight w:val="none"/>
        </w:rPr>
        <w:t>5000</w:t>
      </w:r>
      <w:r>
        <w:rPr>
          <w:rFonts w:hint="eastAsia" w:ascii="仿宋_GB2312" w:hAnsi="仿宋" w:eastAsia="仿宋_GB2312"/>
          <w:color w:val="auto"/>
          <w:sz w:val="32"/>
          <w:szCs w:val="32"/>
          <w:highlight w:val="none"/>
        </w:rPr>
        <w:t>人。开展劳动者素质提升行动和特殊就业人群职业培训计划，</w:t>
      </w:r>
      <w:r>
        <w:rPr>
          <w:rFonts w:hint="eastAsia" w:ascii="仿宋_GB2312" w:eastAsia="仿宋_GB2312"/>
          <w:color w:val="auto"/>
          <w:sz w:val="32"/>
          <w:szCs w:val="32"/>
          <w:highlight w:val="none"/>
        </w:rPr>
        <w:t>重点开展以儋州市主导产业为主要内容的职业技能培训，依托省内外职业技术学校和社会培训机构，</w:t>
      </w:r>
      <w:r>
        <w:rPr>
          <w:rFonts w:hint="eastAsia" w:ascii="仿宋_GB2312" w:hAnsi="仿宋_GB2312" w:eastAsia="仿宋_GB2312" w:cs="仿宋_GB2312"/>
          <w:color w:val="auto"/>
          <w:sz w:val="32"/>
          <w:szCs w:val="32"/>
          <w:highlight w:val="none"/>
        </w:rPr>
        <w:t>采取政府支持、“校企”合作等方式</w:t>
      </w:r>
      <w:r>
        <w:rPr>
          <w:rFonts w:hint="eastAsia" w:ascii="仿宋_GB2312" w:eastAsia="仿宋_GB2312"/>
          <w:color w:val="auto"/>
          <w:sz w:val="32"/>
          <w:szCs w:val="32"/>
          <w:highlight w:val="none"/>
        </w:rPr>
        <w:t>建设实用技能人才培训基地，实施“厨艺服务”“维修服务”等服务型实用人才培育行动。启动学徒制人才培训计划，每年新增高技能人才</w:t>
      </w:r>
      <w:r>
        <w:rPr>
          <w:rFonts w:ascii="仿宋_GB2312" w:eastAsia="仿宋_GB2312"/>
          <w:color w:val="auto"/>
          <w:sz w:val="32"/>
          <w:szCs w:val="32"/>
          <w:highlight w:val="none"/>
        </w:rPr>
        <w:t>1</w:t>
      </w:r>
      <w:r>
        <w:rPr>
          <w:rFonts w:hint="eastAsia" w:ascii="仿宋_GB2312" w:eastAsia="仿宋_GB2312"/>
          <w:color w:val="auto"/>
          <w:sz w:val="32"/>
          <w:szCs w:val="32"/>
          <w:highlight w:val="none"/>
        </w:rPr>
        <w:t>00人。促进以创业带动就业，实施创业担保政策，拓宽劳动力就业渠道，提升居民经营性收入。加强</w:t>
      </w:r>
      <w:r>
        <w:rPr>
          <w:rFonts w:hint="eastAsia" w:ascii="仿宋_GB2312" w:hAnsi="仿宋" w:eastAsia="仿宋_GB2312"/>
          <w:color w:val="auto"/>
          <w:sz w:val="32"/>
          <w:szCs w:val="32"/>
          <w:highlight w:val="none"/>
        </w:rPr>
        <w:t>农民工工资支付保障力度。</w:t>
      </w:r>
    </w:p>
    <w:p>
      <w:pPr>
        <w:pStyle w:val="4"/>
        <w:pageBreakBefore w:val="0"/>
        <w:widowControl w:val="0"/>
        <w:kinsoku/>
        <w:wordWrap/>
        <w:overflowPunct/>
        <w:topLinePunct w:val="0"/>
        <w:bidi w:val="0"/>
        <w:snapToGrid/>
        <w:spacing w:line="560" w:lineRule="exact"/>
        <w:textAlignment w:val="auto"/>
        <w:rPr>
          <w:rFonts w:eastAsia="楷体_GB2312"/>
          <w:bCs/>
          <w:color w:val="auto"/>
          <w:szCs w:val="32"/>
          <w:highlight w:val="none"/>
        </w:rPr>
      </w:pPr>
      <w:bookmarkStart w:id="188" w:name="_Toc29819_WPSOffice_Level2"/>
      <w:bookmarkStart w:id="189" w:name="_Toc2545_WPSOffice_Level2"/>
      <w:bookmarkStart w:id="190" w:name="_Toc10409_WPSOffice_Level2"/>
      <w:bookmarkStart w:id="191" w:name="_Toc57914213"/>
      <w:bookmarkStart w:id="192" w:name="_Hlk57039611"/>
      <w:r>
        <w:rPr>
          <w:rFonts w:hint="eastAsia"/>
          <w:color w:val="auto"/>
          <w:highlight w:val="none"/>
        </w:rPr>
        <w:t>第</w:t>
      </w:r>
      <w:r>
        <w:rPr>
          <w:rFonts w:hint="eastAsia"/>
          <w:color w:val="auto"/>
          <w:highlight w:val="none"/>
          <w:lang w:eastAsia="zh-CN"/>
        </w:rPr>
        <w:t>三</w:t>
      </w:r>
      <w:r>
        <w:rPr>
          <w:rFonts w:hint="eastAsia"/>
          <w:color w:val="auto"/>
          <w:highlight w:val="none"/>
        </w:rPr>
        <w:t>节</w:t>
      </w:r>
      <w:r>
        <w:rPr>
          <w:color w:val="auto"/>
          <w:highlight w:val="none"/>
        </w:rPr>
        <w:t xml:space="preserve"> </w:t>
      </w:r>
      <w:r>
        <w:rPr>
          <w:rFonts w:hint="eastAsia"/>
          <w:color w:val="auto"/>
          <w:highlight w:val="none"/>
        </w:rPr>
        <w:t>完善教育公共服务网络</w:t>
      </w:r>
      <w:bookmarkEnd w:id="188"/>
      <w:bookmarkEnd w:id="189"/>
      <w:bookmarkEnd w:id="190"/>
      <w:bookmarkEnd w:id="191"/>
    </w:p>
    <w:bookmarkEnd w:id="192"/>
    <w:p>
      <w:pPr>
        <w:pageBreakBefore w:val="0"/>
        <w:widowControl w:val="0"/>
        <w:kinsoku/>
        <w:wordWrap/>
        <w:overflowPunct/>
        <w:topLinePunct w:val="0"/>
        <w:bidi w:val="0"/>
        <w:snapToGrid/>
        <w:spacing w:line="560" w:lineRule="exact"/>
        <w:ind w:firstLine="643" w:firstLineChars="200"/>
        <w:textAlignment w:val="auto"/>
        <w:outlineLvl w:val="2"/>
        <w:rPr>
          <w:rFonts w:hint="eastAsia" w:ascii="仿宋_GB2312" w:hAnsi="仿宋_GB2312" w:eastAsia="仿宋_GB2312" w:cs="仿宋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rPr>
        <w:t>（一）</w:t>
      </w:r>
      <w:r>
        <w:rPr>
          <w:rFonts w:hint="eastAsia" w:ascii="楷体_GB2312" w:hAnsi="楷体_GB2312" w:eastAsia="楷体_GB2312" w:cs="楷体_GB2312"/>
          <w:b/>
          <w:bCs/>
          <w:color w:val="auto"/>
          <w:sz w:val="32"/>
          <w:szCs w:val="32"/>
          <w:highlight w:val="none"/>
          <w:lang w:eastAsia="zh-CN"/>
        </w:rPr>
        <w:t>加强</w:t>
      </w:r>
      <w:r>
        <w:rPr>
          <w:rFonts w:hint="eastAsia" w:ascii="楷体_GB2312" w:hAnsi="楷体_GB2312" w:eastAsia="楷体_GB2312" w:cs="楷体_GB2312"/>
          <w:b/>
          <w:bCs/>
          <w:color w:val="auto"/>
          <w:sz w:val="32"/>
          <w:szCs w:val="32"/>
          <w:highlight w:val="none"/>
        </w:rPr>
        <w:t>婴幼儿照护服务</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加快学前教育发展</w:t>
      </w:r>
    </w:p>
    <w:p>
      <w:pPr>
        <w:pageBreakBefore w:val="0"/>
        <w:widowControl w:val="0"/>
        <w:kinsoku/>
        <w:wordWrap/>
        <w:overflowPunct/>
        <w:topLinePunct w:val="0"/>
        <w:bidi w:val="0"/>
        <w:snapToGrid/>
        <w:spacing w:line="560" w:lineRule="exact"/>
        <w:ind w:firstLine="643"/>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完善促进婴幼儿照护服务体系。</w:t>
      </w:r>
      <w:r>
        <w:rPr>
          <w:rFonts w:hint="eastAsia" w:ascii="仿宋_GB2312" w:hAnsi="仿宋_GB2312" w:eastAsia="仿宋_GB2312" w:cs="仿宋_GB2312"/>
          <w:color w:val="auto"/>
          <w:sz w:val="32"/>
          <w:szCs w:val="32"/>
          <w:highlight w:val="none"/>
        </w:rPr>
        <w:t>建立完善促进婴幼儿照护服务发展的政策法规体系、标准规范体系和服务供给体系，多种形式开展婴幼儿照护服务。加大对社区婴幼儿照护服务的支持力度，</w:t>
      </w:r>
      <w:r>
        <w:rPr>
          <w:rFonts w:hint="eastAsia" w:ascii="仿宋_GB2312" w:hAnsi="仿宋_GB2312" w:eastAsia="仿宋_GB2312" w:cs="仿宋_GB2312"/>
          <w:color w:val="auto"/>
          <w:sz w:val="32"/>
          <w:szCs w:val="32"/>
          <w:highlight w:val="none"/>
          <w:lang w:eastAsia="zh-CN"/>
        </w:rPr>
        <w:t>支持</w:t>
      </w:r>
      <w:r>
        <w:rPr>
          <w:rFonts w:hint="eastAsia" w:ascii="仿宋_GB2312" w:hAnsi="仿宋_GB2312" w:eastAsia="仿宋_GB2312" w:cs="仿宋_GB2312"/>
          <w:color w:val="auto"/>
          <w:sz w:val="32"/>
          <w:szCs w:val="32"/>
          <w:highlight w:val="none"/>
        </w:rPr>
        <w:t>婴幼儿照护服务机构发展，逐步满足儋州人民群众对婴幼儿照护服务的需求。新建或改扩建婴幼儿照护服务机构，到2025年全市公立型和普惠性婴幼儿在托覆盖率不低于30%，其中公立型机构在托婴幼儿原则上占比不低于10%。</w:t>
      </w:r>
    </w:p>
    <w:p>
      <w:pPr>
        <w:pageBreakBefore w:val="0"/>
        <w:widowControl w:val="0"/>
        <w:kinsoku/>
        <w:wordWrap/>
        <w:overflowPunct/>
        <w:topLinePunct w:val="0"/>
        <w:bidi w:val="0"/>
        <w:snapToGrid/>
        <w:spacing w:line="560" w:lineRule="exact"/>
        <w:ind w:firstLine="641"/>
        <w:textAlignment w:val="auto"/>
        <w:rPr>
          <w:rFonts w:ascii="仿宋_GB2312" w:eastAsia="仿宋_GB2312"/>
          <w:color w:val="auto"/>
          <w:sz w:val="32"/>
          <w:szCs w:val="32"/>
          <w:highlight w:val="none"/>
        </w:rPr>
      </w:pPr>
      <w:r>
        <w:rPr>
          <w:rFonts w:hint="eastAsia" w:ascii="仿宋_GB2312" w:hAnsi="仿宋_GB2312" w:eastAsia="仿宋_GB2312" w:cs="仿宋_GB2312"/>
          <w:b/>
          <w:bCs/>
          <w:color w:val="auto"/>
          <w:sz w:val="32"/>
          <w:szCs w:val="32"/>
          <w:highlight w:val="none"/>
        </w:rPr>
        <w:t>提升学前教育普及和普惠水平。</w:t>
      </w:r>
      <w:r>
        <w:rPr>
          <w:rFonts w:hint="eastAsia" w:ascii="仿宋_GB2312" w:hAnsi="仿宋_GB2312" w:eastAsia="仿宋_GB2312" w:cs="仿宋_GB2312"/>
          <w:color w:val="auto"/>
          <w:sz w:val="32"/>
          <w:szCs w:val="32"/>
          <w:highlight w:val="none"/>
        </w:rPr>
        <w:t>统筹全市学前教育资源，建立覆盖城乡、布局合理的学前教育公共服务网络。</w:t>
      </w:r>
      <w:r>
        <w:rPr>
          <w:rFonts w:hint="eastAsia" w:ascii="仿宋_GB2312" w:eastAsia="仿宋_GB2312"/>
          <w:color w:val="auto"/>
          <w:sz w:val="32"/>
          <w:szCs w:val="32"/>
          <w:highlight w:val="none"/>
        </w:rPr>
        <w:t>新增公办幼儿园、普惠性幼儿园，改扩建农村中心幼儿园。逐步安排在人口快速集聚的城镇地区、学前教育资源稀缺的农村地区建设一批公办园，充分利用农村中小学闲置校舍等资源改扩建一批公办园，确保到2025年公办园在园幼儿原则上达到5</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%。支持社会力量参与举办非营利性民办幼儿园，完善普惠性民办幼儿园认定标准，积极扶持民办园提供普惠性服务，</w:t>
      </w:r>
      <w:r>
        <w:rPr>
          <w:rFonts w:hint="eastAsia" w:ascii="仿宋_GB2312" w:hAnsi="仿宋_GB2312" w:eastAsia="仿宋_GB2312" w:cs="仿宋_GB2312"/>
          <w:color w:val="auto"/>
          <w:sz w:val="32"/>
          <w:szCs w:val="32"/>
          <w:highlight w:val="none"/>
          <w:lang w:val="en-US" w:eastAsia="zh-CN"/>
        </w:rPr>
        <w:t>确保学前三年毛入园率达到90%、普惠性幼儿园覆盖率达到 85%。</w:t>
      </w:r>
    </w:p>
    <w:p>
      <w:pPr>
        <w:pageBreakBefore w:val="0"/>
        <w:widowControl w:val="0"/>
        <w:kinsoku/>
        <w:wordWrap/>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二</w:t>
      </w:r>
      <w:r>
        <w:rPr>
          <w:rFonts w:hint="eastAsia" w:ascii="楷体_GB2312" w:hAnsi="楷体_GB2312" w:eastAsia="楷体_GB2312" w:cs="楷体_GB2312"/>
          <w:b/>
          <w:bCs/>
          <w:color w:val="auto"/>
          <w:sz w:val="32"/>
          <w:szCs w:val="32"/>
          <w:highlight w:val="none"/>
        </w:rPr>
        <w:t>）推进义务教育优质均衡发展</w:t>
      </w:r>
      <w:r>
        <w:rPr>
          <w:rFonts w:hint="eastAsia" w:ascii="楷体_GB2312" w:hAnsi="楷体_GB2312" w:eastAsia="楷体_GB2312" w:cs="楷体_GB2312"/>
          <w:b/>
          <w:bCs/>
          <w:color w:val="auto"/>
          <w:sz w:val="32"/>
          <w:szCs w:val="32"/>
          <w:highlight w:val="none"/>
          <w:lang w:eastAsia="zh-CN"/>
        </w:rPr>
        <w:t>，实施质量强校工程</w:t>
      </w:r>
    </w:p>
    <w:p>
      <w:pPr>
        <w:pageBreakBefore w:val="0"/>
        <w:widowControl w:val="0"/>
        <w:kinsoku/>
        <w:wordWrap/>
        <w:overflowPunct/>
        <w:topLinePunct w:val="0"/>
        <w:bidi w:val="0"/>
        <w:snapToGrid/>
        <w:spacing w:line="560" w:lineRule="exact"/>
        <w:ind w:firstLine="641"/>
        <w:textAlignment w:val="auto"/>
        <w:rPr>
          <w:rFonts w:ascii="仿宋_GB2312" w:eastAsia="仿宋_GB2312"/>
          <w:color w:val="auto"/>
          <w:sz w:val="32"/>
          <w:szCs w:val="32"/>
          <w:highlight w:val="none"/>
        </w:rPr>
      </w:pPr>
      <w:r>
        <w:rPr>
          <w:rFonts w:hint="eastAsia" w:ascii="仿宋_GB2312" w:eastAsia="仿宋_GB2312"/>
          <w:b/>
          <w:bCs/>
          <w:color w:val="auto"/>
          <w:sz w:val="32"/>
          <w:szCs w:val="32"/>
          <w:highlight w:val="none"/>
        </w:rPr>
        <w:t>巩固义务教育普及成果。</w:t>
      </w:r>
      <w:r>
        <w:rPr>
          <w:rFonts w:hint="eastAsia" w:ascii="仿宋_GB2312" w:eastAsia="仿宋_GB2312"/>
          <w:color w:val="auto"/>
          <w:sz w:val="32"/>
          <w:szCs w:val="32"/>
          <w:highlight w:val="none"/>
        </w:rPr>
        <w:t>完善中小学生学籍管理制度和信息系统，建立健全辍学学生台账。建立健全学习困难学生、家庭经济困难学生、残疾儿童、留守儿童和随迁子女关爱和精准帮扶机制，确保2025年九年义务教育巩固率达到95.5%，残疾学生入学率达到95%以上。</w:t>
      </w:r>
    </w:p>
    <w:p>
      <w:pPr>
        <w:pageBreakBefore w:val="0"/>
        <w:widowControl w:val="0"/>
        <w:kinsoku/>
        <w:wordWrap/>
        <w:overflowPunct/>
        <w:topLinePunct w:val="0"/>
        <w:bidi w:val="0"/>
        <w:snapToGrid/>
        <w:spacing w:line="560" w:lineRule="exact"/>
        <w:ind w:firstLine="643"/>
        <w:textAlignment w:val="auto"/>
        <w:rPr>
          <w:rFonts w:hint="eastAsia" w:ascii="仿宋_GB2312" w:eastAsia="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统筹城乡义务教育学校布局。</w:t>
      </w:r>
      <w:r>
        <w:rPr>
          <w:rFonts w:hint="eastAsia" w:ascii="仿宋_GB2312" w:hAnsi="仿宋_GB2312" w:eastAsia="仿宋_GB2312" w:cs="仿宋_GB2312"/>
          <w:color w:val="auto"/>
          <w:sz w:val="32"/>
          <w:szCs w:val="32"/>
          <w:highlight w:val="none"/>
        </w:rPr>
        <w:t>加快那大镇、滨海新区、海花岛旅游产业园等新增人口集中地区的义务教育学校建设，严格城镇新建小区配套建设学校制度，有序扩大城镇学位供给。推进农村义务教育学校布局优化和资源整合</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sz w:val="32"/>
          <w:szCs w:val="32"/>
          <w:highlight w:val="none"/>
        </w:rPr>
        <w:t>开展美丽农村学校建设项目。</w:t>
      </w:r>
      <w:r>
        <w:rPr>
          <w:rFonts w:hint="eastAsia" w:ascii="仿宋_GB2312" w:hAnsi="仿宋_GB2312" w:eastAsia="仿宋_GB2312" w:cs="仿宋_GB2312"/>
          <w:color w:val="auto"/>
          <w:sz w:val="32"/>
          <w:szCs w:val="32"/>
          <w:highlight w:val="none"/>
        </w:rPr>
        <w:t>解决“城挤乡弱”“大班额”的问题，</w:t>
      </w:r>
      <w:r>
        <w:rPr>
          <w:rFonts w:hint="eastAsia" w:ascii="仿宋_GB2312" w:eastAsia="仿宋_GB2312"/>
          <w:color w:val="auto"/>
          <w:sz w:val="32"/>
          <w:szCs w:val="32"/>
          <w:highlight w:val="none"/>
        </w:rPr>
        <w:t>到</w:t>
      </w:r>
      <w:r>
        <w:rPr>
          <w:rFonts w:ascii="仿宋_GB2312" w:eastAsia="仿宋_GB2312"/>
          <w:color w:val="auto"/>
          <w:sz w:val="32"/>
          <w:szCs w:val="32"/>
          <w:highlight w:val="none"/>
        </w:rPr>
        <w:t>2025</w:t>
      </w:r>
      <w:r>
        <w:rPr>
          <w:rFonts w:eastAsia="仿宋_GB2312"/>
          <w:color w:val="auto"/>
          <w:sz w:val="32"/>
          <w:szCs w:val="32"/>
          <w:highlight w:val="none"/>
        </w:rPr>
        <w:t>年，</w:t>
      </w:r>
      <w:r>
        <w:rPr>
          <w:rFonts w:hint="eastAsia" w:ascii="仿宋_GB2312" w:eastAsia="仿宋_GB2312"/>
          <w:color w:val="auto"/>
          <w:sz w:val="32"/>
          <w:szCs w:val="32"/>
          <w:highlight w:val="none"/>
        </w:rPr>
        <w:t>小学、初中班额分别控制在45人、50人以下。</w:t>
      </w:r>
      <w:r>
        <w:rPr>
          <w:rFonts w:hint="eastAsia" w:ascii="仿宋_GB2312" w:eastAsia="仿宋_GB2312"/>
          <w:color w:val="auto"/>
          <w:sz w:val="32"/>
          <w:szCs w:val="32"/>
          <w:highlight w:val="none"/>
          <w:lang w:eastAsia="zh-CN"/>
        </w:rPr>
        <w:t>配套完善学生住宿条件，逐步提高住校学生比例。</w:t>
      </w:r>
    </w:p>
    <w:p>
      <w:pPr>
        <w:pageBreakBefore w:val="0"/>
        <w:widowControl w:val="0"/>
        <w:kinsoku/>
        <w:wordWrap/>
        <w:overflowPunct/>
        <w:topLinePunct w:val="0"/>
        <w:bidi w:val="0"/>
        <w:snapToGrid/>
        <w:spacing w:line="560" w:lineRule="exact"/>
        <w:ind w:firstLine="643"/>
        <w:textAlignment w:val="auto"/>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推进义务教育标准化和优质均衡发展。</w:t>
      </w:r>
      <w:r>
        <w:rPr>
          <w:rFonts w:hint="eastAsia" w:ascii="仿宋_GB2312" w:eastAsia="仿宋_GB2312"/>
          <w:color w:val="auto"/>
          <w:sz w:val="32"/>
          <w:szCs w:val="32"/>
          <w:highlight w:val="none"/>
        </w:rPr>
        <w:t>扩大优质教育资源的辐射引领作用，加快中小学办学模式变革，开展实施中小学片区化教育联盟工作。建立覆盖城乡学校的信息化教研体系，重点支持基础教育阶段不同类型学校建设专业教学资源库。完善基础教育阶段学校基础设施建设。</w:t>
      </w:r>
      <w:r>
        <w:rPr>
          <w:rFonts w:ascii="仿宋_GB2312" w:hAnsi="仿宋_GB2312" w:eastAsia="仿宋_GB2312" w:cs="仿宋_GB2312"/>
          <w:color w:val="auto"/>
          <w:sz w:val="32"/>
          <w:szCs w:val="32"/>
          <w:highlight w:val="none"/>
        </w:rPr>
        <w:t>继续开展“一市（县）两校一园”优质教育资源引进工程</w:t>
      </w:r>
      <w:r>
        <w:rPr>
          <w:rFonts w:hint="eastAsia" w:ascii="仿宋_GB2312" w:eastAsia="仿宋_GB2312"/>
          <w:color w:val="auto"/>
          <w:sz w:val="32"/>
          <w:szCs w:val="32"/>
          <w:highlight w:val="none"/>
        </w:rPr>
        <w:t>，引进一批国内外优质教育资源，吸引世界知名国际品牌的国际学校、双语学校和其它教育资源落地。到2025年，市规范化学校比例达到</w:t>
      </w:r>
      <w:r>
        <w:rPr>
          <w:rFonts w:hint="eastAsia" w:ascii="仿宋_GB2312" w:eastAsia="仿宋_GB2312"/>
          <w:color w:val="auto"/>
          <w:sz w:val="32"/>
          <w:szCs w:val="32"/>
          <w:highlight w:val="none"/>
          <w:lang w:val="en-US" w:eastAsia="zh-CN"/>
        </w:rPr>
        <w:t>100</w:t>
      </w:r>
      <w:r>
        <w:rPr>
          <w:rFonts w:hint="eastAsia" w:asci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60%学校达到优质均衡发展要求</w:t>
      </w:r>
      <w:r>
        <w:rPr>
          <w:rFonts w:hint="eastAsia" w:ascii="仿宋_GB2312" w:eastAsia="仿宋_GB2312"/>
          <w:color w:val="auto"/>
          <w:sz w:val="32"/>
          <w:szCs w:val="32"/>
          <w:highlight w:val="none"/>
        </w:rPr>
        <w:t>。</w:t>
      </w:r>
    </w:p>
    <w:p>
      <w:pPr>
        <w:pageBreakBefore w:val="0"/>
        <w:widowControl w:val="0"/>
        <w:kinsoku/>
        <w:wordWrap/>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三</w:t>
      </w:r>
      <w:r>
        <w:rPr>
          <w:rFonts w:hint="eastAsia" w:ascii="楷体_GB2312" w:hAnsi="楷体_GB2312" w:eastAsia="楷体_GB2312" w:cs="楷体_GB2312"/>
          <w:b/>
          <w:bCs/>
          <w:color w:val="auto"/>
          <w:sz w:val="32"/>
          <w:szCs w:val="32"/>
          <w:highlight w:val="none"/>
        </w:rPr>
        <w:t>）扩大普通高中优质教育资源</w:t>
      </w:r>
    </w:p>
    <w:p>
      <w:pPr>
        <w:pageBreakBefore w:val="0"/>
        <w:widowControl w:val="0"/>
        <w:kinsoku/>
        <w:wordWrap/>
        <w:overflowPunct/>
        <w:topLinePunct w:val="0"/>
        <w:bidi w:val="0"/>
        <w:snapToGrid/>
        <w:spacing w:line="560" w:lineRule="exact"/>
        <w:ind w:firstLine="643" w:firstLineChars="200"/>
        <w:textAlignment w:val="auto"/>
        <w:rPr>
          <w:rFonts w:ascii="仿宋_GB2312" w:eastAsia="仿宋_GB2312"/>
          <w:color w:val="auto"/>
          <w:sz w:val="32"/>
          <w:szCs w:val="32"/>
          <w:highlight w:val="none"/>
        </w:rPr>
      </w:pPr>
      <w:r>
        <w:rPr>
          <w:rFonts w:hint="eastAsia" w:ascii="仿宋_GB2312" w:eastAsia="仿宋_GB2312"/>
          <w:b/>
          <w:bCs/>
          <w:color w:val="auto"/>
          <w:sz w:val="32"/>
          <w:szCs w:val="32"/>
          <w:highlight w:val="none"/>
        </w:rPr>
        <w:t>加快高中阶段教育普及攻坚。</w:t>
      </w:r>
      <w:r>
        <w:rPr>
          <w:rFonts w:hint="eastAsia" w:ascii="仿宋_GB2312" w:eastAsia="仿宋_GB2312"/>
          <w:color w:val="auto"/>
          <w:sz w:val="32"/>
          <w:szCs w:val="32"/>
          <w:highlight w:val="none"/>
        </w:rPr>
        <w:t>优化普通高中学校布局，统筹配置现有教育资源，新建、改扩建普通高中学校，支持高中阶段民办学校发展，扩大高中阶段教育资源。建立合理的成本分担机制，健全生均拨款制度，完善学费动态调整机制，落实学生资助政策，提高家庭经济困难学生、残疾学生、进城务工人员随迁子女等特殊群体接受高中阶段教育的机会，到2025年高中阶段毛入学率达到94%以上，残疾学生入学率达到70%。</w:t>
      </w:r>
    </w:p>
    <w:p>
      <w:pPr>
        <w:pageBreakBefore w:val="0"/>
        <w:widowControl w:val="0"/>
        <w:kinsoku/>
        <w:wordWrap/>
        <w:overflowPunct/>
        <w:topLinePunct w:val="0"/>
        <w:bidi w:val="0"/>
        <w:snapToGrid/>
        <w:spacing w:line="560" w:lineRule="exact"/>
        <w:ind w:firstLine="643" w:firstLineChars="200"/>
        <w:textAlignment w:val="auto"/>
        <w:rPr>
          <w:rFonts w:ascii="仿宋_GB2312" w:eastAsia="仿宋_GB2312"/>
          <w:color w:val="auto"/>
          <w:sz w:val="32"/>
          <w:szCs w:val="32"/>
          <w:highlight w:val="none"/>
        </w:rPr>
      </w:pPr>
      <w:r>
        <w:rPr>
          <w:rFonts w:hint="eastAsia" w:ascii="仿宋_GB2312" w:eastAsia="仿宋_GB2312"/>
          <w:b/>
          <w:bCs/>
          <w:color w:val="auto"/>
          <w:sz w:val="32"/>
          <w:szCs w:val="32"/>
          <w:highlight w:val="none"/>
        </w:rPr>
        <w:t>扩大普通高中优质教育资源。</w:t>
      </w:r>
      <w:r>
        <w:rPr>
          <w:rFonts w:hint="eastAsia" w:ascii="仿宋_GB2312" w:eastAsia="仿宋_GB2312"/>
          <w:color w:val="auto"/>
          <w:sz w:val="32"/>
          <w:szCs w:val="32"/>
          <w:highlight w:val="none"/>
        </w:rPr>
        <w:t>加强省一级普通高中学校建设，到 2025年，力争新增</w:t>
      </w:r>
      <w:r>
        <w:rPr>
          <w:rFonts w:ascii="仿宋_GB2312" w:eastAsia="仿宋_GB2312"/>
          <w:color w:val="auto"/>
          <w:sz w:val="32"/>
          <w:szCs w:val="32"/>
          <w:highlight w:val="none"/>
        </w:rPr>
        <w:t>3</w:t>
      </w:r>
      <w:r>
        <w:rPr>
          <w:rFonts w:hint="eastAsia" w:ascii="仿宋_GB2312" w:eastAsia="仿宋_GB2312"/>
          <w:color w:val="auto"/>
          <w:sz w:val="32"/>
          <w:szCs w:val="32"/>
          <w:highlight w:val="none"/>
        </w:rPr>
        <w:t>所公办高中（市二中、市民族中学、市思源高中）达到省一级学校建设标准，巩固现有3所省一级高中建设水平。支持南开大学附属中学儋州一中建设。继续探索合作办学模式，</w:t>
      </w:r>
      <w:r>
        <w:rPr>
          <w:rFonts w:hint="eastAsia" w:ascii="仿宋_GB2312" w:eastAsia="仿宋_GB2312"/>
          <w:color w:val="auto"/>
          <w:sz w:val="32"/>
          <w:szCs w:val="32"/>
          <w:highlight w:val="none"/>
          <w:lang w:eastAsia="zh-CN"/>
        </w:rPr>
        <w:t>积极推进新时代教育评价改革，</w:t>
      </w:r>
      <w:r>
        <w:rPr>
          <w:rFonts w:hint="eastAsia" w:ascii="仿宋_GB2312" w:eastAsia="仿宋_GB2312"/>
          <w:color w:val="auto"/>
          <w:sz w:val="32"/>
          <w:szCs w:val="32"/>
          <w:highlight w:val="none"/>
        </w:rPr>
        <w:t>不断提升高中教育质量。建立健全促进学校特色化发展的激励机制，推动学校多样化发展，满足不同学生的发展需求。探索实施普通高中与职业高中之间适度流转的普职融通制度，鼓励探索举办附设职教班的综合高中。</w:t>
      </w:r>
    </w:p>
    <w:p>
      <w:pPr>
        <w:pageBreakBefore w:val="0"/>
        <w:widowControl w:val="0"/>
        <w:kinsoku/>
        <w:wordWrap/>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四</w:t>
      </w:r>
      <w:r>
        <w:rPr>
          <w:rFonts w:hint="eastAsia" w:ascii="楷体_GB2312" w:hAnsi="楷体_GB2312" w:eastAsia="楷体_GB2312" w:cs="楷体_GB2312"/>
          <w:b/>
          <w:bCs/>
          <w:color w:val="auto"/>
          <w:sz w:val="32"/>
          <w:szCs w:val="32"/>
          <w:highlight w:val="none"/>
        </w:rPr>
        <w:t>）做强职业教育扩充高等教育</w:t>
      </w:r>
    </w:p>
    <w:p>
      <w:pPr>
        <w:pageBreakBefore w:val="0"/>
        <w:widowControl w:val="0"/>
        <w:kinsoku/>
        <w:wordWrap/>
        <w:overflowPunct/>
        <w:topLinePunct w:val="0"/>
        <w:bidi w:val="0"/>
        <w:snapToGrid/>
        <w:spacing w:line="560" w:lineRule="exact"/>
        <w:ind w:firstLine="643"/>
        <w:textAlignment w:val="auto"/>
        <w:rPr>
          <w:rFonts w:ascii="仿宋_GB2312" w:eastAsia="仿宋_GB2312"/>
          <w:color w:val="auto"/>
          <w:sz w:val="32"/>
          <w:szCs w:val="32"/>
          <w:highlight w:val="none"/>
        </w:rPr>
      </w:pPr>
      <w:r>
        <w:rPr>
          <w:rFonts w:hint="eastAsia" w:ascii="仿宋_GB2312" w:eastAsia="仿宋_GB2312"/>
          <w:b/>
          <w:bCs/>
          <w:color w:val="auto"/>
          <w:sz w:val="32"/>
          <w:szCs w:val="32"/>
          <w:highlight w:val="none"/>
        </w:rPr>
        <w:t>发展职业教育及高等教育。</w:t>
      </w:r>
      <w:r>
        <w:rPr>
          <w:rFonts w:hint="eastAsia" w:ascii="仿宋_GB2312" w:eastAsia="仿宋_GB2312"/>
          <w:color w:val="auto"/>
          <w:sz w:val="32"/>
          <w:szCs w:val="32"/>
          <w:highlight w:val="none"/>
        </w:rPr>
        <w:t>围绕发展战略，分阶段有序布局高等职业院校和应用型普通本科高校，推动科教产协同发展。积极引进</w:t>
      </w:r>
      <w:bookmarkStart w:id="193" w:name="_Hlk57040043"/>
      <w:r>
        <w:rPr>
          <w:rFonts w:hint="eastAsia" w:ascii="仿宋_GB2312" w:eastAsia="仿宋_GB2312"/>
          <w:color w:val="auto"/>
          <w:sz w:val="32"/>
          <w:szCs w:val="32"/>
          <w:highlight w:val="none"/>
        </w:rPr>
        <w:t>国内外理工农医类高水平大学</w:t>
      </w:r>
      <w:bookmarkEnd w:id="193"/>
      <w:r>
        <w:rPr>
          <w:rFonts w:hint="eastAsia" w:ascii="仿宋_GB2312" w:eastAsia="仿宋_GB2312"/>
          <w:color w:val="auto"/>
          <w:sz w:val="32"/>
          <w:szCs w:val="32"/>
          <w:highlight w:val="none"/>
        </w:rPr>
        <w:t>、职业院校在儋独立办学，不断增强西部教育中心影响力。加快推进海南大学儋州校区更新工程、海南电影学院等项目建设</w:t>
      </w:r>
      <w:r>
        <w:rPr>
          <w:rFonts w:eastAsia="仿宋_GB2312"/>
          <w:color w:val="auto"/>
          <w:sz w:val="32"/>
          <w:szCs w:val="32"/>
          <w:highlight w:val="none"/>
        </w:rPr>
        <w:t>，推进儋州市艺术类本科院校布局</w:t>
      </w:r>
      <w:r>
        <w:rPr>
          <w:rFonts w:hint="eastAsia" w:ascii="仿宋_GB2312" w:eastAsia="仿宋_GB2312"/>
          <w:color w:val="auto"/>
          <w:sz w:val="32"/>
          <w:szCs w:val="32"/>
          <w:highlight w:val="none"/>
        </w:rPr>
        <w:t>。推动儋州市中等职业学校升格，填补儋州市专科层次职业教育学校空白。将儋州职业教育体系向上延伸至专科、本科层次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重点建设若干与儋州及海南重点产业相匹配、优质资源共享的现代化实验实训基地。建立健全终身教育学习体系，发挥海南广播电视大学儋州学院新型开放大学功能。</w:t>
      </w:r>
    </w:p>
    <w:p>
      <w:pPr>
        <w:pStyle w:val="4"/>
        <w:pageBreakBefore w:val="0"/>
        <w:widowControl w:val="0"/>
        <w:kinsoku/>
        <w:wordWrap/>
        <w:overflowPunct/>
        <w:topLinePunct w:val="0"/>
        <w:bidi w:val="0"/>
        <w:snapToGrid/>
        <w:spacing w:line="560" w:lineRule="exact"/>
        <w:textAlignment w:val="auto"/>
        <w:rPr>
          <w:rFonts w:eastAsia="楷体_GB2312"/>
          <w:bCs/>
          <w:color w:val="auto"/>
          <w:szCs w:val="32"/>
          <w:highlight w:val="none"/>
        </w:rPr>
      </w:pPr>
      <w:bookmarkStart w:id="194" w:name="_Toc57914214"/>
      <w:bookmarkStart w:id="195" w:name="_Toc27350_WPSOffice_Level2"/>
      <w:bookmarkStart w:id="196" w:name="_Toc15564_WPSOffice_Level2"/>
      <w:bookmarkStart w:id="197" w:name="_Toc14506_WPSOffice_Level2"/>
      <w:r>
        <w:rPr>
          <w:rFonts w:hint="eastAsia"/>
          <w:color w:val="auto"/>
          <w:highlight w:val="none"/>
        </w:rPr>
        <w:t>第</w:t>
      </w:r>
      <w:r>
        <w:rPr>
          <w:rFonts w:hint="eastAsia"/>
          <w:color w:val="auto"/>
          <w:highlight w:val="none"/>
          <w:lang w:eastAsia="zh-CN"/>
        </w:rPr>
        <w:t>四</w:t>
      </w:r>
      <w:r>
        <w:rPr>
          <w:rFonts w:hint="eastAsia"/>
          <w:color w:val="auto"/>
          <w:highlight w:val="none"/>
        </w:rPr>
        <w:t>节</w:t>
      </w:r>
      <w:r>
        <w:rPr>
          <w:color w:val="auto"/>
          <w:highlight w:val="none"/>
        </w:rPr>
        <w:t xml:space="preserve"> </w:t>
      </w:r>
      <w:r>
        <w:rPr>
          <w:rFonts w:hint="eastAsia"/>
          <w:color w:val="auto"/>
          <w:highlight w:val="none"/>
          <w:lang w:eastAsia="zh-CN"/>
        </w:rPr>
        <w:t>加快推进健康儋州</w:t>
      </w:r>
      <w:r>
        <w:rPr>
          <w:rFonts w:hint="eastAsia"/>
          <w:color w:val="auto"/>
          <w:highlight w:val="none"/>
        </w:rPr>
        <w:t>建设</w:t>
      </w:r>
      <w:bookmarkEnd w:id="194"/>
      <w:bookmarkEnd w:id="195"/>
      <w:bookmarkEnd w:id="196"/>
      <w:bookmarkEnd w:id="197"/>
    </w:p>
    <w:p>
      <w:pPr>
        <w:pageBreakBefore w:val="0"/>
        <w:widowControl w:val="0"/>
        <w:kinsoku/>
        <w:wordWrap/>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（一）完善医疗卫生体系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进一步深化医疗卫生体制机制改革，建立健全现代医疗管理制度。建设以综合医院为核心、专科医院为辅助、基层医疗卫生机构为基础的市、镇、村三级医疗卫生体系。</w:t>
      </w:r>
      <w:r>
        <w:rPr>
          <w:rFonts w:hint="eastAsia" w:ascii="仿宋_GB2312" w:hAnsi="仿宋_GB2312" w:eastAsia="仿宋_GB2312" w:cs="仿宋_GB2312"/>
          <w:color w:val="auto"/>
          <w:sz w:val="32"/>
          <w:szCs w:val="32"/>
          <w:highlight w:val="none"/>
          <w:lang w:eastAsia="zh-CN"/>
        </w:rPr>
        <w:t>坚持中西医并重，大力发展中医药事业，加快推进市中医院建设。</w:t>
      </w:r>
      <w:r>
        <w:rPr>
          <w:rFonts w:hint="eastAsia" w:ascii="仿宋_GB2312" w:hAnsi="仿宋_GB2312" w:eastAsia="仿宋_GB2312" w:cs="仿宋_GB2312"/>
          <w:color w:val="auto"/>
          <w:sz w:val="32"/>
          <w:szCs w:val="32"/>
          <w:highlight w:val="none"/>
        </w:rPr>
        <w:t>加强综合医院和专科医院建设</w:t>
      </w:r>
      <w:r>
        <w:rPr>
          <w:rFonts w:hint="eastAsia" w:ascii="仿宋_GB2312" w:hAnsi="仿宋_GB2312" w:eastAsia="仿宋_GB2312" w:cs="仿宋_GB2312"/>
          <w:color w:val="auto"/>
          <w:sz w:val="32"/>
          <w:szCs w:val="32"/>
          <w:highlight w:val="none"/>
          <w:lang w:eastAsia="zh-CN"/>
        </w:rPr>
        <w:t>，推进</w:t>
      </w:r>
      <w:r>
        <w:rPr>
          <w:rFonts w:hint="eastAsia" w:ascii="仿宋_GB2312" w:hAnsi="仿宋_GB2312" w:eastAsia="仿宋_GB2312" w:cs="仿宋_GB2312"/>
          <w:color w:val="auto"/>
          <w:sz w:val="32"/>
          <w:szCs w:val="32"/>
          <w:highlight w:val="none"/>
        </w:rPr>
        <w:t>社区卫生服务中心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建设</w:t>
      </w:r>
      <w:r>
        <w:rPr>
          <w:rFonts w:hint="eastAsia" w:ascii="仿宋_GB2312" w:hAnsi="仿宋_GB2312" w:eastAsia="仿宋_GB2312" w:cs="仿宋_GB2312"/>
          <w:color w:val="auto"/>
          <w:sz w:val="32"/>
          <w:szCs w:val="32"/>
          <w:highlight w:val="none"/>
          <w:lang w:eastAsia="zh-CN"/>
        </w:rPr>
        <w:t>，实施</w:t>
      </w:r>
      <w:r>
        <w:rPr>
          <w:rFonts w:hint="eastAsia" w:ascii="仿宋_GB2312" w:hAnsi="仿宋_GB2312" w:eastAsia="仿宋_GB2312" w:cs="仿宋_GB2312"/>
          <w:color w:val="auto"/>
          <w:sz w:val="32"/>
          <w:szCs w:val="32"/>
          <w:highlight w:val="none"/>
        </w:rPr>
        <w:t>行政村标准化村卫生室</w:t>
      </w:r>
      <w:r>
        <w:rPr>
          <w:rFonts w:hint="eastAsia" w:ascii="仿宋_GB2312" w:hAnsi="仿宋_GB2312" w:eastAsia="仿宋_GB2312" w:cs="仿宋_GB2312"/>
          <w:color w:val="auto"/>
          <w:sz w:val="32"/>
          <w:szCs w:val="32"/>
          <w:highlight w:val="none"/>
          <w:lang w:eastAsia="zh-CN"/>
        </w:rPr>
        <w:t>建设工程</w:t>
      </w:r>
      <w:r>
        <w:rPr>
          <w:rFonts w:hint="eastAsia" w:ascii="仿宋_GB2312" w:hAnsi="仿宋_GB2312" w:eastAsia="仿宋_GB2312" w:cs="仿宋_GB2312"/>
          <w:color w:val="auto"/>
          <w:sz w:val="32"/>
          <w:szCs w:val="32"/>
          <w:highlight w:val="none"/>
        </w:rPr>
        <w:t>。完善以“海南西部中心医院”和“儋州市人民医院”为牵头单位的两大紧密型医联体，构建整合型医疗卫生服务体系，形成“15分钟城市健康服务圈、30分钟乡村健康服务圈”，提升医疗服务</w:t>
      </w:r>
      <w:r>
        <w:rPr>
          <w:rFonts w:hint="eastAsia" w:ascii="仿宋_GB2312" w:hAnsi="仿宋_GB2312" w:eastAsia="仿宋_GB2312" w:cs="仿宋_GB2312"/>
          <w:color w:val="auto"/>
          <w:sz w:val="32"/>
          <w:szCs w:val="32"/>
          <w:highlight w:val="none"/>
          <w:lang w:eastAsia="zh-CN"/>
        </w:rPr>
        <w:t>和保障</w:t>
      </w:r>
      <w:r>
        <w:rPr>
          <w:rFonts w:hint="eastAsia" w:ascii="仿宋_GB2312" w:hAnsi="仿宋_GB2312" w:eastAsia="仿宋_GB2312" w:cs="仿宋_GB2312"/>
          <w:color w:val="auto"/>
          <w:sz w:val="32"/>
          <w:szCs w:val="32"/>
          <w:highlight w:val="none"/>
        </w:rPr>
        <w:t>能力，实现“小病不进城、大病不出市”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持续推进卫生健康信息化基础设施建设，加快医疗健康与互联网深度融合，推动医院信息化系统升级改造。</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（二）加强重大疾病防控</w:t>
      </w:r>
      <w:r>
        <w:rPr>
          <w:rFonts w:hint="eastAsia" w:ascii="楷体_GB2312" w:hAnsi="楷体_GB2312" w:eastAsia="楷体_GB2312" w:cs="楷体_GB2312"/>
          <w:b/>
          <w:bCs/>
          <w:color w:val="auto"/>
          <w:sz w:val="32"/>
          <w:szCs w:val="32"/>
          <w:highlight w:val="none"/>
          <w:lang w:eastAsia="zh-CN"/>
        </w:rPr>
        <w:t>救治</w:t>
      </w:r>
      <w:r>
        <w:rPr>
          <w:rFonts w:hint="eastAsia" w:ascii="楷体_GB2312" w:hAnsi="楷体_GB2312" w:eastAsia="楷体_GB2312" w:cs="楷体_GB2312"/>
          <w:b/>
          <w:bCs/>
          <w:color w:val="auto"/>
          <w:sz w:val="32"/>
          <w:szCs w:val="32"/>
          <w:highlight w:val="none"/>
        </w:rPr>
        <w:t>体系建设</w:t>
      </w:r>
    </w:p>
    <w:p>
      <w:pPr>
        <w:keepNext w:val="0"/>
        <w:keepLines w:val="0"/>
        <w:pageBreakBefore w:val="0"/>
        <w:widowControl w:val="0"/>
        <w:kinsoku/>
        <w:wordWrap/>
        <w:overflowPunct/>
        <w:topLinePunct w:val="0"/>
        <w:autoSpaceDE/>
        <w:autoSpaceDN/>
        <w:bidi w:val="0"/>
        <w:adjustRightInd/>
        <w:snapToGrid/>
        <w:spacing w:line="580" w:lineRule="exact"/>
        <w:ind w:firstLine="643"/>
        <w:textAlignment w:val="auto"/>
        <w:rPr>
          <w:rFonts w:eastAsia="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推动</w:t>
      </w:r>
      <w:r>
        <w:rPr>
          <w:rFonts w:hint="eastAsia" w:ascii="仿宋_GB2312" w:hAnsi="仿宋_GB2312" w:eastAsia="仿宋_GB2312" w:cs="仿宋_GB2312"/>
          <w:color w:val="auto"/>
          <w:sz w:val="32"/>
          <w:szCs w:val="32"/>
          <w:highlight w:val="none"/>
        </w:rPr>
        <w:t>市疾病预防控制中心、市公共卫生紧急救援中心</w:t>
      </w:r>
      <w:r>
        <w:rPr>
          <w:rFonts w:hint="eastAsia" w:ascii="仿宋_GB2312" w:hAnsi="仿宋_GB2312" w:eastAsia="仿宋_GB2312" w:cs="仿宋_GB2312"/>
          <w:color w:val="auto"/>
          <w:sz w:val="32"/>
          <w:szCs w:val="32"/>
          <w:highlight w:val="none"/>
          <w:lang w:eastAsia="zh-CN"/>
        </w:rPr>
        <w:t>建设，建成海南西部区域（儋州）疾病预防控制中心、公共卫生紧急救援中心，</w:t>
      </w:r>
      <w:r>
        <w:rPr>
          <w:rFonts w:hint="eastAsia" w:ascii="仿宋_GB2312" w:hAnsi="仿宋_GB2312" w:eastAsia="仿宋_GB2312" w:cs="仿宋_GB2312"/>
          <w:color w:val="auto"/>
          <w:sz w:val="32"/>
          <w:szCs w:val="32"/>
          <w:highlight w:val="none"/>
        </w:rPr>
        <w:t>构建“30分钟应急反应圈”。加强传染病</w:t>
      </w:r>
      <w:r>
        <w:rPr>
          <w:rFonts w:hint="eastAsia" w:ascii="仿宋_GB2312" w:hAnsi="仿宋_GB2312" w:eastAsia="仿宋_GB2312" w:cs="仿宋_GB2312"/>
          <w:color w:val="auto"/>
          <w:sz w:val="32"/>
          <w:szCs w:val="32"/>
          <w:highlight w:val="none"/>
          <w:lang w:eastAsia="zh-CN"/>
        </w:rPr>
        <w:t>防控</w:t>
      </w:r>
      <w:r>
        <w:rPr>
          <w:rFonts w:hint="eastAsia" w:ascii="仿宋_GB2312" w:hAnsi="仿宋_GB2312" w:eastAsia="仿宋_GB2312" w:cs="仿宋_GB2312"/>
          <w:color w:val="auto"/>
          <w:sz w:val="32"/>
          <w:szCs w:val="32"/>
          <w:highlight w:val="none"/>
        </w:rPr>
        <w:t>救治体系建设，重点完善结核病防治服务体系，重建市人民医院感染楼。强化疫情常态化防控体系，坚持常态化的基层排查、数据共享、信息推送、联防联控等工作机制，进一步加强发热门诊标准化、规范化建设和基层医疗机构建设管理，提升先期处置能力。</w:t>
      </w:r>
      <w:r>
        <w:rPr>
          <w:rFonts w:hint="eastAsia" w:ascii="仿宋_GB2312" w:hAnsi="仿宋_GB2312" w:eastAsia="仿宋_GB2312" w:cs="仿宋_GB2312"/>
          <w:color w:val="auto"/>
          <w:sz w:val="32"/>
          <w:szCs w:val="32"/>
          <w:highlight w:val="none"/>
          <w:lang w:eastAsia="zh-CN"/>
        </w:rPr>
        <w:t>加强重症、呼吸、麻醉、感染等重大疫情救治相关学科建设，提升综合救治能力和多学科联合诊治水平。</w:t>
      </w:r>
      <w:r>
        <w:rPr>
          <w:rFonts w:hint="eastAsia" w:ascii="仿宋_GB2312" w:hAnsi="仿宋_GB2312" w:eastAsia="仿宋_GB2312" w:cs="仿宋_GB2312"/>
          <w:color w:val="auto"/>
          <w:sz w:val="32"/>
          <w:szCs w:val="32"/>
          <w:highlight w:val="none"/>
        </w:rPr>
        <w:t>提高卫生防疫津贴标准，改善一线医务人员工作条件，保障医务人员权益。加强传染病防控宣传，提升群众防控意识。提升儋州市应对各类自然灾害、事故灾难和突发公共事件的紧急医疗救援水平。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w:t>
      </w:r>
      <w:r>
        <w:rPr>
          <w:rFonts w:hint="eastAsia" w:ascii="楷体_GB2312" w:hAnsi="楷体_GB2312" w:eastAsia="楷体_GB2312" w:cs="楷体_GB2312"/>
          <w:b/>
          <w:bCs/>
          <w:color w:val="auto"/>
          <w:sz w:val="32"/>
          <w:szCs w:val="32"/>
          <w:highlight w:val="none"/>
          <w:lang w:eastAsia="zh-CN"/>
        </w:rPr>
        <w:t>推进</w:t>
      </w:r>
      <w:r>
        <w:rPr>
          <w:rFonts w:hint="eastAsia" w:ascii="楷体_GB2312" w:hAnsi="楷体_GB2312" w:eastAsia="楷体_GB2312" w:cs="楷体_GB2312"/>
          <w:b/>
          <w:bCs/>
          <w:color w:val="auto"/>
          <w:sz w:val="32"/>
          <w:szCs w:val="32"/>
          <w:highlight w:val="none"/>
        </w:rPr>
        <w:t>健康儋州行动</w:t>
      </w:r>
    </w:p>
    <w:p>
      <w:pPr>
        <w:pageBreakBefore w:val="0"/>
        <w:widowControl w:val="0"/>
        <w:kinsoku/>
        <w:wordWrap/>
        <w:overflowPunct/>
        <w:topLinePunct w:val="0"/>
        <w:bidi w:val="0"/>
        <w:snapToGrid/>
        <w:spacing w:line="560" w:lineRule="exact"/>
        <w:ind w:firstLine="643"/>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贯彻落实《健康海南行动实施方案》《健康儋州行动实施方案》</w:t>
      </w:r>
      <w:r>
        <w:rPr>
          <w:rFonts w:hint="eastAsia" w:ascii="仿宋_GB2312" w:hAnsi="仿宋_GB2312" w:eastAsia="仿宋_GB2312" w:cs="仿宋_GB2312"/>
          <w:color w:val="auto"/>
          <w:sz w:val="32"/>
          <w:szCs w:val="32"/>
          <w:highlight w:val="none"/>
          <w:lang w:eastAsia="zh-CN"/>
        </w:rPr>
        <w:t>，完善健康教育工作体系</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加强中医药服务能力，促进医养结合。</w:t>
      </w:r>
      <w:r>
        <w:rPr>
          <w:rFonts w:hint="eastAsia" w:ascii="仿宋_GB2312" w:hAnsi="仿宋_GB2312" w:eastAsia="仿宋_GB2312" w:cs="仿宋_GB2312"/>
          <w:color w:val="auto"/>
          <w:sz w:val="32"/>
          <w:szCs w:val="32"/>
          <w:highlight w:val="none"/>
        </w:rPr>
        <w:t>加强职业病</w:t>
      </w:r>
      <w:r>
        <w:rPr>
          <w:rFonts w:hint="eastAsia" w:ascii="仿宋_GB2312" w:hAnsi="仿宋_GB2312" w:eastAsia="仿宋_GB2312" w:cs="仿宋_GB2312"/>
          <w:color w:val="auto"/>
          <w:sz w:val="32"/>
          <w:szCs w:val="32"/>
          <w:highlight w:val="none"/>
          <w:lang w:eastAsia="zh-CN"/>
        </w:rPr>
        <w:t>防治工作，推进</w:t>
      </w:r>
      <w:r>
        <w:rPr>
          <w:rFonts w:hint="eastAsia" w:ascii="仿宋_GB2312" w:hAnsi="仿宋_GB2312" w:eastAsia="仿宋_GB2312" w:cs="仿宋_GB2312"/>
          <w:color w:val="auto"/>
          <w:sz w:val="32"/>
          <w:szCs w:val="32"/>
          <w:highlight w:val="none"/>
        </w:rPr>
        <w:t>防治技术支撑体系建设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提升市疾病预防控制中心职业病监测评估能力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依托市人民医院加强职业病救治能力建设和职业健康检查、职业病诊断建设。建立完善我市婴幼儿照护服务发展工作体制机制。</w:t>
      </w:r>
      <w:r>
        <w:rPr>
          <w:rFonts w:hint="eastAsia" w:ascii="仿宋_GB2312" w:hAnsi="仿宋_GB2312" w:eastAsia="仿宋_GB2312" w:cs="仿宋_GB2312"/>
          <w:color w:val="auto"/>
          <w:sz w:val="32"/>
          <w:szCs w:val="32"/>
          <w:highlight w:val="none"/>
          <w:lang w:eastAsia="zh-CN"/>
        </w:rPr>
        <w:t>提高妇幼健康水平，倡导优生优育。</w:t>
      </w:r>
      <w:r>
        <w:rPr>
          <w:rFonts w:hint="eastAsia" w:ascii="仿宋_GB2312" w:hAnsi="仿宋_GB2312" w:eastAsia="仿宋_GB2312" w:cs="仿宋_GB2312"/>
          <w:color w:val="auto"/>
          <w:sz w:val="32"/>
          <w:szCs w:val="32"/>
          <w:highlight w:val="none"/>
        </w:rPr>
        <w:t>保障母婴安全，提升孕产妇和新生儿危重救治能力，减少可避免死亡。</w:t>
      </w:r>
      <w:r>
        <w:rPr>
          <w:rFonts w:hint="eastAsia" w:ascii="仿宋_GB2312" w:hAnsi="仿宋_GB2312" w:eastAsia="仿宋_GB2312" w:cs="仿宋_GB2312"/>
          <w:color w:val="auto"/>
          <w:sz w:val="32"/>
          <w:szCs w:val="32"/>
          <w:highlight w:val="none"/>
          <w:lang w:eastAsia="zh-CN"/>
        </w:rPr>
        <w:t>强化精神疾病防治和心理健康。</w:t>
      </w:r>
      <w:r>
        <w:rPr>
          <w:rFonts w:hint="eastAsia" w:ascii="仿宋_GB2312" w:hAnsi="仿宋_GB2312" w:eastAsia="仿宋_GB2312" w:cs="仿宋_GB2312"/>
          <w:color w:val="auto"/>
          <w:sz w:val="32"/>
          <w:szCs w:val="32"/>
          <w:highlight w:val="none"/>
        </w:rPr>
        <w:t>实施国民营养计划，推动老龄事业发展，推行人均寿命提升计划</w:t>
      </w:r>
      <w:r>
        <w:rPr>
          <w:rFonts w:hint="eastAsia" w:ascii="仿宋_GB2312" w:hAnsi="仿宋_GB2312" w:eastAsia="仿宋_GB2312" w:cs="仿宋_GB2312"/>
          <w:color w:val="auto"/>
          <w:sz w:val="32"/>
          <w:szCs w:val="32"/>
          <w:highlight w:val="none"/>
          <w:lang w:eastAsia="zh-CN"/>
        </w:rPr>
        <w:t>，发展老年健康服务，</w:t>
      </w:r>
      <w:r>
        <w:rPr>
          <w:rFonts w:hint="eastAsia" w:ascii="仿宋_GB2312" w:hAnsi="仿宋_GB2312" w:eastAsia="仿宋_GB2312" w:cs="仿宋_GB2312"/>
          <w:color w:val="auto"/>
          <w:sz w:val="32"/>
          <w:szCs w:val="32"/>
          <w:highlight w:val="none"/>
        </w:rPr>
        <w:t>提高人均期望寿命</w:t>
      </w:r>
      <w:r>
        <w:rPr>
          <w:rFonts w:hint="eastAsia" w:ascii="仿宋_GB2312" w:hAnsi="仿宋_GB2312" w:eastAsia="仿宋_GB2312" w:cs="仿宋_GB2312"/>
          <w:color w:val="auto"/>
          <w:sz w:val="32"/>
          <w:szCs w:val="32"/>
          <w:highlight w:val="none"/>
          <w:lang w:eastAsia="zh-CN"/>
        </w:rPr>
        <w:t>。</w:t>
      </w:r>
    </w:p>
    <w:p>
      <w:pPr>
        <w:pStyle w:val="4"/>
        <w:pageBreakBefore w:val="0"/>
        <w:widowControl w:val="0"/>
        <w:kinsoku/>
        <w:wordWrap/>
        <w:overflowPunct/>
        <w:topLinePunct w:val="0"/>
        <w:bidi w:val="0"/>
        <w:snapToGrid/>
        <w:spacing w:line="560" w:lineRule="exact"/>
        <w:textAlignment w:val="auto"/>
        <w:rPr>
          <w:color w:val="auto"/>
          <w:highlight w:val="none"/>
        </w:rPr>
      </w:pPr>
      <w:bookmarkStart w:id="198" w:name="_Toc13627_WPSOffice_Level2"/>
      <w:bookmarkStart w:id="199" w:name="_Toc10459_WPSOffice_Level2"/>
      <w:bookmarkStart w:id="200" w:name="_Toc57914216"/>
      <w:bookmarkStart w:id="201" w:name="_Toc2461_WPSOffice_Level2"/>
      <w:r>
        <w:rPr>
          <w:rFonts w:hint="eastAsia"/>
          <w:color w:val="auto"/>
          <w:highlight w:val="none"/>
        </w:rPr>
        <w:t>第</w:t>
      </w:r>
      <w:r>
        <w:rPr>
          <w:rFonts w:hint="eastAsia"/>
          <w:color w:val="auto"/>
          <w:highlight w:val="none"/>
          <w:lang w:eastAsia="zh-CN"/>
        </w:rPr>
        <w:t>五</w:t>
      </w:r>
      <w:r>
        <w:rPr>
          <w:rFonts w:hint="eastAsia"/>
          <w:color w:val="auto"/>
          <w:highlight w:val="none"/>
        </w:rPr>
        <w:t>节</w:t>
      </w:r>
      <w:r>
        <w:rPr>
          <w:color w:val="auto"/>
          <w:highlight w:val="none"/>
        </w:rPr>
        <w:t xml:space="preserve"> </w:t>
      </w:r>
      <w:r>
        <w:rPr>
          <w:rFonts w:hint="eastAsia"/>
          <w:color w:val="auto"/>
          <w:highlight w:val="none"/>
        </w:rPr>
        <w:t>强化各类社会保障服务</w:t>
      </w:r>
      <w:bookmarkEnd w:id="198"/>
      <w:bookmarkEnd w:id="199"/>
      <w:bookmarkEnd w:id="200"/>
      <w:bookmarkEnd w:id="201"/>
    </w:p>
    <w:p>
      <w:pPr>
        <w:pageBreakBefore w:val="0"/>
        <w:widowControl w:val="0"/>
        <w:kinsoku/>
        <w:wordWrap/>
        <w:overflowPunct/>
        <w:topLinePunct w:val="0"/>
        <w:bidi w:val="0"/>
        <w:snapToGrid/>
        <w:spacing w:line="560" w:lineRule="exact"/>
        <w:ind w:firstLine="643"/>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健全覆盖全民、统筹城乡、公平统一、可持续的多层次社会保障体系。落实养老、医疗、工伤、失业保险制度，完善灵活就业人员社保制度。坚持按劳分配为主，多种分配方式并存的分配制度，坚持城乡居民收入和经济发展同步增长。</w:t>
      </w:r>
    </w:p>
    <w:p>
      <w:pPr>
        <w:pStyle w:val="2"/>
        <w:pageBreakBefore w:val="0"/>
        <w:widowControl w:val="0"/>
        <w:kinsoku/>
        <w:wordWrap/>
        <w:overflowPunct/>
        <w:topLinePunct w:val="0"/>
        <w:bidi w:val="0"/>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健全各类保障制度体系。保险制度。</w:t>
      </w:r>
      <w:r>
        <w:rPr>
          <w:rFonts w:hint="eastAsia" w:ascii="仿宋_GB2312" w:hAnsi="仿宋_GB2312" w:eastAsia="仿宋_GB2312" w:cs="仿宋_GB2312"/>
          <w:color w:val="auto"/>
          <w:sz w:val="32"/>
          <w:szCs w:val="32"/>
          <w:highlight w:val="none"/>
          <w:lang w:val="en-US" w:eastAsia="zh-CN"/>
        </w:rPr>
        <w:t>完善失业保险制度，逐步提高失业保险金待遇，推进工伤预防和工伤康复。完善城镇职工基本养老保险制度和机关事业单位养老保险政策，落实城乡居民基本养老保险待遇确定机制和基础养老金正常调整机制。建立健全以基本医疗保险为主，医疗救助为托底，补充医疗保险、商业健康保险、慈善捐赠、医疗互助共同发展的多层次医疗保障体系。</w:t>
      </w:r>
      <w:r>
        <w:rPr>
          <w:rFonts w:hint="eastAsia" w:ascii="仿宋_GB2312" w:hAnsi="仿宋_GB2312" w:eastAsia="仿宋_GB2312" w:cs="仿宋_GB2312"/>
          <w:b/>
          <w:bCs/>
          <w:color w:val="auto"/>
          <w:sz w:val="32"/>
          <w:szCs w:val="32"/>
          <w:highlight w:val="none"/>
          <w:lang w:val="en-US" w:eastAsia="zh-CN"/>
        </w:rPr>
        <w:t>保障制度。</w:t>
      </w:r>
      <w:r>
        <w:rPr>
          <w:rFonts w:hint="eastAsia" w:ascii="仿宋_GB2312" w:hAnsi="仿宋_GB2312" w:eastAsia="仿宋_GB2312" w:cs="仿宋_GB2312"/>
          <w:color w:val="auto"/>
          <w:sz w:val="32"/>
          <w:szCs w:val="32"/>
          <w:highlight w:val="none"/>
          <w:lang w:val="en-US" w:eastAsia="zh-CN"/>
        </w:rPr>
        <w:t>增强儿童关爱服务能力，完善帮扶孤儿社会帮扶制度，健全未成年人救助保护机制，推进儿童福利院优化提质和转型发展，实施孤儿区域机构养育新模式。保障困难群众基本生活。健全老年人、儿童、残疾人关爱福利制度、服务体系和服务设施。加快健全殡葬基础设施，推行绿色殡葬改革。完善退役军人工作体系和保障制度，加强烈士纪念设施规划建设管维，持续巩固“全国双拥模范城”创建成果。坚持房住不炒，加快构建多渠道、多层次、广覆盖的住房保障体系，促进房地产市场平稳有序健康发展。加强残疾人托养照护、康复服务建设，切实推进重度残疾人家庭无障碍改造高质量实施。</w:t>
      </w:r>
    </w:p>
    <w:p>
      <w:pPr>
        <w:pStyle w:val="2"/>
        <w:pageBreakBefore w:val="0"/>
        <w:widowControl w:val="0"/>
        <w:kinsoku/>
        <w:wordWrap/>
        <w:overflowPunct/>
        <w:topLinePunct w:val="0"/>
        <w:bidi w:val="0"/>
        <w:snapToGrid/>
        <w:spacing w:line="56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完善收入分配制度。</w:t>
      </w:r>
      <w:r>
        <w:rPr>
          <w:rFonts w:hint="eastAsia" w:ascii="仿宋_GB2312" w:hAnsi="仿宋_GB2312" w:eastAsia="仿宋_GB2312" w:cs="仿宋_GB2312"/>
          <w:color w:val="auto"/>
          <w:sz w:val="32"/>
          <w:szCs w:val="32"/>
          <w:highlight w:val="none"/>
          <w:lang w:val="en-US" w:eastAsia="zh-CN"/>
        </w:rPr>
        <w:t>完善劳动用工制度，健全工资正常增长机制和工资支付保障长效机制。健全人才薪酬体系，扩展知识、技术和管理要素参与分配途径。着力提高低收入群体收入，扩大中等收入群体。开展激发重点群体增收活力改革试点。完善适应机关事业单位特点的工资分配政策。规范国有企业薪酬分配管理。多渠道增加城乡居民财产性收入。健全个人所得税制度。增加财政民生支出比例，健全公共资源出让收益全民共享机制。</w:t>
      </w:r>
    </w:p>
    <w:p>
      <w:pPr>
        <w:pStyle w:val="2"/>
        <w:pageBreakBefore w:val="0"/>
        <w:widowControl w:val="0"/>
        <w:kinsoku/>
        <w:wordWrap/>
        <w:overflowPunct/>
        <w:topLinePunct w:val="0"/>
        <w:bidi w:val="0"/>
        <w:snapToGrid/>
        <w:spacing w:line="560" w:lineRule="exact"/>
        <w:ind w:firstLine="640"/>
        <w:textAlignment w:val="auto"/>
        <w:rPr>
          <w:rFonts w:eastAsia="黑体"/>
          <w:bCs/>
          <w:color w:val="auto"/>
          <w:kern w:val="44"/>
          <w:sz w:val="32"/>
          <w:szCs w:val="32"/>
          <w:highlight w:val="none"/>
        </w:rPr>
      </w:pPr>
      <w:r>
        <w:rPr>
          <w:rFonts w:hint="eastAsia" w:ascii="仿宋_GB2312" w:hAnsi="仿宋_GB2312" w:eastAsia="仿宋_GB2312" w:cs="仿宋_GB2312"/>
          <w:b/>
          <w:bCs/>
          <w:color w:val="auto"/>
          <w:sz w:val="32"/>
          <w:szCs w:val="32"/>
          <w:highlight w:val="none"/>
          <w:lang w:val="en-US" w:eastAsia="zh-CN"/>
        </w:rPr>
        <w:t>增强社会救助兜底保障。</w:t>
      </w:r>
      <w:r>
        <w:rPr>
          <w:rFonts w:hint="eastAsia" w:ascii="仿宋_GB2312" w:hAnsi="仿宋_GB2312" w:eastAsia="仿宋_GB2312" w:cs="仿宋_GB2312"/>
          <w:b w:val="0"/>
          <w:bCs w:val="0"/>
          <w:color w:val="auto"/>
          <w:sz w:val="32"/>
          <w:szCs w:val="32"/>
          <w:highlight w:val="none"/>
          <w:lang w:val="en-US" w:eastAsia="zh-CN"/>
        </w:rPr>
        <w:t>健全多层次的社会救助体系，</w:t>
      </w:r>
      <w:r>
        <w:rPr>
          <w:rFonts w:hint="eastAsia" w:ascii="仿宋_GB2312" w:hAnsi="仿宋_GB2312" w:eastAsia="仿宋_GB2312" w:cs="仿宋_GB2312"/>
          <w:color w:val="auto"/>
          <w:sz w:val="32"/>
          <w:szCs w:val="32"/>
          <w:highlight w:val="none"/>
          <w:lang w:val="en-US" w:eastAsia="zh-CN"/>
        </w:rPr>
        <w:t>建立并完善社会救助标准动态调整机制，实现社会救助各项标准城乡一体化；完善“物质类救助+服务救助”社会救助兜底保障模式，统筹社会救助资源，织密织牢兜底保障网，逐步推动医疗、就业、教育等专项救助和残疾救助延伸到低收入家庭，形成城乡低保、特困人员、低收入家庭梯度救助的格局。</w:t>
      </w:r>
    </w:p>
    <w:p>
      <w:pPr>
        <w:pStyle w:val="3"/>
        <w:keepNext/>
        <w:keepLines/>
        <w:pageBreakBefore w:val="0"/>
        <w:widowControl w:val="0"/>
        <w:numPr>
          <w:ilvl w:val="0"/>
          <w:numId w:val="0"/>
        </w:numPr>
        <w:kinsoku/>
        <w:wordWrap/>
        <w:overflowPunct/>
        <w:topLinePunct w:val="0"/>
        <w:autoSpaceDE/>
        <w:autoSpaceDN/>
        <w:bidi w:val="0"/>
        <w:adjustRightInd/>
        <w:snapToGrid/>
        <w:spacing w:after="0" w:line="579" w:lineRule="auto"/>
        <w:ind w:leftChars="0"/>
        <w:textAlignment w:val="auto"/>
        <w:rPr>
          <w:rFonts w:hint="eastAsia"/>
          <w:color w:val="auto"/>
          <w:highlight w:val="none"/>
          <w:lang w:val="en-US" w:eastAsia="zh-CN"/>
        </w:rPr>
      </w:pPr>
      <w:bookmarkStart w:id="202" w:name="_Toc18374_WPSOffice_Level1"/>
      <w:bookmarkStart w:id="203" w:name="_Toc27045_WPSOffice_Level1"/>
      <w:r>
        <w:rPr>
          <w:rFonts w:hint="eastAsia"/>
          <w:color w:val="auto"/>
          <w:highlight w:val="none"/>
          <w:lang w:eastAsia="zh-CN"/>
        </w:rPr>
        <w:t>第九章</w:t>
      </w:r>
      <w:r>
        <w:rPr>
          <w:rFonts w:hint="eastAsia"/>
          <w:color w:val="auto"/>
          <w:highlight w:val="none"/>
          <w:lang w:val="en-US" w:eastAsia="zh-CN"/>
        </w:rPr>
        <w:t xml:space="preserve"> </w:t>
      </w:r>
      <w:r>
        <w:rPr>
          <w:rFonts w:hint="eastAsia"/>
          <w:color w:val="auto"/>
          <w:highlight w:val="none"/>
        </w:rPr>
        <w:t>加强和创新社会治理</w:t>
      </w:r>
      <w:bookmarkEnd w:id="202"/>
      <w:bookmarkEnd w:id="203"/>
      <w:bookmarkStart w:id="204" w:name="_Toc30274_WPSOffice_Level2"/>
    </w:p>
    <w:p>
      <w:pPr>
        <w:pStyle w:val="3"/>
        <w:keepNext/>
        <w:keepLines/>
        <w:pageBreakBefore w:val="0"/>
        <w:widowControl w:val="0"/>
        <w:numPr>
          <w:ilvl w:val="0"/>
          <w:numId w:val="0"/>
        </w:numPr>
        <w:kinsoku/>
        <w:wordWrap/>
        <w:overflowPunct/>
        <w:topLinePunct w:val="0"/>
        <w:autoSpaceDE/>
        <w:autoSpaceDN/>
        <w:bidi w:val="0"/>
        <w:adjustRightInd/>
        <w:snapToGrid/>
        <w:spacing w:before="0" w:line="579" w:lineRule="auto"/>
        <w:ind w:leftChars="0"/>
        <w:jc w:val="center"/>
        <w:textAlignment w:val="auto"/>
        <w:rPr>
          <w:color w:val="auto"/>
          <w:highlight w:val="none"/>
        </w:rPr>
      </w:pPr>
      <w:bookmarkStart w:id="205" w:name="_Toc8921_WPSOffice_Level2"/>
      <w:bookmarkStart w:id="206" w:name="_Toc9878_WPSOffice_Level2"/>
      <w:bookmarkStart w:id="207" w:name="_Toc11156_WPSOffice_Level2"/>
      <w:bookmarkStart w:id="208" w:name="_Toc13019_WPSOffice_Level2"/>
      <w:r>
        <w:rPr>
          <w:rFonts w:hint="eastAsia"/>
          <w:color w:val="auto"/>
          <w:highlight w:val="none"/>
        </w:rPr>
        <w:t>全面提升社会治理现代化水平</w:t>
      </w:r>
      <w:bookmarkEnd w:id="204"/>
      <w:bookmarkEnd w:id="205"/>
      <w:bookmarkEnd w:id="206"/>
      <w:bookmarkEnd w:id="207"/>
      <w:bookmarkEnd w:id="208"/>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坚定不移走中国特色社会主义法治道路，坚持和完善以海南自由贸易港法为基础的法治体系，全面提升社会治理法治化水平，防范和化解</w:t>
      </w:r>
      <w:r>
        <w:rPr>
          <w:rFonts w:hint="eastAsia" w:ascii="仿宋_GB2312" w:eastAsia="仿宋_GB2312"/>
          <w:color w:val="auto"/>
          <w:sz w:val="32"/>
          <w:szCs w:val="32"/>
          <w:highlight w:val="none"/>
          <w:lang w:val="en-US" w:eastAsia="zh-CN"/>
        </w:rPr>
        <w:t>各类风险，建设人人有责、人人尽责、人人享有的社会治理共同体。</w:t>
      </w:r>
    </w:p>
    <w:p>
      <w:pPr>
        <w:pStyle w:val="4"/>
        <w:pageBreakBefore w:val="0"/>
        <w:kinsoku/>
        <w:wordWrap/>
        <w:overflowPunct/>
        <w:topLinePunct w:val="0"/>
        <w:autoSpaceDE/>
        <w:autoSpaceDN/>
        <w:bidi w:val="0"/>
        <w:adjustRightInd/>
        <w:snapToGrid/>
        <w:spacing w:line="560" w:lineRule="exact"/>
        <w:textAlignment w:val="auto"/>
        <w:rPr>
          <w:color w:val="auto"/>
          <w:highlight w:val="none"/>
        </w:rPr>
      </w:pPr>
      <w:bookmarkStart w:id="209" w:name="_Toc57914219"/>
      <w:bookmarkStart w:id="210" w:name="_Toc29057_WPSOffice_Level2"/>
      <w:bookmarkStart w:id="211" w:name="_Toc23610_WPSOffice_Level2"/>
      <w:bookmarkStart w:id="212" w:name="_Toc5016_WPSOffice_Level2"/>
      <w:r>
        <w:rPr>
          <w:rFonts w:hint="eastAsia"/>
          <w:color w:val="auto"/>
          <w:highlight w:val="none"/>
        </w:rPr>
        <w:t>第</w:t>
      </w:r>
      <w:r>
        <w:rPr>
          <w:rFonts w:hint="eastAsia"/>
          <w:color w:val="auto"/>
          <w:highlight w:val="none"/>
          <w:lang w:eastAsia="zh-CN"/>
        </w:rPr>
        <w:t>一</w:t>
      </w:r>
      <w:r>
        <w:rPr>
          <w:rFonts w:hint="eastAsia"/>
          <w:color w:val="auto"/>
          <w:highlight w:val="none"/>
        </w:rPr>
        <w:t>节</w:t>
      </w:r>
      <w:r>
        <w:rPr>
          <w:color w:val="auto"/>
          <w:highlight w:val="none"/>
        </w:rPr>
        <w:t xml:space="preserve"> </w:t>
      </w:r>
      <w:bookmarkEnd w:id="209"/>
      <w:r>
        <w:rPr>
          <w:rFonts w:hint="eastAsia"/>
          <w:color w:val="auto"/>
          <w:highlight w:val="none"/>
          <w:lang w:eastAsia="zh-CN"/>
        </w:rPr>
        <w:t>全面推进法治儋州建设</w:t>
      </w:r>
      <w:bookmarkEnd w:id="210"/>
      <w:bookmarkEnd w:id="211"/>
      <w:bookmarkEnd w:id="212"/>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color w:val="auto"/>
          <w:sz w:val="32"/>
          <w:szCs w:val="32"/>
          <w:highlight w:val="none"/>
          <w:lang w:val="en-US" w:eastAsia="zh-CN"/>
        </w:rPr>
      </w:pPr>
      <w:r>
        <w:rPr>
          <w:rFonts w:hint="default" w:ascii="仿宋_GB2312" w:eastAsia="仿宋_GB2312"/>
          <w:b/>
          <w:bCs/>
          <w:color w:val="auto"/>
          <w:sz w:val="32"/>
          <w:szCs w:val="32"/>
          <w:highlight w:val="none"/>
          <w:lang w:val="en-US" w:eastAsia="zh-CN"/>
        </w:rPr>
        <w:t>坚持党对全面依法治市的领导</w:t>
      </w:r>
      <w:r>
        <w:rPr>
          <w:rFonts w:hint="eastAsia" w:ascii="仿宋_GB2312" w:eastAsia="仿宋_GB2312"/>
          <w:b/>
          <w:bCs/>
          <w:color w:val="auto"/>
          <w:sz w:val="32"/>
          <w:szCs w:val="32"/>
          <w:highlight w:val="none"/>
          <w:lang w:val="en-US" w:eastAsia="zh-CN"/>
        </w:rPr>
        <w:t>。</w:t>
      </w:r>
      <w:r>
        <w:rPr>
          <w:rFonts w:hint="default" w:ascii="仿宋_GB2312" w:eastAsia="仿宋_GB2312"/>
          <w:color w:val="auto"/>
          <w:sz w:val="32"/>
          <w:szCs w:val="32"/>
          <w:highlight w:val="none"/>
          <w:lang w:val="en-US" w:eastAsia="zh-CN"/>
        </w:rPr>
        <w:t>全面推进依法治市，共同推进依法治市、依法执政、依法行政，一体化推进法治城市、法治政府、法治社会建设。</w:t>
      </w:r>
      <w:r>
        <w:rPr>
          <w:rFonts w:hint="eastAsia" w:ascii="仿宋_GB2312" w:eastAsia="仿宋_GB2312"/>
          <w:color w:val="auto"/>
          <w:sz w:val="32"/>
          <w:szCs w:val="32"/>
          <w:highlight w:val="none"/>
        </w:rPr>
        <w:t>完善党委对立法工作中重大问题的决策程序。</w:t>
      </w:r>
      <w:r>
        <w:rPr>
          <w:rFonts w:hint="default" w:ascii="仿宋_GB2312" w:eastAsia="仿宋_GB2312"/>
          <w:color w:val="auto"/>
          <w:sz w:val="32"/>
          <w:szCs w:val="32"/>
          <w:highlight w:val="none"/>
          <w:lang w:val="en-US" w:eastAsia="zh-CN"/>
        </w:rPr>
        <w:t>坚持和完善人民代表大会制度，加强人大对“一府一委两院”的监督。</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2"/>
        <w:rPr>
          <w:rFonts w:ascii="仿宋_GB2312" w:eastAsia="仿宋_GB2312"/>
          <w:color w:val="auto"/>
          <w:sz w:val="32"/>
          <w:szCs w:val="32"/>
          <w:highlight w:val="none"/>
        </w:rPr>
      </w:pPr>
      <w:r>
        <w:rPr>
          <w:rFonts w:hint="eastAsia" w:ascii="仿宋_GB2312" w:eastAsia="仿宋_GB2312" w:hAnsiTheme="minorHAnsi" w:cstheme="minorBidi"/>
          <w:b/>
          <w:bCs/>
          <w:color w:val="auto"/>
          <w:kern w:val="0"/>
          <w:sz w:val="32"/>
          <w:szCs w:val="32"/>
          <w:highlight w:val="none"/>
        </w:rPr>
        <w:t>加强和改进立法工作</w:t>
      </w:r>
      <w:r>
        <w:rPr>
          <w:rFonts w:hint="eastAsia" w:ascii="仿宋_GB2312" w:eastAsia="仿宋_GB2312" w:hAnsiTheme="minorHAnsi" w:cstheme="minorBidi"/>
          <w:b/>
          <w:bCs/>
          <w:color w:val="auto"/>
          <w:kern w:val="0"/>
          <w:sz w:val="32"/>
          <w:szCs w:val="32"/>
          <w:highlight w:val="none"/>
          <w:lang w:eastAsia="zh-CN"/>
        </w:rPr>
        <w:t>。</w:t>
      </w:r>
      <w:r>
        <w:rPr>
          <w:rFonts w:hint="eastAsia" w:ascii="仿宋_GB2312" w:eastAsia="仿宋_GB2312"/>
          <w:color w:val="auto"/>
          <w:sz w:val="32"/>
          <w:szCs w:val="32"/>
          <w:highlight w:val="none"/>
        </w:rPr>
        <w:t>健全宪法实施制度，坚持以宪法为根本活动准则，弘扬宪法精神。完善地方立法机制</w:t>
      </w:r>
      <w:r>
        <w:rPr>
          <w:rFonts w:hint="eastAsia" w:ascii="仿宋_GB2312" w:eastAsia="仿宋_GB2312"/>
          <w:color w:val="auto"/>
          <w:sz w:val="32"/>
          <w:szCs w:val="32"/>
          <w:highlight w:val="none"/>
          <w:lang w:eastAsia="zh-CN"/>
        </w:rPr>
        <w:t>，</w:t>
      </w:r>
      <w:r>
        <w:rPr>
          <w:rFonts w:hint="default" w:ascii="仿宋_GB2312" w:eastAsia="仿宋_GB2312"/>
          <w:color w:val="auto"/>
          <w:sz w:val="32"/>
          <w:szCs w:val="32"/>
          <w:highlight w:val="none"/>
          <w:lang w:val="en-US" w:eastAsia="zh-CN"/>
        </w:rPr>
        <w:t>争取儋州</w:t>
      </w:r>
      <w:r>
        <w:rPr>
          <w:rFonts w:hint="eastAsia" w:ascii="仿宋_GB2312" w:eastAsia="仿宋_GB2312"/>
          <w:color w:val="auto"/>
          <w:sz w:val="32"/>
          <w:szCs w:val="32"/>
          <w:highlight w:val="none"/>
          <w:lang w:val="en-US" w:eastAsia="zh-CN"/>
        </w:rPr>
        <w:t>地级</w:t>
      </w:r>
      <w:r>
        <w:rPr>
          <w:rFonts w:hint="default" w:ascii="仿宋_GB2312" w:eastAsia="仿宋_GB2312"/>
          <w:color w:val="auto"/>
          <w:sz w:val="32"/>
          <w:szCs w:val="32"/>
          <w:highlight w:val="none"/>
          <w:lang w:val="en-US" w:eastAsia="zh-CN"/>
        </w:rPr>
        <w:t>市地方立法权。</w:t>
      </w:r>
      <w:r>
        <w:rPr>
          <w:rFonts w:hint="eastAsia" w:ascii="仿宋_GB2312" w:eastAsia="仿宋_GB2312"/>
          <w:color w:val="auto"/>
          <w:sz w:val="32"/>
          <w:szCs w:val="32"/>
          <w:highlight w:val="none"/>
        </w:rPr>
        <w:t>推进立法科学化、民主化，坚持立改废释并举，及时修改、废止不适应经济社会发展需要的法规，完善地方法规规章。加强重点领域的立法工作，推进重点领域制度建设，重点加强民生保障</w:t>
      </w:r>
      <w:r>
        <w:rPr>
          <w:rFonts w:ascii="仿宋_GB2312" w:eastAsia="仿宋_GB2312"/>
          <w:color w:val="auto"/>
          <w:sz w:val="32"/>
          <w:szCs w:val="32"/>
          <w:highlight w:val="none"/>
        </w:rPr>
        <w:t>、生态环境保护、</w:t>
      </w:r>
      <w:r>
        <w:rPr>
          <w:rFonts w:hint="eastAsia" w:ascii="仿宋_GB2312" w:eastAsia="仿宋_GB2312"/>
          <w:color w:val="auto"/>
          <w:sz w:val="32"/>
          <w:szCs w:val="32"/>
          <w:highlight w:val="none"/>
        </w:rPr>
        <w:t>社会治理、城乡建设等方面的法治建设。</w:t>
      </w:r>
      <w:r>
        <w:rPr>
          <w:rFonts w:hint="eastAsia" w:ascii="仿宋_GB2312" w:eastAsia="仿宋_GB2312"/>
          <w:color w:val="auto"/>
          <w:sz w:val="32"/>
          <w:szCs w:val="32"/>
          <w:highlight w:val="none"/>
          <w:lang w:eastAsia="zh-CN"/>
        </w:rPr>
        <w:t>规划建设市民中心。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2"/>
        <w:rPr>
          <w:rFonts w:ascii="仿宋_GB2312" w:eastAsia="仿宋_GB2312"/>
          <w:color w:val="auto"/>
          <w:sz w:val="32"/>
          <w:szCs w:val="32"/>
          <w:highlight w:val="none"/>
        </w:rPr>
      </w:pPr>
      <w:r>
        <w:rPr>
          <w:rFonts w:hint="eastAsia" w:ascii="仿宋_GB2312" w:eastAsia="仿宋_GB2312" w:hAnsiTheme="minorHAnsi" w:cstheme="minorBidi"/>
          <w:b/>
          <w:bCs/>
          <w:color w:val="auto"/>
          <w:kern w:val="0"/>
          <w:sz w:val="32"/>
          <w:szCs w:val="32"/>
          <w:highlight w:val="none"/>
        </w:rPr>
        <w:t>加强法治政府建设</w:t>
      </w:r>
      <w:r>
        <w:rPr>
          <w:rFonts w:hint="eastAsia" w:ascii="仿宋_GB2312" w:eastAsia="仿宋_GB2312" w:hAnsiTheme="minorHAnsi" w:cstheme="minorBidi"/>
          <w:b/>
          <w:bCs/>
          <w:color w:val="auto"/>
          <w:kern w:val="0"/>
          <w:sz w:val="32"/>
          <w:szCs w:val="32"/>
          <w:highlight w:val="none"/>
          <w:lang w:eastAsia="zh-CN"/>
        </w:rPr>
        <w:t>。</w:t>
      </w:r>
      <w:r>
        <w:rPr>
          <w:rFonts w:hint="eastAsia" w:ascii="仿宋_GB2312" w:eastAsia="仿宋_GB2312"/>
          <w:color w:val="auto"/>
          <w:sz w:val="32"/>
          <w:szCs w:val="32"/>
          <w:highlight w:val="none"/>
        </w:rPr>
        <w:t>完善依法治市委员会议事规则、办公室工作职责、依法治市考核测评细则；完善法治政府建设督察机制，发挥督察结果督促、倒逼、问责、激励等功能作用；</w:t>
      </w:r>
      <w:r>
        <w:rPr>
          <w:rFonts w:hint="default" w:ascii="仿宋_GB2312" w:eastAsia="仿宋_GB2312"/>
          <w:color w:val="auto"/>
          <w:sz w:val="32"/>
          <w:szCs w:val="32"/>
          <w:highlight w:val="none"/>
          <w:lang w:val="en-US" w:eastAsia="zh-CN"/>
        </w:rPr>
        <w:t>加强高素质法治工作队伍建设</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完善行政执法人员管理制度</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加强行政执法监督，及时处理政府涉诉涉法问题；完善行政复议应诉工作，落实好行政机关负责人出庭应诉制度。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2"/>
        <w:rPr>
          <w:rFonts w:ascii="仿宋_GB2312" w:eastAsia="仿宋_GB2312"/>
          <w:bCs/>
          <w:color w:val="auto"/>
          <w:highlight w:val="none"/>
        </w:rPr>
      </w:pPr>
      <w:r>
        <w:rPr>
          <w:rFonts w:hint="eastAsia" w:ascii="仿宋_GB2312" w:eastAsia="仿宋_GB2312" w:hAnsiTheme="minorHAnsi" w:cstheme="minorBidi"/>
          <w:b/>
          <w:bCs/>
          <w:color w:val="auto"/>
          <w:kern w:val="0"/>
          <w:sz w:val="32"/>
          <w:szCs w:val="32"/>
          <w:highlight w:val="none"/>
        </w:rPr>
        <w:t>加强司法公正</w:t>
      </w:r>
      <w:r>
        <w:rPr>
          <w:rFonts w:hint="eastAsia" w:ascii="仿宋_GB2312" w:eastAsia="仿宋_GB2312" w:hAnsiTheme="minorHAnsi" w:cstheme="minorBidi"/>
          <w:b/>
          <w:bCs/>
          <w:color w:val="auto"/>
          <w:kern w:val="0"/>
          <w:sz w:val="32"/>
          <w:szCs w:val="32"/>
          <w:highlight w:val="none"/>
          <w:lang w:eastAsia="zh-CN"/>
        </w:rPr>
        <w:t>。</w:t>
      </w:r>
      <w:r>
        <w:rPr>
          <w:rFonts w:hint="default" w:ascii="仿宋_GB2312" w:eastAsia="仿宋_GB2312"/>
          <w:color w:val="auto"/>
          <w:sz w:val="32"/>
          <w:szCs w:val="32"/>
          <w:highlight w:val="none"/>
          <w:lang w:val="en-US" w:eastAsia="zh-CN"/>
        </w:rPr>
        <w:t>持续推进综合行政执法改革和行政复议体制改革。严格规范公正文明执法，全面落实行政执法责任制，深化行政执法“三项制度”全覆盖。加快推进执法司法制约监督体系改革和建设，全面提升执法司法公信力。加快推进公共法律服务体系建设。加强法治宣传教育，不断提升全体公民法治意识和法治素养。</w:t>
      </w:r>
      <w:r>
        <w:rPr>
          <w:rFonts w:hint="eastAsia" w:ascii="仿宋_GB2312" w:eastAsia="仿宋_GB2312"/>
          <w:color w:val="auto"/>
          <w:sz w:val="32"/>
          <w:szCs w:val="32"/>
          <w:highlight w:val="none"/>
        </w:rPr>
        <w:t>打造全市公共法律服务平台，提高公共法律服务科技化水平，实现法律援助网上申请，公证预约。积极发挥司法行政职能作用,构建儋州特色，形成部门协作、上下联动、齐抓共管、多元化解的矛盾纠纷调解大格局。持续推进刑罚执行一体化建设，进一步探索社会力量参与社市矫正工作，提炼“智慧矫正”工作经验办法。</w:t>
      </w:r>
    </w:p>
    <w:p>
      <w:pPr>
        <w:pStyle w:val="4"/>
        <w:pageBreakBefore w:val="0"/>
        <w:kinsoku/>
        <w:wordWrap/>
        <w:overflowPunct/>
        <w:topLinePunct w:val="0"/>
        <w:autoSpaceDE/>
        <w:autoSpaceDN/>
        <w:bidi w:val="0"/>
        <w:adjustRightInd/>
        <w:snapToGrid/>
        <w:spacing w:line="560" w:lineRule="exact"/>
        <w:textAlignment w:val="auto"/>
        <w:rPr>
          <w:color w:val="auto"/>
          <w:highlight w:val="none"/>
        </w:rPr>
      </w:pPr>
      <w:bookmarkStart w:id="213" w:name="_Toc57914220"/>
      <w:bookmarkStart w:id="214" w:name="_Toc21021_WPSOffice_Level2"/>
      <w:bookmarkStart w:id="215" w:name="_Toc3593_WPSOffice_Level2"/>
      <w:bookmarkStart w:id="216" w:name="_Toc2518_WPSOffice_Level2"/>
      <w:r>
        <w:rPr>
          <w:rFonts w:hint="eastAsia"/>
          <w:color w:val="auto"/>
          <w:highlight w:val="none"/>
        </w:rPr>
        <w:t>第</w:t>
      </w:r>
      <w:r>
        <w:rPr>
          <w:rFonts w:hint="eastAsia"/>
          <w:color w:val="auto"/>
          <w:highlight w:val="none"/>
          <w:lang w:eastAsia="zh-CN"/>
        </w:rPr>
        <w:t>二</w:t>
      </w:r>
      <w:r>
        <w:rPr>
          <w:rFonts w:hint="eastAsia"/>
          <w:color w:val="auto"/>
          <w:highlight w:val="none"/>
        </w:rPr>
        <w:t>节</w:t>
      </w:r>
      <w:r>
        <w:rPr>
          <w:color w:val="auto"/>
          <w:highlight w:val="none"/>
        </w:rPr>
        <w:t xml:space="preserve"> </w:t>
      </w:r>
      <w:bookmarkEnd w:id="213"/>
      <w:r>
        <w:rPr>
          <w:rFonts w:hint="eastAsia"/>
          <w:color w:val="auto"/>
          <w:highlight w:val="none"/>
          <w:lang w:eastAsia="zh-CN"/>
        </w:rPr>
        <w:t>持续推进平安儋州建设</w:t>
      </w:r>
      <w:bookmarkEnd w:id="214"/>
      <w:bookmarkEnd w:id="215"/>
      <w:bookmarkEnd w:id="216"/>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仿宋" w:eastAsia="仿宋_GB2312" w:cs="仿宋"/>
          <w:b/>
          <w:bCs/>
          <w:color w:val="auto"/>
          <w:kern w:val="0"/>
          <w:sz w:val="32"/>
          <w:szCs w:val="32"/>
          <w:highlight w:val="none"/>
          <w:shd w:val="clear" w:color="auto" w:fill="FFFFFF"/>
        </w:rPr>
      </w:pPr>
      <w:r>
        <w:rPr>
          <w:rFonts w:hint="eastAsia" w:ascii="仿宋_GB2312" w:hAnsi="仿宋" w:eastAsia="仿宋_GB2312" w:cs="仿宋"/>
          <w:b/>
          <w:bCs/>
          <w:color w:val="auto"/>
          <w:kern w:val="0"/>
          <w:sz w:val="32"/>
          <w:szCs w:val="32"/>
          <w:highlight w:val="none"/>
          <w:shd w:val="clear" w:color="auto" w:fill="FFFFFF"/>
        </w:rPr>
        <w:t>加强社会治理制度建设</w:t>
      </w:r>
      <w:r>
        <w:rPr>
          <w:rFonts w:hint="eastAsia" w:ascii="仿宋_GB2312" w:hAnsi="仿宋" w:eastAsia="仿宋_GB2312" w:cs="仿宋"/>
          <w:b/>
          <w:bCs/>
          <w:color w:val="auto"/>
          <w:kern w:val="0"/>
          <w:sz w:val="32"/>
          <w:szCs w:val="32"/>
          <w:highlight w:val="none"/>
          <w:shd w:val="clear" w:color="auto" w:fill="FFFFFF"/>
          <w:lang w:eastAsia="zh-CN"/>
        </w:rPr>
        <w:t>。</w:t>
      </w:r>
      <w:r>
        <w:rPr>
          <w:rFonts w:hint="eastAsia" w:ascii="仿宋_GB2312" w:hAnsi="仿宋" w:eastAsia="仿宋_GB2312" w:cs="仿宋"/>
          <w:b w:val="0"/>
          <w:bCs w:val="0"/>
          <w:color w:val="auto"/>
          <w:kern w:val="0"/>
          <w:sz w:val="32"/>
          <w:szCs w:val="32"/>
          <w:highlight w:val="none"/>
          <w:shd w:val="clear" w:color="auto" w:fill="FFFFFF"/>
        </w:rPr>
        <w:t>建立健全党委领导、政府负责、社会协同、公众参与、法治保障的社会治理体制。推进全国市域社会治理现代化试点创建工作。</w:t>
      </w:r>
      <w:r>
        <w:rPr>
          <w:rFonts w:hint="eastAsia" w:ascii="仿宋_GB2312" w:hAnsi="仿宋" w:eastAsia="仿宋_GB2312" w:cs="仿宋"/>
          <w:b w:val="0"/>
          <w:bCs w:val="0"/>
          <w:color w:val="auto"/>
          <w:kern w:val="0"/>
          <w:sz w:val="32"/>
          <w:szCs w:val="32"/>
          <w:highlight w:val="none"/>
          <w:shd w:val="clear" w:color="auto" w:fill="FFFFFF"/>
          <w:lang w:eastAsia="zh-CN"/>
        </w:rPr>
        <w:t>深化</w:t>
      </w:r>
      <w:r>
        <w:rPr>
          <w:rFonts w:hint="eastAsia" w:ascii="仿宋_GB2312" w:hAnsi="仿宋" w:eastAsia="仿宋_GB2312" w:cs="仿宋"/>
          <w:b w:val="0"/>
          <w:bCs w:val="0"/>
          <w:color w:val="auto"/>
          <w:kern w:val="0"/>
          <w:sz w:val="32"/>
          <w:szCs w:val="32"/>
          <w:highlight w:val="none"/>
          <w:shd w:val="clear" w:color="auto" w:fill="FFFFFF"/>
        </w:rPr>
        <w:t>基层社会治理体系</w:t>
      </w:r>
      <w:r>
        <w:rPr>
          <w:rFonts w:hint="eastAsia" w:ascii="仿宋_GB2312" w:hAnsi="仿宋" w:eastAsia="仿宋_GB2312" w:cs="仿宋"/>
          <w:b w:val="0"/>
          <w:bCs w:val="0"/>
          <w:color w:val="auto"/>
          <w:kern w:val="0"/>
          <w:sz w:val="32"/>
          <w:szCs w:val="32"/>
          <w:highlight w:val="none"/>
          <w:shd w:val="clear" w:color="auto" w:fill="FFFFFF"/>
          <w:lang w:eastAsia="zh-CN"/>
        </w:rPr>
        <w:t>建设。</w:t>
      </w:r>
      <w:r>
        <w:rPr>
          <w:rFonts w:hint="eastAsia" w:ascii="仿宋_GB2312" w:eastAsia="仿宋_GB2312"/>
          <w:color w:val="auto"/>
          <w:sz w:val="32"/>
          <w:szCs w:val="32"/>
          <w:highlight w:val="none"/>
          <w:lang w:eastAsia="zh-CN"/>
        </w:rPr>
        <w:t>赋予社区更大的基层治理权限，加快社区服务与治理创新。</w:t>
      </w:r>
      <w:r>
        <w:rPr>
          <w:rFonts w:hint="eastAsia" w:ascii="仿宋_GB2312" w:hAnsi="仿宋" w:eastAsia="仿宋_GB2312" w:cs="仿宋"/>
          <w:color w:val="auto"/>
          <w:kern w:val="0"/>
          <w:sz w:val="32"/>
          <w:szCs w:val="32"/>
          <w:highlight w:val="none"/>
          <w:shd w:val="clear" w:color="auto" w:fill="FFFFFF"/>
        </w:rPr>
        <w:t>健全基层自治制度，完善“一</w:t>
      </w:r>
      <w:r>
        <w:rPr>
          <w:rFonts w:hint="eastAsia" w:ascii="仿宋_GB2312" w:hAnsi="仿宋" w:eastAsia="仿宋_GB2312" w:cs="仿宋"/>
          <w:color w:val="auto"/>
          <w:kern w:val="0"/>
          <w:sz w:val="32"/>
          <w:szCs w:val="32"/>
          <w:highlight w:val="none"/>
          <w:shd w:val="clear" w:color="auto" w:fill="FFFFFF"/>
          <w:lang w:eastAsia="zh-CN"/>
        </w:rPr>
        <w:t>核</w:t>
      </w:r>
      <w:r>
        <w:rPr>
          <w:rFonts w:hint="eastAsia" w:ascii="仿宋_GB2312" w:hAnsi="仿宋" w:eastAsia="仿宋_GB2312" w:cs="仿宋"/>
          <w:color w:val="auto"/>
          <w:kern w:val="0"/>
          <w:sz w:val="32"/>
          <w:szCs w:val="32"/>
          <w:highlight w:val="none"/>
          <w:shd w:val="clear" w:color="auto" w:fill="FFFFFF"/>
        </w:rPr>
        <w:t>两委一会”乡村治理机制。</w:t>
      </w:r>
      <w:r>
        <w:rPr>
          <w:rFonts w:hint="eastAsia" w:ascii="仿宋_GB2312" w:hAnsi="仿宋" w:eastAsia="仿宋_GB2312" w:cs="仿宋"/>
          <w:b w:val="0"/>
          <w:bCs w:val="0"/>
          <w:color w:val="auto"/>
          <w:kern w:val="0"/>
          <w:sz w:val="32"/>
          <w:szCs w:val="32"/>
          <w:highlight w:val="none"/>
          <w:shd w:val="clear" w:color="auto" w:fill="FFFFFF"/>
        </w:rPr>
        <w:t>大力推进综治中心、社会管理信息化平台、网格化服务管理、矛盾纠纷多元化解“四位一体”新机制建设，实现市镇村三级综治网格系统全覆盖。</w:t>
      </w:r>
      <w:r>
        <w:rPr>
          <w:rFonts w:hint="eastAsia" w:ascii="仿宋_GB2312" w:hAnsi="仿宋" w:eastAsia="仿宋_GB2312" w:cs="仿宋"/>
          <w:b w:val="0"/>
          <w:bCs w:val="0"/>
          <w:color w:val="auto"/>
          <w:kern w:val="0"/>
          <w:sz w:val="32"/>
          <w:szCs w:val="32"/>
          <w:highlight w:val="none"/>
          <w:shd w:val="clear" w:color="auto" w:fill="FFFFFF"/>
          <w:lang w:eastAsia="zh-CN"/>
        </w:rPr>
        <w:t>持续加大市场监管力度，</w:t>
      </w:r>
      <w:r>
        <w:rPr>
          <w:rFonts w:hint="eastAsia" w:ascii="仿宋_GB2312" w:eastAsia="仿宋_GB2312"/>
          <w:color w:val="auto"/>
          <w:sz w:val="32"/>
          <w:szCs w:val="32"/>
          <w:highlight w:val="none"/>
        </w:rPr>
        <w:t>深入推进重点环节、重点领域食品药品安全专项整治</w:t>
      </w:r>
      <w:r>
        <w:rPr>
          <w:rFonts w:hint="eastAsia" w:ascii="仿宋_GB2312" w:eastAsia="仿宋_GB2312"/>
          <w:color w:val="auto"/>
          <w:sz w:val="32"/>
          <w:szCs w:val="32"/>
          <w:highlight w:val="none"/>
          <w:lang w:eastAsia="zh-CN"/>
        </w:rPr>
        <w:t>。赋予行业组织更大自主权，发挥其在市场秩序维护、标准制定实施、行业纠纷调处中的重要作用。</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
          <w:b/>
          <w:bCs/>
          <w:color w:val="auto"/>
          <w:kern w:val="0"/>
          <w:sz w:val="32"/>
          <w:szCs w:val="32"/>
          <w:highlight w:val="none"/>
          <w:shd w:val="clear" w:color="auto" w:fill="FFFFFF"/>
        </w:rPr>
      </w:pPr>
      <w:r>
        <w:rPr>
          <w:rFonts w:hint="eastAsia" w:ascii="仿宋_GB2312" w:hAnsi="仿宋" w:eastAsia="仿宋_GB2312" w:cs="仿宋"/>
          <w:b/>
          <w:bCs/>
          <w:color w:val="auto"/>
          <w:kern w:val="0"/>
          <w:sz w:val="32"/>
          <w:szCs w:val="32"/>
          <w:highlight w:val="none"/>
          <w:shd w:val="clear" w:color="auto" w:fill="FFFFFF"/>
        </w:rPr>
        <w:t>加强政法基层基础建设。</w:t>
      </w:r>
      <w:r>
        <w:rPr>
          <w:rFonts w:hint="eastAsia" w:ascii="仿宋_GB2312" w:hAnsi="仿宋" w:eastAsia="仿宋_GB2312" w:cs="仿宋"/>
          <w:b w:val="0"/>
          <w:bCs w:val="0"/>
          <w:color w:val="auto"/>
          <w:kern w:val="0"/>
          <w:sz w:val="32"/>
          <w:szCs w:val="32"/>
          <w:highlight w:val="none"/>
          <w:shd w:val="clear" w:color="auto" w:fill="FFFFFF"/>
        </w:rPr>
        <w:t>加快推进社会管理信息化平台指挥中心建设，建立健全立体化、信息化、智能化社会治安防控体系，创建标准化“智慧平安社区”。</w:t>
      </w:r>
      <w:r>
        <w:rPr>
          <w:rFonts w:hint="eastAsia" w:ascii="仿宋_GB2312" w:eastAsia="仿宋_GB2312"/>
          <w:color w:val="auto"/>
          <w:sz w:val="32"/>
          <w:szCs w:val="32"/>
          <w:highlight w:val="none"/>
        </w:rPr>
        <w:t>加强公安基础设施建设</w:t>
      </w:r>
      <w:r>
        <w:rPr>
          <w:rFonts w:hint="eastAsia" w:ascii="仿宋_GB2312" w:eastAsia="仿宋_GB2312"/>
          <w:color w:val="auto"/>
          <w:sz w:val="32"/>
          <w:szCs w:val="32"/>
          <w:highlight w:val="none"/>
          <w:lang w:eastAsia="zh-CN"/>
        </w:rPr>
        <w:t>，推进</w:t>
      </w:r>
      <w:r>
        <w:rPr>
          <w:rFonts w:hint="eastAsia" w:ascii="仿宋_GB2312" w:eastAsia="仿宋_GB2312"/>
          <w:color w:val="auto"/>
          <w:sz w:val="32"/>
          <w:szCs w:val="32"/>
          <w:highlight w:val="none"/>
          <w:lang w:val="en-US" w:eastAsia="zh-CN"/>
        </w:rPr>
        <w:t>市公安执法办案管理中心、市第一看守所等项目建设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推进边海防立体信息化体系建设，推动边防、海防基础设施提档升级，提升边海防管控能力。</w:t>
      </w:r>
      <w:r>
        <w:rPr>
          <w:rFonts w:hint="eastAsia" w:ascii="仿宋_GB2312" w:hAnsi="仿宋" w:eastAsia="仿宋_GB2312" w:cs="仿宋"/>
          <w:b w:val="0"/>
          <w:bCs w:val="0"/>
          <w:color w:val="auto"/>
          <w:kern w:val="0"/>
          <w:sz w:val="32"/>
          <w:szCs w:val="32"/>
          <w:highlight w:val="none"/>
          <w:shd w:val="clear" w:color="auto" w:fill="FFFFFF"/>
        </w:rPr>
        <w:t>加强未成年人保护和预防犯罪工作，加快推进专门学校建设。</w:t>
      </w:r>
    </w:p>
    <w:p>
      <w:pPr>
        <w:keepNext w:val="0"/>
        <w:keepLines w:val="0"/>
        <w:pageBreakBefore w:val="0"/>
        <w:widowControl/>
        <w:numPr>
          <w:ilvl w:val="0"/>
          <w:numId w:val="0"/>
        </w:numPr>
        <w:kinsoku/>
        <w:wordWrap/>
        <w:overflowPunct/>
        <w:topLinePunct w:val="0"/>
        <w:autoSpaceDE/>
        <w:autoSpaceDN/>
        <w:bidi w:val="0"/>
        <w:adjustRightInd/>
        <w:snapToGrid/>
        <w:spacing w:after="160" w:line="580" w:lineRule="exact"/>
        <w:ind w:firstLine="643" w:firstLineChars="200"/>
        <w:jc w:val="left"/>
        <w:textAlignment w:val="auto"/>
        <w:outlineLvl w:val="2"/>
        <w:rPr>
          <w:rFonts w:ascii="仿宋_GB2312" w:eastAsia="仿宋_GB2312"/>
          <w:color w:val="auto"/>
          <w:sz w:val="32"/>
          <w:szCs w:val="32"/>
          <w:highlight w:val="none"/>
        </w:rPr>
      </w:pPr>
      <w:r>
        <w:rPr>
          <w:rFonts w:hint="eastAsia" w:ascii="仿宋_GB2312" w:eastAsia="仿宋_GB2312" w:hAnsiTheme="minorHAnsi" w:cstheme="minorBidi"/>
          <w:b/>
          <w:bCs/>
          <w:color w:val="auto"/>
          <w:kern w:val="0"/>
          <w:sz w:val="32"/>
          <w:szCs w:val="32"/>
          <w:highlight w:val="none"/>
        </w:rPr>
        <w:t>加强社会治安综合治理</w:t>
      </w:r>
      <w:r>
        <w:rPr>
          <w:rFonts w:hint="eastAsia" w:ascii="仿宋_GB2312" w:eastAsia="仿宋_GB2312" w:hAnsiTheme="minorHAnsi" w:cstheme="minorBidi"/>
          <w:b/>
          <w:bCs/>
          <w:color w:val="auto"/>
          <w:kern w:val="0"/>
          <w:sz w:val="32"/>
          <w:szCs w:val="32"/>
          <w:highlight w:val="none"/>
          <w:lang w:eastAsia="zh-CN"/>
        </w:rPr>
        <w:t>。</w:t>
      </w:r>
      <w:r>
        <w:rPr>
          <w:rFonts w:hint="eastAsia" w:ascii="仿宋_GB2312" w:hAnsi="仿宋" w:eastAsia="仿宋_GB2312" w:cs="仿宋"/>
          <w:b w:val="0"/>
          <w:bCs w:val="0"/>
          <w:color w:val="auto"/>
          <w:kern w:val="0"/>
          <w:sz w:val="32"/>
          <w:szCs w:val="32"/>
          <w:highlight w:val="none"/>
          <w:shd w:val="clear" w:color="auto" w:fill="FFFFFF"/>
        </w:rPr>
        <w:t>坚决守住不搞“黄赌毒”的底线，严厉打击黑恶势力、新型网络犯罪。</w:t>
      </w:r>
      <w:r>
        <w:rPr>
          <w:rFonts w:hint="eastAsia" w:ascii="仿宋_GB2312" w:eastAsia="仿宋_GB2312"/>
          <w:color w:val="auto"/>
          <w:sz w:val="32"/>
          <w:szCs w:val="32"/>
          <w:highlight w:val="none"/>
        </w:rPr>
        <w:t>继续推进综合执法体制改革。纵深推进扫黑除恶、新一轮禁毒三年大会战等专项行动，坚实执行反走私工作，扎实推进“三无”船舶清理整治工作，加快建设公共安全视频监控联网应用项目。</w:t>
      </w:r>
    </w:p>
    <w:p>
      <w:pPr>
        <w:pStyle w:val="4"/>
        <w:pageBreakBefore w:val="0"/>
        <w:kinsoku/>
        <w:wordWrap/>
        <w:overflowPunct/>
        <w:topLinePunct w:val="0"/>
        <w:autoSpaceDE/>
        <w:autoSpaceDN/>
        <w:bidi w:val="0"/>
        <w:adjustRightInd/>
        <w:snapToGrid/>
        <w:spacing w:line="560" w:lineRule="exact"/>
        <w:textAlignment w:val="auto"/>
        <w:rPr>
          <w:rFonts w:hint="eastAsia"/>
          <w:color w:val="auto"/>
          <w:highlight w:val="none"/>
        </w:rPr>
      </w:pPr>
      <w:bookmarkStart w:id="217" w:name="_Toc22588_WPSOffice_Level2"/>
      <w:bookmarkStart w:id="218" w:name="_Toc20545_WPSOffice_Level2"/>
      <w:bookmarkStart w:id="219" w:name="_Toc24485_WPSOffice_Level2"/>
      <w:r>
        <w:rPr>
          <w:rFonts w:hint="eastAsia"/>
          <w:color w:val="auto"/>
          <w:highlight w:val="none"/>
          <w:lang w:eastAsia="zh-CN"/>
        </w:rPr>
        <w:t xml:space="preserve">第三节 </w:t>
      </w:r>
      <w:bookmarkEnd w:id="217"/>
      <w:r>
        <w:rPr>
          <w:rFonts w:hint="eastAsia"/>
          <w:color w:val="auto"/>
          <w:highlight w:val="none"/>
          <w:lang w:eastAsia="zh-CN"/>
        </w:rPr>
        <w:t>坚持安全发展理念</w:t>
      </w:r>
      <w:bookmarkEnd w:id="218"/>
      <w:bookmarkEnd w:id="219"/>
    </w:p>
    <w:p>
      <w:pPr>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提升防范和化解重大风险的治理能力</w:t>
      </w:r>
      <w:r>
        <w:rPr>
          <w:rFonts w:hint="eastAsia" w:ascii="仿宋_GB2312" w:eastAsia="仿宋_GB2312"/>
          <w:b/>
          <w:bCs/>
          <w:color w:val="auto"/>
          <w:sz w:val="32"/>
          <w:szCs w:val="32"/>
          <w:highlight w:val="none"/>
          <w:lang w:eastAsia="zh-CN"/>
        </w:rPr>
        <w:t>。</w:t>
      </w:r>
      <w:r>
        <w:rPr>
          <w:rFonts w:hint="eastAsia" w:ascii="仿宋_GB2312" w:eastAsia="仿宋_GB2312"/>
          <w:b w:val="0"/>
          <w:bCs w:val="0"/>
          <w:color w:val="auto"/>
          <w:sz w:val="32"/>
          <w:szCs w:val="32"/>
          <w:highlight w:val="none"/>
          <w:lang w:eastAsia="zh-CN"/>
        </w:rPr>
        <w:t>树立底线思维，</w:t>
      </w:r>
      <w:r>
        <w:rPr>
          <w:rFonts w:hint="eastAsia" w:ascii="仿宋_GB2312" w:eastAsia="仿宋_GB2312"/>
          <w:b w:val="0"/>
          <w:bCs w:val="0"/>
          <w:color w:val="auto"/>
          <w:sz w:val="32"/>
          <w:szCs w:val="32"/>
          <w:highlight w:val="none"/>
        </w:rPr>
        <w:t>确保不发生系统性风险。贯彻总体国家安全观，坚决维护国家政治安全</w:t>
      </w:r>
      <w:r>
        <w:rPr>
          <w:rFonts w:hint="eastAsia" w:ascii="仿宋_GB2312" w:eastAsia="仿宋_GB2312"/>
          <w:b w:val="0"/>
          <w:bCs w:val="0"/>
          <w:color w:val="auto"/>
          <w:sz w:val="32"/>
          <w:szCs w:val="32"/>
          <w:highlight w:val="none"/>
          <w:lang w:eastAsia="zh-CN"/>
        </w:rPr>
        <w:t>，创建国家安全发展示范城市</w:t>
      </w:r>
      <w:r>
        <w:rPr>
          <w:rFonts w:hint="eastAsia" w:ascii="仿宋_GB2312" w:eastAsia="仿宋_GB2312"/>
          <w:b w:val="0"/>
          <w:bCs w:val="0"/>
          <w:color w:val="auto"/>
          <w:sz w:val="32"/>
          <w:szCs w:val="32"/>
          <w:highlight w:val="none"/>
        </w:rPr>
        <w:t>。依法打击走私行为，加强反走私联防联控。加强税收综合监管，防范和打击逃税行为。着力化解房地产领域、重大土地纠纷、重大历史遗留问题的风险隐患，着力防范化解涉众型经济案件风险，加强社会稳定风险评估工作。健全安全生产机制，完善安全生产应急救援设施建设。加强生态环境安全、生物安全、食品安全、药品安全、产品质量安全管控。强化舆情研判及响应机制，提高舆论引导和舆情应对能力，防范推进改革开放过程中意识形态领域存在的风险。</w:t>
      </w:r>
    </w:p>
    <w:p>
      <w:pPr>
        <w:pageBreakBefore w:val="0"/>
        <w:kinsoku/>
        <w:wordWrap/>
        <w:overflowPunct/>
        <w:topLinePunct w:val="0"/>
        <w:autoSpaceDE/>
        <w:autoSpaceDN/>
        <w:bidi w:val="0"/>
        <w:adjustRightInd/>
        <w:snapToGrid/>
        <w:spacing w:line="560" w:lineRule="exact"/>
        <w:ind w:firstLine="643" w:firstLineChars="200"/>
        <w:textAlignment w:val="auto"/>
        <w:outlineLvl w:val="2"/>
        <w:rPr>
          <w:rFonts w:hint="eastAsia"/>
          <w:b/>
          <w:bCs/>
          <w:color w:val="auto"/>
          <w:w w:val="100"/>
          <w:highlight w:val="none"/>
        </w:rPr>
      </w:pPr>
      <w:r>
        <w:rPr>
          <w:rFonts w:hint="eastAsia" w:ascii="仿宋_GB2312" w:eastAsia="仿宋_GB2312"/>
          <w:b/>
          <w:bCs/>
          <w:color w:val="auto"/>
          <w:sz w:val="32"/>
          <w:szCs w:val="32"/>
          <w:highlight w:val="none"/>
        </w:rPr>
        <w:t>完善防灾减灾工程</w:t>
      </w:r>
      <w:r>
        <w:rPr>
          <w:rFonts w:hint="eastAsia" w:ascii="仿宋_GB2312" w:eastAsia="仿宋_GB2312"/>
          <w:b/>
          <w:bCs/>
          <w:color w:val="auto"/>
          <w:sz w:val="32"/>
          <w:szCs w:val="32"/>
          <w:highlight w:val="none"/>
          <w:lang w:eastAsia="zh-CN"/>
        </w:rPr>
        <w:t>。</w:t>
      </w:r>
      <w:r>
        <w:rPr>
          <w:rFonts w:hint="eastAsia" w:ascii="仿宋_GB2312" w:eastAsia="仿宋_GB2312"/>
          <w:b w:val="0"/>
          <w:bCs w:val="0"/>
          <w:color w:val="auto"/>
          <w:sz w:val="32"/>
          <w:szCs w:val="32"/>
          <w:highlight w:val="none"/>
          <w:lang w:eastAsia="zh-CN"/>
        </w:rPr>
        <w:t>完善自然灾害信息管理机制。</w:t>
      </w:r>
      <w:r>
        <w:rPr>
          <w:rFonts w:hint="eastAsia" w:ascii="仿宋_GB2312" w:hAnsi="仿宋_GB2312" w:eastAsia="仿宋_GB2312" w:cs="仿宋_GB2312"/>
          <w:color w:val="auto"/>
          <w:kern w:val="0"/>
          <w:sz w:val="32"/>
          <w:szCs w:val="32"/>
          <w:highlight w:val="none"/>
        </w:rPr>
        <w:t>加强统筹协调，强化应急、水利、自然资源、气象、消防等部门的协调配合，完善灾情会商研判、信息共享、力量调配、技术支撑等工作机制，加强对重点地区、重点时段、重大灾害的综合评估和监测预警，加强新技术的推广应用，提高风险早期识别和预报预警能力；做好应急准备，进一步加强应急救援力量</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加强防洪基础设施建设，推进水利综合整治及堤防工程建设，全面提升水灾害防御能力；加强气象灾害预防体系建设，完善综合气象观测和智能气象预报体系，提升气象灾害预警和防灾保障服务能力；加强地震风险预测和震情跟踪，加快国家地震烈度速报与预警工程建设，推动老旧房屋抗震加固改造；</w:t>
      </w:r>
      <w:r>
        <w:rPr>
          <w:rFonts w:hint="eastAsia" w:ascii="仿宋_GB2312" w:hAnsi="仿宋_GB2312" w:eastAsia="仿宋_GB2312" w:cs="仿宋_GB2312"/>
          <w:color w:val="auto"/>
          <w:kern w:val="0"/>
          <w:sz w:val="32"/>
          <w:szCs w:val="32"/>
          <w:highlight w:val="none"/>
          <w:lang w:eastAsia="zh-CN"/>
        </w:rPr>
        <w:t>提升</w:t>
      </w:r>
      <w:r>
        <w:rPr>
          <w:rFonts w:hint="eastAsia" w:ascii="仿宋_GB2312" w:hAnsi="仿宋_GB2312" w:eastAsia="仿宋_GB2312" w:cs="仿宋_GB2312"/>
          <w:color w:val="auto"/>
          <w:kern w:val="0"/>
          <w:sz w:val="32"/>
          <w:szCs w:val="32"/>
          <w:highlight w:val="none"/>
        </w:rPr>
        <w:t>综合性消防救援队伍能力，</w:t>
      </w:r>
      <w:r>
        <w:rPr>
          <w:rFonts w:hint="eastAsia" w:ascii="仿宋_GB2312" w:hAnsi="仿宋_GB2312" w:eastAsia="仿宋_GB2312" w:cs="仿宋_GB2312"/>
          <w:color w:val="auto"/>
          <w:kern w:val="0"/>
          <w:sz w:val="32"/>
          <w:szCs w:val="32"/>
          <w:highlight w:val="none"/>
          <w:lang w:eastAsia="zh-CN"/>
        </w:rPr>
        <w:t>加强消防安全设施建设，</w:t>
      </w:r>
      <w:r>
        <w:rPr>
          <w:rFonts w:hint="eastAsia" w:ascii="仿宋_GB2312" w:hAnsi="仿宋_GB2312" w:eastAsia="仿宋_GB2312" w:cs="仿宋_GB2312"/>
          <w:color w:val="auto"/>
          <w:kern w:val="0"/>
          <w:sz w:val="32"/>
          <w:szCs w:val="32"/>
          <w:highlight w:val="none"/>
        </w:rPr>
        <w:t>加强救灾物资保障体系建设；持续开展城市高层建筑、大型综合体等重点部位和人员密集场所消防安全专项治理。</w:t>
      </w:r>
      <w:bookmarkStart w:id="220" w:name="_Toc57914225"/>
      <w:bookmarkStart w:id="221" w:name="_Toc19054_WPSOffice_Level1"/>
    </w:p>
    <w:p>
      <w:pPr>
        <w:pStyle w:val="3"/>
        <w:keepNext/>
        <w:keepLines/>
        <w:pageBreakBefore w:val="0"/>
        <w:widowControl w:val="0"/>
        <w:kinsoku/>
        <w:wordWrap/>
        <w:overflowPunct/>
        <w:topLinePunct w:val="0"/>
        <w:autoSpaceDE/>
        <w:autoSpaceDN/>
        <w:bidi w:val="0"/>
        <w:adjustRightInd/>
        <w:snapToGrid/>
        <w:spacing w:after="0" w:line="579" w:lineRule="auto"/>
        <w:textAlignment w:val="auto"/>
        <w:rPr>
          <w:rFonts w:hint="eastAsia"/>
          <w:color w:val="auto"/>
          <w:highlight w:val="none"/>
          <w:lang w:eastAsia="zh-CN"/>
        </w:rPr>
      </w:pPr>
      <w:bookmarkStart w:id="222" w:name="_Toc29850_WPSOffice_Level1"/>
      <w:bookmarkStart w:id="223" w:name="_Toc5221_WPSOffice_Level1"/>
      <w:r>
        <w:rPr>
          <w:rFonts w:hint="eastAsia"/>
          <w:color w:val="auto"/>
          <w:highlight w:val="none"/>
          <w:lang w:eastAsia="zh-CN"/>
        </w:rPr>
        <w:t>第十章</w:t>
      </w:r>
      <w:r>
        <w:rPr>
          <w:rFonts w:hint="eastAsia"/>
          <w:color w:val="auto"/>
          <w:highlight w:val="none"/>
          <w:lang w:val="en-US" w:eastAsia="zh-CN"/>
        </w:rPr>
        <w:t xml:space="preserve"> </w:t>
      </w:r>
      <w:r>
        <w:rPr>
          <w:rFonts w:hint="eastAsia"/>
          <w:color w:val="auto"/>
          <w:highlight w:val="none"/>
          <w:lang w:eastAsia="zh-CN"/>
        </w:rPr>
        <w:t>坚持和加强党的全面领导</w:t>
      </w:r>
      <w:bookmarkEnd w:id="220"/>
      <w:bookmarkEnd w:id="222"/>
      <w:bookmarkEnd w:id="223"/>
      <w:bookmarkStart w:id="224" w:name="_Toc28896_WPSOffice_Level2"/>
    </w:p>
    <w:p>
      <w:pPr>
        <w:pStyle w:val="3"/>
        <w:keepNext/>
        <w:keepLines/>
        <w:pageBreakBefore w:val="0"/>
        <w:widowControl w:val="0"/>
        <w:kinsoku/>
        <w:wordWrap/>
        <w:overflowPunct/>
        <w:topLinePunct w:val="0"/>
        <w:autoSpaceDE/>
        <w:autoSpaceDN/>
        <w:bidi w:val="0"/>
        <w:adjustRightInd/>
        <w:snapToGrid/>
        <w:spacing w:before="0" w:line="579" w:lineRule="auto"/>
        <w:textAlignment w:val="auto"/>
        <w:rPr>
          <w:color w:val="auto"/>
          <w:highlight w:val="none"/>
        </w:rPr>
      </w:pPr>
      <w:bookmarkStart w:id="225" w:name="_Toc750_WPSOffice_Level2"/>
      <w:bookmarkStart w:id="226" w:name="_Toc14233_WPSOffice_Level2"/>
      <w:bookmarkStart w:id="227" w:name="_Toc21975_WPSOffice_Level2"/>
      <w:bookmarkStart w:id="228" w:name="_Toc28367_WPSOffice_Level2"/>
      <w:r>
        <w:rPr>
          <w:rFonts w:hint="eastAsia"/>
          <w:color w:val="auto"/>
          <w:highlight w:val="none"/>
          <w:lang w:eastAsia="zh-CN"/>
        </w:rPr>
        <w:t>确保目标任务如期完成</w:t>
      </w:r>
      <w:bookmarkEnd w:id="221"/>
      <w:bookmarkEnd w:id="224"/>
      <w:bookmarkEnd w:id="225"/>
      <w:bookmarkEnd w:id="226"/>
      <w:bookmarkEnd w:id="227"/>
      <w:bookmarkEnd w:id="228"/>
    </w:p>
    <w:p>
      <w:pPr>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毫不动摇坚持党的全面领导，充分调动一切积极因素，广泛团结一切可以团结的力量，形成推动发展的强大合力，不折不扣落实好党中央国务院决策部署、省委省政府、市委市政府工作部署和“十四五”规划要求。</w:t>
      </w:r>
    </w:p>
    <w:p>
      <w:pPr>
        <w:pStyle w:val="4"/>
        <w:pageBreakBefore w:val="0"/>
        <w:widowControl w:val="0"/>
        <w:kinsoku/>
        <w:wordWrap/>
        <w:overflowPunct/>
        <w:topLinePunct w:val="0"/>
        <w:bidi w:val="0"/>
        <w:snapToGrid/>
        <w:spacing w:line="560" w:lineRule="exact"/>
        <w:textAlignment w:val="auto"/>
        <w:rPr>
          <w:color w:val="auto"/>
          <w:highlight w:val="none"/>
        </w:rPr>
      </w:pPr>
      <w:bookmarkStart w:id="229" w:name="_Toc6315_WPSOffice_Level2"/>
      <w:bookmarkStart w:id="230" w:name="_Toc20111_WPSOffice_Level2"/>
      <w:bookmarkStart w:id="231" w:name="_Toc57914226"/>
      <w:bookmarkStart w:id="232" w:name="_Toc8448_WPSOffice_Level2"/>
      <w:r>
        <w:rPr>
          <w:rFonts w:hint="eastAsia"/>
          <w:color w:val="auto"/>
          <w:highlight w:val="none"/>
        </w:rPr>
        <w:t>第一节</w:t>
      </w:r>
      <w:r>
        <w:rPr>
          <w:color w:val="auto"/>
          <w:highlight w:val="none"/>
        </w:rPr>
        <w:t xml:space="preserve"> </w:t>
      </w:r>
      <w:bookmarkEnd w:id="229"/>
      <w:bookmarkEnd w:id="230"/>
      <w:bookmarkEnd w:id="231"/>
      <w:r>
        <w:rPr>
          <w:rFonts w:hint="eastAsia"/>
          <w:color w:val="auto"/>
          <w:highlight w:val="none"/>
          <w:lang w:eastAsia="zh-CN"/>
        </w:rPr>
        <w:t>坚持党的全面领导</w:t>
      </w:r>
      <w:bookmarkEnd w:id="232"/>
    </w:p>
    <w:p>
      <w:pPr>
        <w:pageBreakBefore w:val="0"/>
        <w:widowControl w:val="0"/>
        <w:kinsoku/>
        <w:wordWrap/>
        <w:overflowPunct/>
        <w:topLinePunct w:val="0"/>
        <w:bidi w:val="0"/>
        <w:snapToGrid/>
        <w:spacing w:line="560" w:lineRule="exact"/>
        <w:ind w:firstLine="643" w:firstLineChars="200"/>
        <w:textAlignment w:val="auto"/>
        <w:outlineLvl w:val="2"/>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坚持党的集中统一领导。</w:t>
      </w:r>
      <w:r>
        <w:rPr>
          <w:rFonts w:hint="eastAsia" w:ascii="仿宋_GB2312" w:hAnsi="仿宋_GB2312" w:eastAsia="仿宋_GB2312" w:cs="仿宋_GB2312"/>
          <w:b w:val="0"/>
          <w:bCs w:val="0"/>
          <w:color w:val="auto"/>
          <w:sz w:val="32"/>
          <w:szCs w:val="32"/>
          <w:highlight w:val="none"/>
          <w:lang w:eastAsia="zh-CN"/>
        </w:rPr>
        <w:t>把坚持党中央权威和集中统一领导作为党的政治建设的首要任务，坚定执行党的政治路线，严格遵守政治纪律和政治规矩，在政治立场、政治方向、政治原则、政治道路上同以习近平同志为核心的党中央保持高度一致，在增强“四个意识”、坚定“四个自信”、做到“两个维护”上走在前列。巩固深化“不忘初心、牢记使命”主题教育成果。贯彻党把方向、谋大局、定政策、促改革的要求，增强抓落实的主动性和自觉性。全面加强基层党组织建设，引导广大党员发挥先锋模范作用，把基层党组织建设成为推动自由贸易港建设的坚强战斗堡垒。</w:t>
      </w:r>
    </w:p>
    <w:p>
      <w:pPr>
        <w:pageBreakBefore w:val="0"/>
        <w:widowControl w:val="0"/>
        <w:kinsoku/>
        <w:wordWrap/>
        <w:overflowPunct/>
        <w:topLinePunct w:val="0"/>
        <w:bidi w:val="0"/>
        <w:snapToGrid/>
        <w:spacing w:line="560" w:lineRule="exact"/>
        <w:ind w:firstLine="643" w:firstLineChars="200"/>
        <w:textAlignment w:val="auto"/>
        <w:outlineLvl w:val="2"/>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持之以恒正风肃纪反腐。</w:t>
      </w:r>
      <w:r>
        <w:rPr>
          <w:rFonts w:hint="eastAsia" w:ascii="仿宋_GB2312" w:hAnsi="仿宋_GB2312" w:eastAsia="仿宋_GB2312" w:cs="仿宋_GB2312"/>
          <w:b w:val="0"/>
          <w:bCs w:val="0"/>
          <w:color w:val="auto"/>
          <w:sz w:val="32"/>
          <w:szCs w:val="32"/>
          <w:highlight w:val="none"/>
          <w:lang w:val="en-US" w:eastAsia="zh-CN"/>
        </w:rPr>
        <w:t>落实全面从严治党主体责任、监督责任、强化政治监督。把“严”的主基调长期坚持下去，不断增强党自我净化、自我完善、自我革新、自我提高的能力。完善监督体系，深化纪检监察体制改革，以党内监督为主导推动各类监督有机贯通、形成合力，强化对公权力运行的制约和监督。锲而不舍落实中央八项规定精神，持续纠治形式主义、官僚主义，切实为基层减负。一体推进不敢腐、不能腐、不想腐，营造风清气正的良好政治生态。</w:t>
      </w:r>
    </w:p>
    <w:p>
      <w:pPr>
        <w:pageBreakBefore w:val="0"/>
        <w:widowControl w:val="0"/>
        <w:kinsoku/>
        <w:wordWrap/>
        <w:overflowPunct/>
        <w:topLinePunct w:val="0"/>
        <w:bidi w:val="0"/>
        <w:snapToGrid/>
        <w:spacing w:line="560" w:lineRule="exact"/>
        <w:ind w:firstLine="643"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凝聚各方抓落实促发展的力量和智慧。</w:t>
      </w:r>
      <w:r>
        <w:rPr>
          <w:rFonts w:hint="eastAsia" w:ascii="仿宋_GB2312" w:hAnsi="仿宋_GB2312" w:eastAsia="仿宋_GB2312" w:cs="仿宋_GB2312"/>
          <w:b w:val="0"/>
          <w:bCs w:val="0"/>
          <w:color w:val="auto"/>
          <w:sz w:val="32"/>
          <w:szCs w:val="32"/>
          <w:highlight w:val="none"/>
          <w:lang w:val="en-US" w:eastAsia="zh-CN"/>
        </w:rPr>
        <w:t>充分发挥人民政协专门协商机构作用和统一战线组织功能，加强政协民主监督，在建言资政和凝聚共识上双向发力。发挥民主党派、工商联和无党派人士作用，认真落实党的知识分子、民族、宗教、港澳台侨等政策。创新群众工作体制机制，充分发挥工会、共青团、妇联、关工委等人民团体作用，组织引导各行各业和广大群众立足各自领域、各自岗位实际，从自己做起、从现在做起、从点滴做起，积极投身海南自由贸易港建设，凝聚齐心协力建设海南西部中心城市的磅礴力量。</w:t>
      </w:r>
    </w:p>
    <w:p>
      <w:pPr>
        <w:pStyle w:val="4"/>
        <w:pageBreakBefore w:val="0"/>
        <w:widowControl w:val="0"/>
        <w:kinsoku/>
        <w:wordWrap/>
        <w:overflowPunct/>
        <w:topLinePunct w:val="0"/>
        <w:bidi w:val="0"/>
        <w:snapToGrid/>
        <w:spacing w:line="560" w:lineRule="exact"/>
        <w:textAlignment w:val="auto"/>
        <w:rPr>
          <w:rFonts w:hint="eastAsia"/>
          <w:color w:val="auto"/>
          <w:highlight w:val="none"/>
        </w:rPr>
      </w:pPr>
      <w:bookmarkStart w:id="233" w:name="_Toc1233_WPSOffice_Level2"/>
      <w:bookmarkStart w:id="234" w:name="_Toc16114_WPSOffice_Level2"/>
      <w:bookmarkStart w:id="235" w:name="_Toc30479_WPSOffice_Level2"/>
      <w:r>
        <w:rPr>
          <w:rFonts w:hint="eastAsia"/>
          <w:color w:val="auto"/>
          <w:highlight w:val="none"/>
        </w:rPr>
        <w:t>第</w:t>
      </w:r>
      <w:r>
        <w:rPr>
          <w:rFonts w:hint="eastAsia"/>
          <w:color w:val="auto"/>
          <w:highlight w:val="none"/>
          <w:lang w:eastAsia="zh-CN"/>
        </w:rPr>
        <w:t>二</w:t>
      </w:r>
      <w:r>
        <w:rPr>
          <w:rFonts w:hint="eastAsia"/>
          <w:color w:val="auto"/>
          <w:highlight w:val="none"/>
        </w:rPr>
        <w:t xml:space="preserve">节 </w:t>
      </w:r>
      <w:r>
        <w:rPr>
          <w:rFonts w:hint="eastAsia"/>
          <w:color w:val="auto"/>
          <w:highlight w:val="none"/>
          <w:lang w:eastAsia="zh-CN"/>
        </w:rPr>
        <w:t>建设高素质专业化干部队伍</w:t>
      </w:r>
      <w:bookmarkEnd w:id="233"/>
      <w:bookmarkEnd w:id="234"/>
      <w:bookmarkEnd w:id="235"/>
    </w:p>
    <w:p>
      <w:pPr>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rPr>
        <w:t>坚持党管干部原则</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坚持正确用人导向，突出政治标准，强化政治素质考察，完善体现新发展理念和正确政绩观要求的干部考核评价体系。建立公务员职业全生命周期激励机制，落实并健全容错纠错和澄清保护机制，坚持“三个区分开来”，加强对敢担当善作为干部的激励保护。</w:t>
      </w:r>
      <w:r>
        <w:rPr>
          <w:rFonts w:hint="eastAsia" w:ascii="仿宋_GB2312" w:hAnsi="仿宋_GB2312" w:eastAsia="仿宋_GB2312" w:cs="仿宋_GB2312"/>
          <w:color w:val="auto"/>
          <w:sz w:val="32"/>
          <w:szCs w:val="32"/>
          <w:highlight w:val="none"/>
        </w:rPr>
        <w:t>着力彰显从严管理法度，加强干部全方位管理和经常性监督，推行干部选拔任用“闭环式”监督管理模式。</w:t>
      </w:r>
      <w:r>
        <w:rPr>
          <w:rFonts w:hint="eastAsia" w:ascii="仿宋_GB2312" w:hAnsi="仿宋_GB2312" w:eastAsia="仿宋_GB2312" w:cs="仿宋_GB2312"/>
          <w:b w:val="0"/>
          <w:bCs w:val="0"/>
          <w:color w:val="auto"/>
          <w:sz w:val="32"/>
          <w:szCs w:val="32"/>
          <w:highlight w:val="none"/>
        </w:rPr>
        <w:t>着力培养忠诚干净担当的高素质干部队伍</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全面贯彻新时代党的组织路线，构建“素质培养、知事识人、选拔任用、从严管理、正向激励”的“五位一体”干部工作体系。</w:t>
      </w:r>
    </w:p>
    <w:p>
      <w:pPr>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建立完善常态化干部培训和考核机制。</w:t>
      </w:r>
      <w:r>
        <w:rPr>
          <w:rFonts w:hint="eastAsia" w:ascii="仿宋_GB2312" w:hAnsi="仿宋_GB2312" w:eastAsia="仿宋_GB2312" w:cs="仿宋_GB2312"/>
          <w:b w:val="0"/>
          <w:bCs w:val="0"/>
          <w:color w:val="auto"/>
          <w:sz w:val="32"/>
          <w:szCs w:val="32"/>
          <w:highlight w:val="none"/>
        </w:rPr>
        <w:t>强化干部教育培训，建设好党校新校区等教育培训基地，推动干部双向挂职常态化，鼓励干部到沿海发达地区、困难艰苦地区历练，增强“八种本领”，提升“七种能力”，锤炼党员干部的政治品格。</w:t>
      </w:r>
      <w:r>
        <w:rPr>
          <w:rFonts w:hint="eastAsia" w:ascii="仿宋_GB2312" w:hAnsi="仿宋_GB2312" w:eastAsia="仿宋_GB2312" w:cs="仿宋_GB2312"/>
          <w:color w:val="auto"/>
          <w:sz w:val="32"/>
          <w:szCs w:val="32"/>
          <w:highlight w:val="none"/>
        </w:rPr>
        <w:t>大力加强素质培养力度，打造源头建设、教育培训和岗位历练相结合的培养模式。探索建立重要岗位领导干部政治素质档案“4+1”体系，</w:t>
      </w:r>
      <w:r>
        <w:rPr>
          <w:rFonts w:hint="eastAsia" w:ascii="仿宋_GB2312" w:hAnsi="仿宋_GB2312" w:eastAsia="仿宋_GB2312" w:cs="仿宋_GB2312"/>
          <w:color w:val="auto"/>
          <w:sz w:val="32"/>
          <w:szCs w:val="32"/>
          <w:highlight w:val="none"/>
          <w:lang w:eastAsia="zh-CN"/>
        </w:rPr>
        <w:t>加强领导干部经济责任审计，</w:t>
      </w:r>
      <w:r>
        <w:rPr>
          <w:rFonts w:hint="eastAsia" w:ascii="仿宋_GB2312" w:hAnsi="仿宋_GB2312" w:eastAsia="仿宋_GB2312" w:cs="仿宋_GB2312"/>
          <w:color w:val="auto"/>
          <w:sz w:val="32"/>
          <w:szCs w:val="32"/>
          <w:highlight w:val="none"/>
        </w:rPr>
        <w:t>构建以平时考核为基础、定期考核为重点、专项考核为补充的考核机制，实行分级分类考核。</w:t>
      </w:r>
    </w:p>
    <w:p>
      <w:pPr>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eastAsia="zh-CN"/>
        </w:rPr>
        <w:t>加强干部队伍建设。</w:t>
      </w:r>
      <w:r>
        <w:rPr>
          <w:rFonts w:hint="eastAsia" w:ascii="仿宋_GB2312" w:hAnsi="仿宋_GB2312" w:eastAsia="仿宋_GB2312" w:cs="仿宋_GB2312"/>
          <w:b w:val="0"/>
          <w:bCs w:val="0"/>
          <w:color w:val="auto"/>
          <w:sz w:val="32"/>
          <w:szCs w:val="32"/>
          <w:highlight w:val="none"/>
          <w:lang w:eastAsia="zh-CN"/>
        </w:rPr>
        <w:t>建立执政骨干队伍结构失衡预警，优化执政骨干队伍结构，</w:t>
      </w:r>
      <w:r>
        <w:rPr>
          <w:rFonts w:hint="eastAsia" w:ascii="仿宋_GB2312" w:hAnsi="仿宋_GB2312" w:eastAsia="仿宋_GB2312" w:cs="仿宋_GB2312"/>
          <w:b w:val="0"/>
          <w:bCs w:val="0"/>
          <w:color w:val="auto"/>
          <w:sz w:val="32"/>
          <w:szCs w:val="32"/>
          <w:highlight w:val="none"/>
        </w:rPr>
        <w:t>加强年轻干部队伍建设，探索聘任制公务员试点改革。</w:t>
      </w:r>
      <w:r>
        <w:rPr>
          <w:rFonts w:hint="eastAsia" w:ascii="仿宋_GB2312" w:hAnsi="仿宋_GB2312" w:eastAsia="仿宋_GB2312" w:cs="仿宋_GB2312"/>
          <w:color w:val="auto"/>
          <w:sz w:val="32"/>
          <w:szCs w:val="32"/>
          <w:highlight w:val="none"/>
        </w:rPr>
        <w:t>开展领导班子和领导干部综合分析研判，充分把握选拔任用精度，选拔任用一批“40正处，35副处，30正科，25副科”年轻干部。</w:t>
      </w:r>
      <w:r>
        <w:rPr>
          <w:rFonts w:hint="eastAsia" w:ascii="仿宋_GB2312" w:hAnsi="仿宋_GB2312" w:eastAsia="仿宋_GB2312" w:cs="仿宋_GB2312"/>
          <w:b w:val="0"/>
          <w:bCs w:val="0"/>
          <w:color w:val="auto"/>
          <w:sz w:val="32"/>
          <w:szCs w:val="32"/>
          <w:highlight w:val="none"/>
        </w:rPr>
        <w:t>选优配强村（社区）党支部书记和“两委”班子，高标准选准派驻第一书记和乡村振兴工作队队员，建立健全村干部基本报酬正常增长机制。</w:t>
      </w:r>
    </w:p>
    <w:p>
      <w:pPr>
        <w:pStyle w:val="4"/>
        <w:pageBreakBefore w:val="0"/>
        <w:widowControl w:val="0"/>
        <w:kinsoku/>
        <w:wordWrap/>
        <w:overflowPunct/>
        <w:topLinePunct w:val="0"/>
        <w:bidi w:val="0"/>
        <w:snapToGrid/>
        <w:spacing w:line="560" w:lineRule="exact"/>
        <w:textAlignment w:val="auto"/>
        <w:rPr>
          <w:color w:val="auto"/>
          <w:highlight w:val="none"/>
        </w:rPr>
      </w:pPr>
      <w:bookmarkStart w:id="236" w:name="_Toc57914222"/>
      <w:bookmarkStart w:id="237" w:name="_Toc55237966"/>
      <w:bookmarkStart w:id="238" w:name="_Toc2634_WPSOffice_Level2"/>
      <w:bookmarkStart w:id="239" w:name="_Toc1875_WPSOffice_Level2"/>
      <w:bookmarkStart w:id="240" w:name="_Toc19437_WPSOffice_Level2"/>
      <w:r>
        <w:rPr>
          <w:rFonts w:hint="eastAsia"/>
          <w:color w:val="auto"/>
          <w:highlight w:val="none"/>
        </w:rPr>
        <w:t>第</w:t>
      </w:r>
      <w:r>
        <w:rPr>
          <w:rFonts w:hint="eastAsia"/>
          <w:color w:val="auto"/>
          <w:highlight w:val="none"/>
          <w:lang w:eastAsia="zh-CN"/>
        </w:rPr>
        <w:t>三</w:t>
      </w:r>
      <w:r>
        <w:rPr>
          <w:rFonts w:hint="eastAsia"/>
          <w:color w:val="auto"/>
          <w:highlight w:val="none"/>
        </w:rPr>
        <w:t>节</w:t>
      </w:r>
      <w:r>
        <w:rPr>
          <w:color w:val="auto"/>
          <w:highlight w:val="none"/>
        </w:rPr>
        <w:t xml:space="preserve"> </w:t>
      </w:r>
      <w:bookmarkEnd w:id="236"/>
      <w:bookmarkEnd w:id="237"/>
      <w:r>
        <w:rPr>
          <w:rFonts w:hint="eastAsia"/>
          <w:color w:val="auto"/>
          <w:highlight w:val="none"/>
        </w:rPr>
        <w:t>深化人才发展体制机制改革</w:t>
      </w:r>
      <w:bookmarkEnd w:id="238"/>
      <w:bookmarkEnd w:id="239"/>
      <w:bookmarkEnd w:id="24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深化人才发展体制机制改革。</w:t>
      </w:r>
      <w:r>
        <w:rPr>
          <w:rFonts w:hint="eastAsia" w:ascii="仿宋_GB2312" w:hAnsi="仿宋_GB2312" w:eastAsia="仿宋_GB2312" w:cs="仿宋_GB2312"/>
          <w:color w:val="auto"/>
          <w:sz w:val="32"/>
          <w:szCs w:val="32"/>
          <w:highlight w:val="none"/>
        </w:rPr>
        <w:t>继续抓好</w:t>
      </w:r>
      <w:r>
        <w:rPr>
          <w:rFonts w:hint="eastAsia" w:ascii="仿宋_GB2312" w:hAnsi="仿宋_GB2312" w:eastAsia="仿宋_GB2312" w:cs="仿宋_GB2312"/>
          <w:color w:val="auto"/>
          <w:sz w:val="32"/>
          <w:szCs w:val="32"/>
          <w:highlight w:val="none"/>
          <w:lang w:eastAsia="zh-CN"/>
        </w:rPr>
        <w:t>落实</w:t>
      </w:r>
      <w:r>
        <w:rPr>
          <w:rFonts w:hint="eastAsia" w:ascii="仿宋_GB2312" w:hAnsi="仿宋_GB2312" w:eastAsia="仿宋_GB2312" w:cs="仿宋_GB2312"/>
          <w:color w:val="auto"/>
          <w:sz w:val="32"/>
          <w:szCs w:val="32"/>
          <w:highlight w:val="none"/>
        </w:rPr>
        <w:t>《儋州市贯彻落实&lt;百万人才进海南行动计划（2018-2025）&gt;实施方案》，完善人才引进、培养、评价、使用和激励机制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创新人才发展体制机制，围绕营造创新氛围、保护创新成果、增加优质公共服务供给、提高人才待遇、强化人才服务等方面出台政策措施。</w:t>
      </w:r>
      <w:r>
        <w:rPr>
          <w:rFonts w:hint="eastAsia" w:ascii="仿宋_GB2312" w:hAnsi="仿宋_GB2312" w:eastAsia="仿宋_GB2312" w:cs="仿宋_GB2312"/>
          <w:color w:val="auto"/>
          <w:sz w:val="32"/>
          <w:szCs w:val="32"/>
          <w:highlight w:val="none"/>
          <w:lang w:eastAsia="zh-CN"/>
        </w:rPr>
        <w:t>探索建立以薪酬水平为主要指标的国际化、市场化的人才评价机制，</w:t>
      </w:r>
      <w:r>
        <w:rPr>
          <w:rFonts w:hint="eastAsia" w:ascii="仿宋_GB2312" w:hAnsi="仿宋_GB2312" w:eastAsia="仿宋_GB2312" w:cs="仿宋_GB2312"/>
          <w:color w:val="auto"/>
          <w:sz w:val="32"/>
          <w:szCs w:val="32"/>
          <w:highlight w:val="none"/>
        </w:rPr>
        <w:t>将创新人才纳入急需紧缺人才认定标准。完善人才服务保障机制，优化人才发展环境，引导各类人才为儋州深化改革开放，推进海南自由贸易港建设贡献智慧力量，力争到2025年吸引各类人才10万人以上。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坚持人才引进和培养“双轮驱动”。</w:t>
      </w:r>
      <w:r>
        <w:rPr>
          <w:rFonts w:hint="eastAsia" w:ascii="仿宋_GB2312" w:hAnsi="仿宋_GB2312" w:eastAsia="仿宋_GB2312" w:cs="仿宋_GB2312"/>
          <w:color w:val="auto"/>
          <w:sz w:val="32"/>
          <w:szCs w:val="32"/>
          <w:highlight w:val="none"/>
        </w:rPr>
        <w:t>贯彻落实省委人才发展实施意见，积极</w:t>
      </w:r>
      <w:r>
        <w:rPr>
          <w:rFonts w:hint="eastAsia" w:ascii="仿宋_GB2312" w:hAnsi="仿宋_GB2312" w:eastAsia="仿宋_GB2312" w:cs="仿宋_GB2312"/>
          <w:color w:val="auto"/>
          <w:sz w:val="32"/>
          <w:szCs w:val="32"/>
          <w:highlight w:val="none"/>
          <w:lang w:eastAsia="zh-CN"/>
        </w:rPr>
        <w:t>开展各类招才引智活动</w:t>
      </w:r>
      <w:r>
        <w:rPr>
          <w:rFonts w:hint="eastAsia" w:ascii="仿宋_GB2312" w:hAnsi="仿宋_GB2312" w:eastAsia="仿宋_GB2312" w:cs="仿宋_GB2312"/>
          <w:b w:val="0"/>
          <w:bCs w:val="0"/>
          <w:color w:val="auto"/>
          <w:sz w:val="32"/>
          <w:szCs w:val="32"/>
          <w:highlight w:val="none"/>
          <w:lang w:eastAsia="zh-CN"/>
        </w:rPr>
        <w:t>。强化各类型多层次人才的导入。按“不求所有，但求所在；</w:t>
      </w:r>
      <w:r>
        <w:rPr>
          <w:rFonts w:hint="eastAsia" w:ascii="仿宋_GB2312" w:hAnsi="仿宋_GB2312" w:eastAsia="仿宋_GB2312" w:cs="仿宋_GB2312"/>
          <w:b w:val="0"/>
          <w:bCs w:val="0"/>
          <w:color w:val="auto"/>
          <w:sz w:val="32"/>
          <w:szCs w:val="32"/>
          <w:highlight w:val="none"/>
          <w:lang w:val="en-US" w:eastAsia="zh-CN"/>
        </w:rPr>
        <w:t>不求所在，但求所用</w:t>
      </w:r>
      <w:r>
        <w:rPr>
          <w:rFonts w:hint="eastAsia" w:ascii="仿宋_GB2312" w:hAnsi="仿宋_GB2312" w:eastAsia="仿宋_GB2312" w:cs="仿宋_GB2312"/>
          <w:b w:val="0"/>
          <w:bCs w:val="0"/>
          <w:color w:val="auto"/>
          <w:sz w:val="32"/>
          <w:szCs w:val="32"/>
          <w:highlight w:val="none"/>
          <w:lang w:eastAsia="zh-CN"/>
        </w:rPr>
        <w:t>”原则，创新“候鸟型”“银发精英”人才引进和使用机制。</w:t>
      </w:r>
      <w:r>
        <w:rPr>
          <w:rFonts w:hint="eastAsia" w:ascii="仿宋_GB2312" w:hAnsi="仿宋_GB2312" w:eastAsia="仿宋_GB2312" w:cs="仿宋_GB2312"/>
          <w:color w:val="auto"/>
          <w:sz w:val="32"/>
          <w:szCs w:val="32"/>
          <w:highlight w:val="none"/>
        </w:rPr>
        <w:t>围绕我市建设需要，重点引进贸易、港口、文化旅游等方面急需紧缺人才。借助滨海新区旅游产业园</w:t>
      </w:r>
      <w:r>
        <w:rPr>
          <w:rFonts w:hint="eastAsia" w:ascii="仿宋_GB2312" w:hAnsi="仿宋_GB2312" w:eastAsia="仿宋_GB2312" w:cs="仿宋_GB2312"/>
          <w:color w:val="auto"/>
          <w:sz w:val="32"/>
          <w:szCs w:val="32"/>
          <w:highlight w:val="none"/>
          <w:lang w:eastAsia="zh-CN"/>
        </w:rPr>
        <w:t>多态性</w:t>
      </w:r>
      <w:r>
        <w:rPr>
          <w:rFonts w:hint="eastAsia" w:ascii="仿宋_GB2312" w:hAnsi="仿宋_GB2312" w:eastAsia="仿宋_GB2312" w:cs="仿宋_GB2312"/>
          <w:color w:val="auto"/>
          <w:sz w:val="32"/>
          <w:szCs w:val="32"/>
          <w:highlight w:val="none"/>
        </w:rPr>
        <w:t>和成规模的旅游产业集群地，以及海南电影学院等重点项目，吸引集聚国际高端人才。继续实施儋州籍人才回引计划，激发儋州籍优秀人才回乡创新创业活力。</w:t>
      </w:r>
      <w:r>
        <w:rPr>
          <w:rFonts w:hint="eastAsia" w:ascii="仿宋_GB2312" w:hAnsi="仿宋_GB2312" w:eastAsia="仿宋_GB2312" w:cs="仿宋_GB2312"/>
          <w:color w:val="auto"/>
          <w:sz w:val="32"/>
          <w:szCs w:val="32"/>
          <w:highlight w:val="none"/>
          <w:lang w:eastAsia="zh-CN"/>
        </w:rPr>
        <w:t>大力挖掘培养使用本土人才，充分激发本土人才队伍的动力活力。完善企事业单位招录人才政策，完善职称、工资等激励政策，鼓励引导人才向基层一线流动。</w:t>
      </w:r>
      <w:r>
        <w:rPr>
          <w:rFonts w:hint="eastAsia" w:ascii="仿宋_GB2312" w:hAnsi="仿宋_GB2312" w:eastAsia="仿宋_GB2312" w:cs="仿宋_GB2312"/>
          <w:color w:val="auto"/>
          <w:sz w:val="32"/>
          <w:szCs w:val="32"/>
          <w:highlight w:val="none"/>
        </w:rPr>
        <w:t>组织做好“南海系列”育才计划选拔培养工作，推动</w:t>
      </w:r>
      <w:r>
        <w:rPr>
          <w:rFonts w:hint="eastAsia" w:ascii="仿宋_GB2312" w:hAnsi="仿宋_GB2312" w:eastAsia="仿宋_GB2312" w:cs="仿宋_GB2312"/>
          <w:color w:val="auto"/>
          <w:sz w:val="32"/>
          <w:szCs w:val="32"/>
          <w:highlight w:val="none"/>
          <w:lang w:eastAsia="zh-CN"/>
        </w:rPr>
        <w:t>政策措施</w:t>
      </w:r>
      <w:r>
        <w:rPr>
          <w:rFonts w:hint="eastAsia" w:ascii="仿宋_GB2312" w:hAnsi="仿宋_GB2312" w:eastAsia="仿宋_GB2312" w:cs="仿宋_GB2312"/>
          <w:color w:val="auto"/>
          <w:sz w:val="32"/>
          <w:szCs w:val="32"/>
          <w:highlight w:val="none"/>
        </w:rPr>
        <w:t>落实、宣传以及跟踪培养。</w:t>
      </w:r>
      <w:r>
        <w:rPr>
          <w:rFonts w:hint="eastAsia" w:ascii="仿宋_GB2312" w:hAnsi="仿宋_GB2312" w:eastAsia="仿宋_GB2312" w:cs="仿宋_GB2312"/>
          <w:color w:val="auto"/>
          <w:sz w:val="32"/>
          <w:szCs w:val="32"/>
          <w:highlight w:val="none"/>
          <w:lang w:eastAsia="zh-CN"/>
        </w:rPr>
        <w:t>加强与中国热带农业科学院等科研院所人才合作，推动人才资源共建共享、科研成果转化落地，打造农业人才培养基地。</w:t>
      </w:r>
      <w:r>
        <w:rPr>
          <w:rFonts w:hint="eastAsia" w:ascii="仿宋_GB2312" w:hAnsi="仿宋_GB2312" w:eastAsia="仿宋_GB2312" w:cs="仿宋_GB2312"/>
          <w:color w:val="auto"/>
          <w:sz w:val="32"/>
          <w:szCs w:val="32"/>
          <w:highlight w:val="none"/>
        </w:rPr>
        <w:t>依托“儋州市海南西部家庭服务中心”</w:t>
      </w:r>
      <w:r>
        <w:rPr>
          <w:rFonts w:hint="eastAsia" w:ascii="仿宋_GB2312" w:hAnsi="仿宋_GB2312" w:eastAsia="仿宋_GB2312" w:cs="仿宋_GB2312"/>
          <w:color w:val="auto"/>
          <w:sz w:val="32"/>
          <w:szCs w:val="32"/>
          <w:highlight w:val="none"/>
          <w:lang w:eastAsia="zh-CN"/>
        </w:rPr>
        <w:t>和儋州中等职业技术学校</w:t>
      </w:r>
      <w:r>
        <w:rPr>
          <w:rFonts w:hint="eastAsia" w:ascii="仿宋_GB2312" w:hAnsi="仿宋_GB2312" w:eastAsia="仿宋_GB2312" w:cs="仿宋_GB2312"/>
          <w:color w:val="auto"/>
          <w:sz w:val="32"/>
          <w:szCs w:val="32"/>
          <w:highlight w:val="none"/>
        </w:rPr>
        <w:t>，加强对实用技能人才的培养。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仿宋_GB2312" w:hAnsi="仿宋" w:eastAsia="仿宋_GB2312"/>
          <w:color w:val="auto"/>
          <w:sz w:val="32"/>
          <w:szCs w:val="32"/>
          <w:highlight w:val="none"/>
        </w:rPr>
      </w:pPr>
      <w:r>
        <w:rPr>
          <w:rFonts w:hint="eastAsia" w:ascii="仿宋_GB2312" w:hAnsi="仿宋" w:eastAsia="仿宋_GB2312"/>
          <w:b/>
          <w:bCs/>
          <w:color w:val="auto"/>
          <w:sz w:val="32"/>
          <w:szCs w:val="32"/>
          <w:highlight w:val="none"/>
          <w:lang w:eastAsia="zh-CN"/>
        </w:rPr>
        <w:t>加强人才聚集平台搭建和创新创业载体建设。</w:t>
      </w:r>
      <w:r>
        <w:rPr>
          <w:rFonts w:hint="eastAsia" w:ascii="仿宋_GB2312" w:hAnsi="仿宋_GB2312" w:eastAsia="仿宋_GB2312" w:cs="仿宋_GB2312"/>
          <w:color w:val="auto"/>
          <w:sz w:val="32"/>
          <w:szCs w:val="32"/>
          <w:highlight w:val="none"/>
          <w:lang w:eastAsia="zh-CN"/>
        </w:rPr>
        <w:t>做好高层次人才平台建设工作，推动儋州市高层次人才引进和培育工作。</w:t>
      </w:r>
      <w:r>
        <w:rPr>
          <w:rFonts w:hint="eastAsia" w:ascii="仿宋_GB2312" w:hAnsi="仿宋" w:eastAsia="仿宋_GB2312"/>
          <w:color w:val="auto"/>
          <w:sz w:val="32"/>
          <w:szCs w:val="32"/>
          <w:highlight w:val="none"/>
        </w:rPr>
        <w:t>打造人才创新创业平台，依托现有产业基础，构建产业集群。以石屋基层党建综合体为依托，打造基层党员干部和乡村振兴人才教育培训基地。鼓励人才回乡就业创业，出台扶持返乡人才创业政策的“政策回引”和服务返乡人才搭建平台的“服务回引”。创建国际人才离岸创新创业基地，探索“市内注册、海外经营、境外孵化、成果回归、分建共享”的离岸人才智力培育模式。支持和对接各类高端机构落户儋州，积极推进重大科研基地、高校分校、研究生院、院士工作站建立，鼓励国内外企业、社会组织、大学科研单位设立企业孵化器、众创空间、大学科技园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建立健全更加优质的人才服务保障机制。</w:t>
      </w:r>
      <w:r>
        <w:rPr>
          <w:rFonts w:hint="eastAsia" w:ascii="仿宋_GB2312" w:hAnsi="仿宋_GB2312" w:eastAsia="仿宋_GB2312" w:cs="仿宋_GB2312"/>
          <w:color w:val="auto"/>
          <w:sz w:val="32"/>
          <w:szCs w:val="32"/>
          <w:highlight w:val="none"/>
        </w:rPr>
        <w:t>认真贯彻落实人才落户、住房保障、子女入学、医疗保障、配偶就业、国际人才管理服务及人才评价和退出机制等相关政策及配套文件，健全重点人才团队专员服务制度</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高层次人才联络员制度，制定更加积极、更加开放的人才政策。</w:t>
      </w:r>
      <w:r>
        <w:rPr>
          <w:rFonts w:hint="eastAsia" w:ascii="仿宋_GB2312" w:eastAsia="仿宋_GB2312"/>
          <w:color w:val="auto"/>
          <w:sz w:val="32"/>
          <w:szCs w:val="32"/>
          <w:highlight w:val="none"/>
        </w:rPr>
        <w:t>加强人才住房保障</w:t>
      </w:r>
      <w:r>
        <w:rPr>
          <w:rFonts w:hint="eastAsia" w:ascii="仿宋_GB2312" w:eastAsia="仿宋_GB2312"/>
          <w:color w:val="auto"/>
          <w:sz w:val="32"/>
          <w:szCs w:val="32"/>
          <w:highlight w:val="none"/>
          <w:lang w:eastAsia="zh-CN"/>
        </w:rPr>
        <w:t>和人才公寓建设</w:t>
      </w:r>
      <w:r>
        <w:rPr>
          <w:rFonts w:hint="eastAsia" w:ascii="仿宋_GB2312" w:eastAsia="仿宋_GB2312"/>
          <w:color w:val="auto"/>
          <w:sz w:val="32"/>
          <w:szCs w:val="32"/>
          <w:highlight w:val="none"/>
        </w:rPr>
        <w:t>，把人才纳入安居型商品住房保障范围。优化人才发展环境，在各产业园区或人才集聚的城区探索打造人才社区。</w:t>
      </w:r>
      <w:r>
        <w:rPr>
          <w:rFonts w:hint="eastAsia" w:ascii="仿宋_GB2312" w:eastAsia="仿宋_GB2312"/>
          <w:color w:val="auto"/>
          <w:sz w:val="32"/>
          <w:szCs w:val="32"/>
          <w:highlight w:val="none"/>
          <w:lang w:eastAsia="zh-CN"/>
        </w:rPr>
        <w:t>深化</w:t>
      </w:r>
      <w:r>
        <w:rPr>
          <w:rFonts w:hint="eastAsia" w:ascii="仿宋_GB2312" w:hAnsi="仿宋_GB2312" w:eastAsia="仿宋_GB2312" w:cs="仿宋_GB2312"/>
          <w:color w:val="auto"/>
          <w:sz w:val="32"/>
          <w:szCs w:val="32"/>
          <w:highlight w:val="none"/>
        </w:rPr>
        <w:t>人才服务“单一窗口”</w:t>
      </w:r>
      <w:r>
        <w:rPr>
          <w:rFonts w:hint="eastAsia" w:ascii="仿宋_GB2312" w:hAnsi="仿宋_GB2312" w:eastAsia="仿宋_GB2312" w:cs="仿宋_GB2312"/>
          <w:color w:val="auto"/>
          <w:sz w:val="32"/>
          <w:szCs w:val="32"/>
          <w:highlight w:val="none"/>
          <w:lang w:eastAsia="zh-CN"/>
        </w:rPr>
        <w:t>建设</w:t>
      </w:r>
      <w:r>
        <w:rPr>
          <w:rFonts w:hint="eastAsia" w:ascii="仿宋_GB2312" w:hAnsi="仿宋_GB2312" w:eastAsia="仿宋_GB2312" w:cs="仿宋_GB2312"/>
          <w:color w:val="auto"/>
          <w:sz w:val="32"/>
          <w:szCs w:val="32"/>
          <w:highlight w:val="none"/>
        </w:rPr>
        <w:t>。开展“人才服务星级单位”评比活动，激励高水平落实各项人才服务事项。加强人才信息化建设，完善人才信息库建设，探索“互联网+人才公共服务”。加大人才工作站建设力度，在条件成熟的学校、医疗卫生机构、产业园区、企业、社区等载体建设人才工作站，将人才服务延伸到基层</w:t>
      </w:r>
      <w:r>
        <w:rPr>
          <w:rFonts w:hint="eastAsia" w:ascii="仿宋_GB2312" w:eastAsia="仿宋_GB2312"/>
          <w:color w:val="auto"/>
          <w:sz w:val="32"/>
          <w:szCs w:val="32"/>
          <w:highlight w:val="none"/>
        </w:rPr>
        <w:t>。</w:t>
      </w:r>
      <w:r>
        <w:rPr>
          <w:rFonts w:hint="eastAsia" w:ascii="仿宋_GB2312" w:hAnsi="仿宋_GB2312" w:eastAsia="仿宋_GB2312" w:cs="仿宋_GB2312"/>
          <w:color w:val="auto"/>
          <w:sz w:val="32"/>
          <w:szCs w:val="32"/>
          <w:highlight w:val="none"/>
        </w:rPr>
        <w:t>加强对优秀人才的表彰奖励，加大对人才政策、经验做法、优秀人才先进事迹的宣传力度，营造尊才爱才用才的良好氛围。</w:t>
      </w:r>
    </w:p>
    <w:p>
      <w:pPr>
        <w:pStyle w:val="4"/>
        <w:pageBreakBefore w:val="0"/>
        <w:widowControl w:val="0"/>
        <w:kinsoku/>
        <w:wordWrap/>
        <w:overflowPunct/>
        <w:topLinePunct w:val="0"/>
        <w:bidi w:val="0"/>
        <w:snapToGrid/>
        <w:spacing w:line="560" w:lineRule="exact"/>
        <w:textAlignment w:val="auto"/>
        <w:rPr>
          <w:rFonts w:hint="eastAsia"/>
          <w:color w:val="auto"/>
          <w:highlight w:val="none"/>
          <w:lang w:val="en-US" w:eastAsia="zh-CN"/>
        </w:rPr>
      </w:pPr>
      <w:bookmarkStart w:id="241" w:name="_Toc32543_WPSOffice_Level2"/>
      <w:bookmarkStart w:id="242" w:name="_Toc23402_WPSOffice_Level2"/>
      <w:bookmarkStart w:id="243" w:name="_Toc12649_WPSOffice_Level2"/>
      <w:bookmarkStart w:id="244" w:name="_Toc57914227"/>
      <w:r>
        <w:rPr>
          <w:rFonts w:hint="eastAsia"/>
          <w:color w:val="auto"/>
          <w:highlight w:val="none"/>
          <w:lang w:val="en-US" w:eastAsia="zh-CN"/>
        </w:rPr>
        <w:t xml:space="preserve">第四节 </w:t>
      </w:r>
      <w:bookmarkEnd w:id="241"/>
      <w:r>
        <w:rPr>
          <w:rFonts w:hint="eastAsia"/>
          <w:color w:val="auto"/>
          <w:highlight w:val="none"/>
          <w:lang w:val="en-US" w:eastAsia="zh-CN"/>
        </w:rPr>
        <w:t>加强规划实施管理和评估考核</w:t>
      </w:r>
      <w:bookmarkEnd w:id="242"/>
      <w:bookmarkEnd w:id="243"/>
    </w:p>
    <w:p>
      <w:pPr>
        <w:pStyle w:val="2"/>
        <w:pageBreakBefore w:val="0"/>
        <w:widowControl w:val="0"/>
        <w:kinsoku/>
        <w:wordWrap/>
        <w:overflowPunct/>
        <w:topLinePunct w:val="0"/>
        <w:bidi w:val="0"/>
        <w:snapToGrid/>
        <w:spacing w:line="560" w:lineRule="exact"/>
        <w:ind w:firstLine="619" w:firstLineChars="200"/>
        <w:textAlignment w:val="auto"/>
        <w:rPr>
          <w:rFonts w:hint="eastAsia" w:ascii="仿宋_GB2312" w:hAnsi="仿宋_GB2312" w:eastAsia="仿宋_GB2312" w:cs="Times New Roman"/>
          <w:color w:val="auto"/>
          <w:spacing w:val="-6"/>
          <w:kern w:val="0"/>
          <w:sz w:val="32"/>
          <w:szCs w:val="32"/>
          <w:highlight w:val="none"/>
          <w:lang w:val="en-US" w:eastAsia="zh-CN" w:bidi="ar-SA"/>
        </w:rPr>
      </w:pPr>
      <w:r>
        <w:rPr>
          <w:rFonts w:hint="eastAsia" w:ascii="仿宋_GB2312" w:hAnsi="仿宋_GB2312" w:eastAsia="仿宋_GB2312" w:cs="Times New Roman"/>
          <w:b/>
          <w:bCs/>
          <w:color w:val="auto"/>
          <w:spacing w:val="-6"/>
          <w:kern w:val="0"/>
          <w:sz w:val="32"/>
          <w:szCs w:val="32"/>
          <w:highlight w:val="none"/>
          <w:lang w:val="en-US" w:eastAsia="zh-CN" w:bidi="ar-SA"/>
        </w:rPr>
        <w:t>加强规划实施管理。</w:t>
      </w:r>
      <w:r>
        <w:rPr>
          <w:rFonts w:hint="eastAsia" w:ascii="仿宋_GB2312" w:hAnsi="仿宋_GB2312" w:eastAsia="仿宋_GB2312" w:cs="Times New Roman"/>
          <w:color w:val="auto"/>
          <w:spacing w:val="-6"/>
          <w:kern w:val="0"/>
          <w:sz w:val="32"/>
          <w:szCs w:val="32"/>
          <w:highlight w:val="none"/>
          <w:lang w:val="en-US" w:eastAsia="zh-CN" w:bidi="ar-SA"/>
        </w:rPr>
        <w:t>规划纲要经市人民代表大会审议批准，具有法律效力。要充分发挥规划对资源配置的导向作用，建立健全规划有效实施的保障机制，确保规划发展目标和各项重点任务顺利完成。强化规划纲要作为空间规划、专项规划、区域规划、年度计划以及相关政策、安排重大项目的重要依据。对列入本规划的重点目标任务和重大项目，财政部门要全力确保财政资金配套，统筹财力可能合理安排支出规模和结构；金融主管部门应当引导金融要素资源配置方向和结构；自然资源和规划部门要集中力量保障用地需求，确保项目可落地可实施，依法依规推进建设。</w:t>
      </w:r>
    </w:p>
    <w:p>
      <w:pPr>
        <w:pStyle w:val="2"/>
        <w:pageBreakBefore w:val="0"/>
        <w:widowControl w:val="0"/>
        <w:kinsoku/>
        <w:wordWrap/>
        <w:overflowPunct/>
        <w:topLinePunct w:val="0"/>
        <w:bidi w:val="0"/>
        <w:snapToGrid/>
        <w:spacing w:line="560" w:lineRule="exact"/>
        <w:ind w:firstLine="619" w:firstLineChars="200"/>
        <w:textAlignment w:val="auto"/>
        <w:rPr>
          <w:rFonts w:hint="eastAsia" w:ascii="仿宋_GB2312" w:hAnsi="仿宋_GB2312" w:eastAsia="仿宋_GB2312" w:cs="Times New Roman"/>
          <w:color w:val="auto"/>
          <w:spacing w:val="-6"/>
          <w:kern w:val="0"/>
          <w:sz w:val="32"/>
          <w:szCs w:val="32"/>
          <w:highlight w:val="none"/>
          <w:lang w:val="en-US" w:eastAsia="zh-CN" w:bidi="ar-SA"/>
        </w:rPr>
      </w:pPr>
      <w:r>
        <w:rPr>
          <w:rFonts w:hint="eastAsia" w:ascii="仿宋_GB2312" w:hAnsi="仿宋_GB2312" w:eastAsia="仿宋_GB2312" w:cs="Times New Roman"/>
          <w:b/>
          <w:bCs/>
          <w:color w:val="auto"/>
          <w:spacing w:val="-6"/>
          <w:kern w:val="0"/>
          <w:sz w:val="32"/>
          <w:szCs w:val="32"/>
          <w:highlight w:val="none"/>
          <w:lang w:val="en-US" w:eastAsia="zh-CN" w:bidi="ar-SA"/>
        </w:rPr>
        <w:t>加强规划评估考核。</w:t>
      </w:r>
      <w:r>
        <w:rPr>
          <w:rFonts w:hint="eastAsia" w:ascii="仿宋_GB2312" w:hAnsi="仿宋_GB2312" w:eastAsia="仿宋_GB2312" w:cs="Times New Roman"/>
          <w:color w:val="auto"/>
          <w:spacing w:val="-6"/>
          <w:kern w:val="0"/>
          <w:sz w:val="32"/>
          <w:szCs w:val="32"/>
          <w:highlight w:val="none"/>
          <w:lang w:val="en-US" w:eastAsia="zh-CN" w:bidi="ar-SA"/>
        </w:rPr>
        <w:t>结合内外部发展环境的变化和要求，及时开展本规划年度监测评估、中期评估和总结评估，重点评估实施进展情况及存在问题，提出规划实施建议。年度监测评估应当密切跟踪经济社会发展形势对发展规划实施的影响，根据需要适时报请市政府调整实施重点、政策举措及保障机制，并针对可能存在风险的地区和重点领域制定工作预案。中期评估于本规划实施的第三年开展，中期评估报告需提请市人民代表大会常务委员会审议并向社会公布，视评估情况报市人大同意后进行动态修订调整。同时，中期评估报告应当由专家委员或专家组论证并出具论证报告。总结评估于本规划实施的第五年开展，作为编制下一个规划期发展规划草案的重要参考。</w:t>
      </w:r>
      <w:bookmarkEnd w:id="244"/>
    </w:p>
    <w:p>
      <w:pPr>
        <w:rPr>
          <w:rFonts w:hint="eastAsia" w:ascii="仿宋_GB2312" w:hAnsi="仿宋_GB2312" w:eastAsia="仿宋_GB2312" w:cs="Times New Roman"/>
          <w:color w:val="auto"/>
          <w:spacing w:val="-6"/>
          <w:kern w:val="0"/>
          <w:sz w:val="32"/>
          <w:szCs w:val="32"/>
          <w:highlight w:val="none"/>
          <w:lang w:val="en-US" w:eastAsia="zh-CN" w:bidi="ar-SA"/>
        </w:rPr>
      </w:pPr>
      <w:r>
        <w:rPr>
          <w:rFonts w:hint="eastAsia" w:ascii="仿宋_GB2312" w:hAnsi="仿宋_GB2312" w:eastAsia="仿宋_GB2312" w:cs="Times New Roman"/>
          <w:color w:val="auto"/>
          <w:spacing w:val="-6"/>
          <w:kern w:val="0"/>
          <w:sz w:val="32"/>
          <w:szCs w:val="32"/>
          <w:highlight w:val="none"/>
          <w:lang w:val="en-US" w:eastAsia="zh-CN" w:bidi="ar-SA"/>
        </w:rPr>
        <w:br w:type="page"/>
      </w:r>
    </w:p>
    <w:p>
      <w:pPr>
        <w:pStyle w:val="3"/>
        <w:pageBreakBefore w:val="0"/>
        <w:widowControl w:val="0"/>
        <w:kinsoku/>
        <w:wordWrap/>
        <w:overflowPunct/>
        <w:topLinePunct w:val="0"/>
        <w:bidi w:val="0"/>
        <w:snapToGrid/>
        <w:spacing w:line="560" w:lineRule="exact"/>
        <w:textAlignment w:val="auto"/>
        <w:outlineLvl w:val="0"/>
        <w:rPr>
          <w:rFonts w:hint="eastAsia"/>
          <w:color w:val="auto"/>
          <w:highlight w:val="none"/>
          <w:lang w:eastAsia="zh-CN"/>
        </w:rPr>
      </w:pPr>
      <w:bookmarkStart w:id="245" w:name="_Toc211_WPSOffice_Level2"/>
      <w:bookmarkStart w:id="246" w:name="_Toc7414_WPSOffice_Level1"/>
      <w:bookmarkStart w:id="247" w:name="_Toc22817_WPSOffice_Level2"/>
      <w:r>
        <w:rPr>
          <w:rFonts w:hint="eastAsia"/>
          <w:color w:val="auto"/>
          <w:highlight w:val="none"/>
          <w:lang w:eastAsia="zh-CN"/>
        </w:rPr>
        <w:t>名词解释</w:t>
      </w:r>
      <w:bookmarkEnd w:id="245"/>
      <w:bookmarkEnd w:id="246"/>
      <w:bookmarkEnd w:id="247"/>
    </w:p>
    <w:p>
      <w:pPr>
        <w:pageBreakBefore w:val="0"/>
        <w:widowControl w:val="0"/>
        <w:numPr>
          <w:ilvl w:val="0"/>
          <w:numId w:val="4"/>
        </w:numPr>
        <w:kinsoku/>
        <w:wordWrap/>
        <w:overflowPunct/>
        <w:topLinePunct w:val="0"/>
        <w:bidi w:val="0"/>
        <w:snapToGrid/>
        <w:spacing w:line="560" w:lineRule="exact"/>
        <w:ind w:leftChars="0"/>
        <w:jc w:val="both"/>
        <w:textAlignment w:val="auto"/>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三个大考</w:t>
      </w:r>
      <w:r>
        <w:rPr>
          <w:rFonts w:hint="eastAsia" w:ascii="宋体" w:hAnsi="宋体" w:eastAsia="宋体" w:cs="宋体"/>
          <w:color w:val="auto"/>
          <w:sz w:val="28"/>
          <w:szCs w:val="28"/>
          <w:highlight w:val="none"/>
          <w:lang w:eastAsia="zh-CN"/>
        </w:rPr>
        <w:t>：统筹常态化疫情防控和经济社会发展、决战脱贫攻坚和决胜全面建成小康社会、实现海南自由贸易港建设良好开局。</w:t>
      </w:r>
    </w:p>
    <w:p>
      <w:pPr>
        <w:pStyle w:val="2"/>
        <w:pageBreakBefore w:val="0"/>
        <w:widowControl w:val="0"/>
        <w:numPr>
          <w:ilvl w:val="0"/>
          <w:numId w:val="4"/>
        </w:numPr>
        <w:kinsoku/>
        <w:wordWrap/>
        <w:overflowPunct/>
        <w:topLinePunct w:val="0"/>
        <w:bidi w:val="0"/>
        <w:snapToGrid/>
        <w:spacing w:line="560" w:lineRule="exact"/>
        <w:jc w:val="both"/>
        <w:textAlignment w:val="auto"/>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val="en-US" w:eastAsia="zh-CN"/>
        </w:rPr>
        <w:t>一场两馆：</w:t>
      </w:r>
      <w:r>
        <w:rPr>
          <w:rFonts w:hint="eastAsia" w:ascii="宋体" w:hAnsi="宋体" w:eastAsia="宋体" w:cs="宋体"/>
          <w:color w:val="auto"/>
          <w:sz w:val="28"/>
          <w:szCs w:val="28"/>
          <w:highlight w:val="none"/>
          <w:lang w:val="en-US" w:eastAsia="zh-CN"/>
        </w:rPr>
        <w:t>体育场、体育馆、游泳馆。</w:t>
      </w:r>
    </w:p>
    <w:p>
      <w:pPr>
        <w:pStyle w:val="2"/>
        <w:pageBreakBefore w:val="0"/>
        <w:widowControl w:val="0"/>
        <w:numPr>
          <w:ilvl w:val="0"/>
          <w:numId w:val="4"/>
        </w:numPr>
        <w:kinsoku/>
        <w:wordWrap/>
        <w:overflowPunct/>
        <w:topLinePunct w:val="0"/>
        <w:bidi w:val="0"/>
        <w:snapToGrid/>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一市（县）两校一园：</w:t>
      </w:r>
      <w:r>
        <w:rPr>
          <w:rFonts w:hint="eastAsia" w:ascii="宋体" w:hAnsi="宋体" w:eastAsia="宋体" w:cs="宋体"/>
          <w:color w:val="auto"/>
          <w:sz w:val="28"/>
          <w:szCs w:val="28"/>
          <w:highlight w:val="none"/>
          <w:lang w:val="en-US" w:eastAsia="zh-CN"/>
        </w:rPr>
        <w:t>每个市县至少引进并办好省级水平的优质中学、小学、幼儿园。</w:t>
      </w:r>
    </w:p>
    <w:p>
      <w:pPr>
        <w:pStyle w:val="2"/>
        <w:pageBreakBefore w:val="0"/>
        <w:widowControl w:val="0"/>
        <w:numPr>
          <w:ilvl w:val="0"/>
          <w:numId w:val="4"/>
        </w:numPr>
        <w:kinsoku/>
        <w:wordWrap/>
        <w:overflowPunct/>
        <w:topLinePunct w:val="0"/>
        <w:bidi w:val="0"/>
        <w:snapToGrid/>
        <w:spacing w:line="560" w:lineRule="exact"/>
        <w:jc w:val="both"/>
        <w:textAlignment w:val="auto"/>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val="en-US" w:eastAsia="zh-CN"/>
        </w:rPr>
        <w:t>“1+N”政策体系：</w:t>
      </w:r>
      <w:r>
        <w:rPr>
          <w:rFonts w:hint="eastAsia" w:ascii="宋体" w:hAnsi="宋体" w:eastAsia="宋体" w:cs="宋体"/>
          <w:color w:val="auto"/>
          <w:sz w:val="28"/>
          <w:szCs w:val="28"/>
          <w:highlight w:val="none"/>
          <w:lang w:val="en-US" w:eastAsia="zh-CN"/>
        </w:rPr>
        <w:t>“1”指《中共中央、国务院关于支持海南全面深化改革开放的指导意见》（中发〔2018〕12号），“N”指中央12号文件若干配套实施方案。</w:t>
      </w:r>
    </w:p>
    <w:p>
      <w:pPr>
        <w:pStyle w:val="2"/>
        <w:pageBreakBefore w:val="0"/>
        <w:widowControl w:val="0"/>
        <w:numPr>
          <w:ilvl w:val="0"/>
          <w:numId w:val="4"/>
        </w:numPr>
        <w:kinsoku/>
        <w:wordWrap/>
        <w:overflowPunct/>
        <w:topLinePunct w:val="0"/>
        <w:bidi w:val="0"/>
        <w:snapToGrid/>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极简审批：</w:t>
      </w:r>
      <w:r>
        <w:rPr>
          <w:rFonts w:hint="eastAsia" w:ascii="宋体" w:hAnsi="宋体" w:eastAsia="宋体" w:cs="宋体"/>
          <w:color w:val="auto"/>
          <w:sz w:val="28"/>
          <w:szCs w:val="28"/>
          <w:highlight w:val="none"/>
          <w:lang w:val="en-US" w:eastAsia="zh-CN"/>
        </w:rPr>
        <w:t>为营造法治化、国际化、便利化的营商环境，按照深化“放管服”改革的要求，最大限度精简行政审批事项、简化行政审批流程、下放行政审批权限、提高行政审批效率，降低企业的制度性交易成本。</w:t>
      </w:r>
    </w:p>
    <w:p>
      <w:pPr>
        <w:pStyle w:val="2"/>
        <w:pageBreakBefore w:val="0"/>
        <w:widowControl w:val="0"/>
        <w:numPr>
          <w:ilvl w:val="0"/>
          <w:numId w:val="4"/>
        </w:numPr>
        <w:kinsoku/>
        <w:wordWrap/>
        <w:overflowPunct/>
        <w:topLinePunct w:val="0"/>
        <w:bidi w:val="0"/>
        <w:snapToGrid/>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双随机、一公开：</w:t>
      </w:r>
      <w:r>
        <w:rPr>
          <w:rFonts w:hint="eastAsia" w:ascii="宋体" w:hAnsi="宋体" w:eastAsia="宋体" w:cs="宋体"/>
          <w:color w:val="auto"/>
          <w:sz w:val="28"/>
          <w:szCs w:val="28"/>
          <w:highlight w:val="none"/>
          <w:lang w:val="en-US" w:eastAsia="zh-CN"/>
        </w:rPr>
        <w:t>在监管过程中随机抽取检查对象，随机选派执法检查人员，抽查情况及查处结果及时向社会公开。</w:t>
      </w:r>
    </w:p>
    <w:p>
      <w:pPr>
        <w:pStyle w:val="2"/>
        <w:pageBreakBefore w:val="0"/>
        <w:widowControl w:val="0"/>
        <w:numPr>
          <w:ilvl w:val="0"/>
          <w:numId w:val="4"/>
        </w:numPr>
        <w:kinsoku/>
        <w:wordWrap/>
        <w:overflowPunct/>
        <w:topLinePunct w:val="0"/>
        <w:bidi w:val="0"/>
        <w:snapToGrid/>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两港三路：</w:t>
      </w:r>
      <w:r>
        <w:rPr>
          <w:rFonts w:hint="eastAsia" w:ascii="宋体" w:hAnsi="宋体" w:eastAsia="宋体" w:cs="宋体"/>
          <w:color w:val="auto"/>
          <w:sz w:val="28"/>
          <w:szCs w:val="28"/>
          <w:highlight w:val="none"/>
          <w:lang w:val="en-US" w:eastAsia="zh-CN"/>
        </w:rPr>
        <w:t>空港、海港、高速铁路、高速公路、城乡公路。</w:t>
      </w:r>
    </w:p>
    <w:p>
      <w:pPr>
        <w:pStyle w:val="2"/>
        <w:pageBreakBefore w:val="0"/>
        <w:widowControl w:val="0"/>
        <w:numPr>
          <w:ilvl w:val="0"/>
          <w:numId w:val="4"/>
        </w:numPr>
        <w:kinsoku/>
        <w:wordWrap/>
        <w:overflowPunct/>
        <w:topLinePunct w:val="0"/>
        <w:bidi w:val="0"/>
        <w:snapToGrid/>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两环：</w:t>
      </w:r>
      <w:r>
        <w:rPr>
          <w:rFonts w:hint="eastAsia" w:ascii="宋体" w:hAnsi="宋体" w:eastAsia="宋体" w:cs="宋体"/>
          <w:color w:val="auto"/>
          <w:sz w:val="28"/>
          <w:szCs w:val="28"/>
          <w:highlight w:val="none"/>
          <w:lang w:val="en-US" w:eastAsia="zh-CN"/>
        </w:rPr>
        <w:t>儋州内环指中央大道（宝岛路）、北部湾大道、中兴大道；儋州二环指G225改线后形成。</w:t>
      </w:r>
    </w:p>
    <w:p>
      <w:pPr>
        <w:pStyle w:val="2"/>
        <w:pageBreakBefore w:val="0"/>
        <w:widowControl w:val="0"/>
        <w:numPr>
          <w:ilvl w:val="0"/>
          <w:numId w:val="4"/>
        </w:numPr>
        <w:kinsoku/>
        <w:wordWrap/>
        <w:overflowPunct/>
        <w:topLinePunct w:val="0"/>
        <w:bidi w:val="0"/>
        <w:snapToGrid/>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三节两赛：</w:t>
      </w:r>
      <w:r>
        <w:rPr>
          <w:rFonts w:hint="eastAsia" w:ascii="宋体" w:hAnsi="宋体" w:eastAsia="宋体" w:cs="宋体"/>
          <w:color w:val="auto"/>
          <w:sz w:val="28"/>
          <w:szCs w:val="28"/>
          <w:highlight w:val="none"/>
          <w:lang w:val="en-US" w:eastAsia="zh-CN"/>
        </w:rPr>
        <w:t>儋州调声文化节、东坡文化节、海南雪茄文化旅游节、国际马拉松赛、国际象棋特级大师超霸战赛。</w:t>
      </w:r>
    </w:p>
    <w:p>
      <w:pPr>
        <w:pStyle w:val="2"/>
        <w:pageBreakBefore w:val="0"/>
        <w:widowControl w:val="0"/>
        <w:numPr>
          <w:ilvl w:val="0"/>
          <w:numId w:val="0"/>
        </w:numPr>
        <w:tabs>
          <w:tab w:val="left" w:pos="420"/>
        </w:tabs>
        <w:kinsoku/>
        <w:wordWrap/>
        <w:overflowPunct/>
        <w:topLinePunct w:val="0"/>
        <w:bidi w:val="0"/>
        <w:snapToGrid/>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b/>
          <w:bCs/>
          <w:color w:val="auto"/>
          <w:sz w:val="28"/>
          <w:szCs w:val="28"/>
          <w:highlight w:val="none"/>
          <w:lang w:val="en-US" w:eastAsia="zh-CN"/>
        </w:rPr>
        <w:t>三化：</w:t>
      </w:r>
      <w:r>
        <w:rPr>
          <w:rFonts w:hint="eastAsia" w:ascii="宋体" w:hAnsi="宋体" w:eastAsia="宋体" w:cs="宋体"/>
          <w:color w:val="auto"/>
          <w:sz w:val="28"/>
          <w:szCs w:val="28"/>
          <w:highlight w:val="none"/>
          <w:lang w:val="en-US" w:eastAsia="zh-CN"/>
        </w:rPr>
        <w:t> 数字化、标准化、品牌化。</w:t>
      </w:r>
    </w:p>
    <w:p>
      <w:pPr>
        <w:pStyle w:val="2"/>
        <w:pageBreakBefore w:val="0"/>
        <w:widowControl w:val="0"/>
        <w:numPr>
          <w:ilvl w:val="0"/>
          <w:numId w:val="0"/>
        </w:numPr>
        <w:kinsoku/>
        <w:wordWrap/>
        <w:overflowPunct/>
        <w:topLinePunct w:val="0"/>
        <w:bidi w:val="0"/>
        <w:snapToGrid/>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w:t>
      </w:r>
      <w:r>
        <w:rPr>
          <w:rFonts w:hint="eastAsia" w:ascii="宋体" w:hAnsi="宋体" w:eastAsia="宋体" w:cs="宋体"/>
          <w:b/>
          <w:bCs/>
          <w:color w:val="auto"/>
          <w:sz w:val="28"/>
          <w:szCs w:val="28"/>
          <w:highlight w:val="none"/>
          <w:lang w:val="en-US" w:eastAsia="zh-CN"/>
        </w:rPr>
        <w:t>三棵树：</w:t>
      </w:r>
      <w:r>
        <w:rPr>
          <w:rFonts w:hint="eastAsia" w:ascii="宋体" w:hAnsi="宋体" w:eastAsia="宋体" w:cs="宋体"/>
          <w:color w:val="auto"/>
          <w:sz w:val="28"/>
          <w:szCs w:val="28"/>
          <w:highlight w:val="none"/>
          <w:lang w:val="en-US" w:eastAsia="zh-CN"/>
        </w:rPr>
        <w:t>橡胶树、椰子树、槟榔树。</w:t>
      </w:r>
    </w:p>
    <w:p>
      <w:pPr>
        <w:pStyle w:val="2"/>
        <w:pageBreakBefore w:val="0"/>
        <w:widowControl w:val="0"/>
        <w:numPr>
          <w:ilvl w:val="0"/>
          <w:numId w:val="0"/>
        </w:numPr>
        <w:kinsoku/>
        <w:wordWrap/>
        <w:overflowPunct/>
        <w:topLinePunct w:val="0"/>
        <w:bidi w:val="0"/>
        <w:snapToGrid/>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w:t>
      </w:r>
      <w:r>
        <w:rPr>
          <w:rFonts w:hint="eastAsia" w:ascii="宋体" w:hAnsi="宋体" w:eastAsia="宋体" w:cs="宋体"/>
          <w:b/>
          <w:bCs/>
          <w:color w:val="auto"/>
          <w:sz w:val="28"/>
          <w:szCs w:val="28"/>
          <w:highlight w:val="none"/>
          <w:lang w:val="en-US" w:eastAsia="zh-CN"/>
        </w:rPr>
        <w:t>两品一标：</w:t>
      </w:r>
      <w:r>
        <w:rPr>
          <w:rFonts w:hint="eastAsia" w:ascii="宋体" w:hAnsi="宋体" w:eastAsia="宋体" w:cs="宋体"/>
          <w:color w:val="auto"/>
          <w:sz w:val="28"/>
          <w:szCs w:val="28"/>
          <w:highlight w:val="none"/>
          <w:lang w:val="en-US" w:eastAsia="zh-CN"/>
        </w:rPr>
        <w:t>绿色食品、有机农产品和农产品地理标志。</w:t>
      </w:r>
    </w:p>
    <w:p>
      <w:pPr>
        <w:pStyle w:val="2"/>
        <w:pageBreakBefore w:val="0"/>
        <w:widowControl w:val="0"/>
        <w:numPr>
          <w:ilvl w:val="0"/>
          <w:numId w:val="0"/>
        </w:numPr>
        <w:kinsoku/>
        <w:wordWrap/>
        <w:overflowPunct/>
        <w:topLinePunct w:val="0"/>
        <w:bidi w:val="0"/>
        <w:snapToGrid/>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13.</w:t>
      </w:r>
      <w:r>
        <w:rPr>
          <w:rFonts w:hint="eastAsia" w:ascii="宋体" w:hAnsi="宋体" w:eastAsia="宋体" w:cs="宋体"/>
          <w:b/>
          <w:bCs/>
          <w:color w:val="auto"/>
          <w:sz w:val="28"/>
          <w:szCs w:val="28"/>
          <w:highlight w:val="none"/>
          <w:lang w:val="en-US" w:eastAsia="zh-CN"/>
        </w:rPr>
        <w:t>十项重大工程：</w:t>
      </w:r>
      <w:r>
        <w:rPr>
          <w:rFonts w:hint="eastAsia" w:ascii="宋体" w:hAnsi="宋体" w:eastAsia="宋体" w:cs="宋体"/>
          <w:color w:val="auto"/>
          <w:sz w:val="28"/>
          <w:szCs w:val="28"/>
          <w:highlight w:val="none"/>
          <w:lang w:val="en-US" w:eastAsia="zh-CN"/>
        </w:rPr>
        <w:t>城乡义务教育均衡发展工程、县乡村医疗一体化改革工程、城乡供水管网延伸工程、统筹城乡人居环境改善工程、城乡一体化公共交通工程、农业发展提升工程、农村要素改革工程、农业转移人口市民化工程、人才入乡工程、资金支农工程。</w:t>
      </w:r>
    </w:p>
    <w:p>
      <w:pPr>
        <w:pStyle w:val="2"/>
        <w:pageBreakBefore w:val="0"/>
        <w:widowControl w:val="0"/>
        <w:numPr>
          <w:ilvl w:val="0"/>
          <w:numId w:val="0"/>
        </w:numPr>
        <w:kinsoku/>
        <w:wordWrap/>
        <w:overflowPunct/>
        <w:topLinePunct w:val="0"/>
        <w:bidi w:val="0"/>
        <w:snapToGrid/>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14.</w:t>
      </w:r>
      <w:r>
        <w:rPr>
          <w:rFonts w:hint="eastAsia" w:ascii="宋体" w:hAnsi="宋体" w:eastAsia="宋体" w:cs="宋体"/>
          <w:b/>
          <w:bCs/>
          <w:color w:val="auto"/>
          <w:sz w:val="28"/>
          <w:szCs w:val="28"/>
          <w:highlight w:val="none"/>
          <w:lang w:val="en-US" w:eastAsia="zh-CN"/>
        </w:rPr>
        <w:t>五有：</w:t>
      </w:r>
      <w:r>
        <w:rPr>
          <w:rFonts w:hint="eastAsia" w:ascii="宋体" w:hAnsi="宋体" w:eastAsia="宋体" w:cs="宋体"/>
          <w:color w:val="auto"/>
          <w:sz w:val="28"/>
          <w:szCs w:val="28"/>
          <w:highlight w:val="none"/>
          <w:lang w:val="en-US" w:eastAsia="zh-CN"/>
        </w:rPr>
        <w:t>有齐全的设施设备、有成熟的治理方式、有稳定的保洁机制、有长效的资金保障、有完善的监管制度。</w:t>
      </w:r>
    </w:p>
    <w:p>
      <w:pPr>
        <w:pStyle w:val="2"/>
        <w:pageBreakBefore w:val="0"/>
        <w:widowControl w:val="0"/>
        <w:numPr>
          <w:ilvl w:val="0"/>
          <w:numId w:val="0"/>
        </w:numPr>
        <w:kinsoku/>
        <w:wordWrap/>
        <w:overflowPunct/>
        <w:topLinePunct w:val="0"/>
        <w:bidi w:val="0"/>
        <w:snapToGrid/>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15.</w:t>
      </w:r>
      <w:r>
        <w:rPr>
          <w:rFonts w:hint="eastAsia" w:ascii="宋体" w:hAnsi="宋体" w:eastAsia="宋体" w:cs="宋体"/>
          <w:b/>
          <w:bCs/>
          <w:color w:val="auto"/>
          <w:sz w:val="28"/>
          <w:szCs w:val="28"/>
          <w:highlight w:val="none"/>
          <w:lang w:val="en-US" w:eastAsia="zh-CN"/>
        </w:rPr>
        <w:t>四个不摘</w:t>
      </w:r>
      <w:r>
        <w:rPr>
          <w:rFonts w:hint="eastAsia" w:ascii="宋体" w:hAnsi="宋体" w:eastAsia="宋体" w:cs="宋体"/>
          <w:color w:val="auto"/>
          <w:sz w:val="28"/>
          <w:szCs w:val="28"/>
          <w:highlight w:val="none"/>
          <w:lang w:val="en-US" w:eastAsia="zh-CN"/>
        </w:rPr>
        <w:t>：摘帽不摘责任、摘帽不摘政策、摘帽不摘帮扶、摘帽不摘监管</w:t>
      </w:r>
    </w:p>
    <w:p>
      <w:pPr>
        <w:pStyle w:val="2"/>
        <w:pageBreakBefore w:val="0"/>
        <w:widowControl w:val="0"/>
        <w:numPr>
          <w:ilvl w:val="0"/>
          <w:numId w:val="0"/>
        </w:numPr>
        <w:kinsoku/>
        <w:wordWrap/>
        <w:overflowPunct/>
        <w:topLinePunct w:val="0"/>
        <w:bidi w:val="0"/>
        <w:snapToGrid/>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16.</w:t>
      </w:r>
      <w:r>
        <w:rPr>
          <w:rFonts w:hint="eastAsia" w:ascii="宋体" w:hAnsi="宋体" w:eastAsia="宋体" w:cs="宋体"/>
          <w:b/>
          <w:bCs/>
          <w:color w:val="auto"/>
          <w:sz w:val="28"/>
          <w:szCs w:val="28"/>
          <w:highlight w:val="none"/>
          <w:lang w:val="en-US" w:eastAsia="zh-CN"/>
        </w:rPr>
        <w:t>八八战略：</w:t>
      </w:r>
      <w:r>
        <w:rPr>
          <w:rFonts w:hint="eastAsia" w:ascii="宋体" w:hAnsi="宋体" w:eastAsia="宋体" w:cs="宋体"/>
          <w:color w:val="auto"/>
          <w:sz w:val="28"/>
          <w:szCs w:val="28"/>
          <w:highlight w:val="none"/>
          <w:lang w:val="en-US" w:eastAsia="zh-CN"/>
        </w:rPr>
        <w:t>省委、省政府《关于推进新一轮海南农垦改革发展的实施意见》（琼发〔2015〕12号）提出，重点发展天然橡胶、热带水果、热带作物、草畜养殖、南繁育制种、旅游健康地产、商贸物流、金融服务等八大产业，以桂林洋国家热带农业公园、万宁槟榔生态科技产业园、五指山金江茶文化产业园、红光草畜产业园、南田国家现代农业示范区、三亚凤凰谷乡村文化旅游区、南滨国家南繁种业园区、南平医疗养生产业园区等为载体，依托农场和市县共同建设八大产业园区。</w:t>
      </w:r>
    </w:p>
    <w:p>
      <w:pPr>
        <w:pStyle w:val="2"/>
        <w:pageBreakBefore w:val="0"/>
        <w:widowControl w:val="0"/>
        <w:numPr>
          <w:ilvl w:val="0"/>
          <w:numId w:val="0"/>
        </w:numPr>
        <w:kinsoku/>
        <w:wordWrap/>
        <w:overflowPunct/>
        <w:topLinePunct w:val="0"/>
        <w:bidi w:val="0"/>
        <w:snapToGrid/>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17.</w:t>
      </w:r>
      <w:r>
        <w:rPr>
          <w:rFonts w:hint="eastAsia" w:ascii="宋体" w:hAnsi="宋体" w:eastAsia="宋体" w:cs="宋体"/>
          <w:b/>
          <w:bCs/>
          <w:color w:val="auto"/>
          <w:sz w:val="28"/>
          <w:szCs w:val="28"/>
          <w:highlight w:val="none"/>
          <w:lang w:val="en-US" w:eastAsia="zh-CN"/>
        </w:rPr>
        <w:t>三项制度：</w:t>
      </w:r>
      <w:r>
        <w:rPr>
          <w:rFonts w:hint="eastAsia" w:ascii="宋体" w:hAnsi="宋体" w:eastAsia="宋体" w:cs="宋体"/>
          <w:color w:val="auto"/>
          <w:sz w:val="28"/>
          <w:szCs w:val="28"/>
          <w:highlight w:val="none"/>
          <w:lang w:val="en-US" w:eastAsia="zh-CN"/>
        </w:rPr>
        <w:t>行政执法公示制度、执法全过程记录制度和重大执法决定法制审核制度。</w:t>
      </w:r>
    </w:p>
    <w:p>
      <w:pPr>
        <w:pStyle w:val="2"/>
        <w:pageBreakBefore w:val="0"/>
        <w:widowControl w:val="0"/>
        <w:numPr>
          <w:ilvl w:val="0"/>
          <w:numId w:val="0"/>
        </w:numPr>
        <w:kinsoku/>
        <w:wordWrap/>
        <w:overflowPunct/>
        <w:topLinePunct w:val="0"/>
        <w:bidi w:val="0"/>
        <w:snapToGrid/>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18.</w:t>
      </w:r>
      <w:r>
        <w:rPr>
          <w:rFonts w:hint="eastAsia" w:ascii="宋体" w:hAnsi="宋体" w:eastAsia="宋体" w:cs="宋体"/>
          <w:b/>
          <w:bCs/>
          <w:color w:val="auto"/>
          <w:sz w:val="28"/>
          <w:szCs w:val="28"/>
          <w:highlight w:val="none"/>
          <w:lang w:val="en-US" w:eastAsia="zh-CN"/>
        </w:rPr>
        <w:t>“一核两委一会”乡村治理机制：</w:t>
      </w:r>
      <w:r>
        <w:rPr>
          <w:rFonts w:hint="eastAsia" w:ascii="宋体" w:hAnsi="宋体" w:eastAsia="宋体" w:cs="宋体"/>
          <w:color w:val="auto"/>
          <w:sz w:val="28"/>
          <w:szCs w:val="28"/>
          <w:highlight w:val="none"/>
          <w:lang w:val="en-US" w:eastAsia="zh-CN"/>
        </w:rPr>
        <w:t>“一核”指村党组织发挥硬核作用；“两委”指村民委员会和村务监督委员会，是自治组织和监督组织；“一会”指村务协商会，是村民协调议事组织。</w:t>
      </w:r>
    </w:p>
    <w:p>
      <w:pPr>
        <w:pStyle w:val="2"/>
        <w:pageBreakBefore w:val="0"/>
        <w:widowControl w:val="0"/>
        <w:numPr>
          <w:ilvl w:val="0"/>
          <w:numId w:val="0"/>
        </w:numPr>
        <w:kinsoku/>
        <w:wordWrap/>
        <w:overflowPunct/>
        <w:topLinePunct w:val="0"/>
        <w:bidi w:val="0"/>
        <w:snapToGrid/>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19.</w:t>
      </w:r>
      <w:r>
        <w:rPr>
          <w:rFonts w:hint="eastAsia" w:ascii="宋体" w:hAnsi="宋体" w:eastAsia="宋体" w:cs="宋体"/>
          <w:b/>
          <w:bCs/>
          <w:color w:val="auto"/>
          <w:sz w:val="28"/>
          <w:szCs w:val="28"/>
          <w:highlight w:val="none"/>
          <w:lang w:val="en-US" w:eastAsia="zh-CN"/>
        </w:rPr>
        <w:t>三个区分开来：</w:t>
      </w:r>
      <w:r>
        <w:rPr>
          <w:rFonts w:hint="eastAsia" w:ascii="宋体" w:hAnsi="宋体" w:eastAsia="宋体" w:cs="宋体"/>
          <w:color w:val="auto"/>
          <w:sz w:val="28"/>
          <w:szCs w:val="28"/>
          <w:highlight w:val="none"/>
          <w:lang w:val="en-US" w:eastAsia="zh-CN"/>
        </w:rPr>
        <w:t>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w:t>
      </w:r>
    </w:p>
    <w:p>
      <w:pPr>
        <w:pStyle w:val="2"/>
        <w:pageBreakBefore w:val="0"/>
        <w:widowControl w:val="0"/>
        <w:numPr>
          <w:ilvl w:val="0"/>
          <w:numId w:val="0"/>
        </w:numPr>
        <w:kinsoku/>
        <w:wordWrap/>
        <w:overflowPunct/>
        <w:topLinePunct w:val="0"/>
        <w:bidi w:val="0"/>
        <w:snapToGrid/>
        <w:spacing w:line="56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20.</w:t>
      </w:r>
      <w:r>
        <w:rPr>
          <w:rFonts w:hint="eastAsia" w:ascii="宋体" w:hAnsi="宋体" w:eastAsia="宋体" w:cs="宋体"/>
          <w:b/>
          <w:bCs/>
          <w:color w:val="auto"/>
          <w:sz w:val="28"/>
          <w:szCs w:val="28"/>
          <w:highlight w:val="none"/>
          <w:lang w:val="en-US" w:eastAsia="zh-CN"/>
        </w:rPr>
        <w:t>八种本领：</w:t>
      </w:r>
      <w:r>
        <w:rPr>
          <w:rFonts w:hint="eastAsia" w:ascii="宋体" w:hAnsi="宋体" w:eastAsia="宋体" w:cs="宋体"/>
          <w:color w:val="auto"/>
          <w:sz w:val="28"/>
          <w:szCs w:val="28"/>
          <w:highlight w:val="none"/>
          <w:lang w:val="en-US" w:eastAsia="zh-CN"/>
        </w:rPr>
        <w:t>学习本领、政治领导本领、改革创新本领、科学发展本领、依法执政本领、群众工作本领、狠抓落实本领、驾驭风险本领。</w:t>
      </w:r>
    </w:p>
    <w:p>
      <w:pPr>
        <w:pStyle w:val="2"/>
        <w:pageBreakBefore w:val="0"/>
        <w:widowControl w:val="0"/>
        <w:numPr>
          <w:ilvl w:val="0"/>
          <w:numId w:val="0"/>
        </w:numPr>
        <w:kinsoku/>
        <w:wordWrap/>
        <w:overflowPunct/>
        <w:topLinePunct w:val="0"/>
        <w:bidi w:val="0"/>
        <w:snapToGrid/>
        <w:spacing w:line="560" w:lineRule="exact"/>
        <w:jc w:val="both"/>
        <w:textAlignment w:val="auto"/>
        <w:rPr>
          <w:rFonts w:hint="eastAsia" w:ascii="宋体" w:hAnsi="宋体" w:eastAsia="宋体" w:cs="宋体"/>
          <w:color w:val="auto"/>
          <w:sz w:val="28"/>
          <w:szCs w:val="28"/>
          <w:highlight w:val="none"/>
          <w:lang w:val="en-US" w:eastAsia="zh-CN"/>
        </w:rPr>
        <w:sectPr>
          <w:footerReference r:id="rId4" w:type="default"/>
          <w:pgSz w:w="11906" w:h="16838"/>
          <w:pgMar w:top="2098" w:right="1531" w:bottom="1984" w:left="1531" w:header="851"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pPr>
      <w:r>
        <w:rPr>
          <w:rFonts w:hint="eastAsia" w:ascii="宋体" w:hAnsi="宋体" w:eastAsia="宋体" w:cs="宋体"/>
          <w:color w:val="auto"/>
          <w:sz w:val="28"/>
          <w:szCs w:val="28"/>
          <w:highlight w:val="none"/>
          <w:lang w:val="en-US" w:eastAsia="zh-CN"/>
        </w:rPr>
        <w:t>21.</w:t>
      </w:r>
      <w:r>
        <w:rPr>
          <w:rFonts w:hint="eastAsia" w:ascii="宋体" w:hAnsi="宋体" w:eastAsia="宋体" w:cs="宋体"/>
          <w:b/>
          <w:bCs/>
          <w:color w:val="auto"/>
          <w:sz w:val="28"/>
          <w:szCs w:val="28"/>
          <w:highlight w:val="none"/>
          <w:lang w:val="en-US" w:eastAsia="zh-CN"/>
        </w:rPr>
        <w:t>七种能力：</w:t>
      </w:r>
      <w:r>
        <w:rPr>
          <w:rFonts w:hint="eastAsia" w:ascii="宋体" w:hAnsi="宋体" w:eastAsia="宋体" w:cs="宋体"/>
          <w:color w:val="auto"/>
          <w:sz w:val="28"/>
          <w:szCs w:val="28"/>
          <w:highlight w:val="none"/>
          <w:lang w:val="en-US" w:eastAsia="zh-CN"/>
        </w:rPr>
        <w:t>政治能力、调查研究能力、科学决策能力、改革攻坚能力、应急处突能力、群众工作能力、抓落实能力</w:t>
      </w:r>
    </w:p>
    <w:p>
      <w:pPr>
        <w:pStyle w:val="2"/>
        <w:numPr>
          <w:ilvl w:val="0"/>
          <w:numId w:val="0"/>
        </w:numPr>
        <w:rPr>
          <w:rFonts w:hint="default" w:ascii="仿宋_GB2312" w:hAnsi="仿宋_GB2312" w:eastAsia="仿宋_GB2312" w:cs="仿宋_GB2312"/>
          <w:color w:val="auto"/>
          <w:sz w:val="32"/>
          <w:szCs w:val="32"/>
          <w:highlight w:val="none"/>
          <w:lang w:val="en-US" w:eastAsia="zh-CN"/>
        </w:rPr>
      </w:pPr>
    </w:p>
    <w:sectPr>
      <w:footerReference r:id="rId5" w:type="default"/>
      <w:pgSz w:w="16838" w:h="11906" w:orient="landscape"/>
      <w:pgMar w:top="1417" w:right="1417" w:bottom="1417" w:left="141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Calibri Light">
    <w:altName w:val="Calibri"/>
    <w:panose1 w:val="020F0302020204030204"/>
    <w:charset w:val="00"/>
    <w:family w:val="decorative"/>
    <w:pitch w:val="default"/>
    <w:sig w:usb0="00000000" w:usb1="00000000" w:usb2="00000000" w:usb3="00000000" w:csb0="2000019F" w:csb1="00000000"/>
  </w:font>
  <w:font w:name="仿宋">
    <w:panose1 w:val="02010609060101010101"/>
    <w:charset w:val="86"/>
    <w:family w:val="swiss"/>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caps/>
        <w:color w:val="000000" w:themeColor="text1"/>
        <w14:textFill>
          <w14:solidFill>
            <w14:schemeClr w14:val="tx1"/>
          </w14:solidFill>
        </w14:textFil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caps/>
        <w:color w:val="000000" w:themeColor="text1"/>
        <w14:textFill>
          <w14:solidFill>
            <w14:schemeClr w14:val="tx1"/>
          </w14:solidFill>
        </w14:textFill>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-201930</wp:posOffset>
              </wp:positionV>
              <wp:extent cx="1828800" cy="182880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rPr>
                              <w:rFonts w:hint="eastAsia" w:eastAsia="宋体"/>
                              <w:lang w:val="en-US" w:eastAsia="zh-CN"/>
                            </w:rPr>
                          </w:pPr>
                          <w:r>
                            <w:rPr>
                              <w:rFonts w:hint="eastAsia" w:ascii="宋体" w:hAnsi="宋体" w:eastAsia="宋体" w:cs="宋体"/>
                              <w:caps/>
                              <w:color w:val="000000" w:themeColor="text1"/>
                              <w:sz w:val="28"/>
                              <w:szCs w:val="28"/>
                              <w:lang w:eastAsia="zh-CN"/>
                              <w14:textFill>
                                <w14:solidFill>
                                  <w14:schemeClr w14:val="tx1"/>
                                </w14:solidFill>
                              </w14:textFill>
                            </w:rPr>
                            <w:t>—</w:t>
                          </w:r>
                          <w:r>
                            <w:rPr>
                              <w:rFonts w:hint="eastAsia" w:ascii="宋体" w:hAnsi="宋体" w:eastAsia="宋体" w:cs="宋体"/>
                              <w:caps/>
                              <w:color w:val="000000" w:themeColor="text1"/>
                              <w:sz w:val="28"/>
                              <w:szCs w:val="28"/>
                              <w:lang w:val="en-US" w:eastAsia="zh-CN"/>
                              <w14:textFill>
                                <w14:solidFill>
                                  <w14:schemeClr w14:val="tx1"/>
                                </w14:solidFill>
                              </w14:textFill>
                            </w:rPr>
                            <w:t xml:space="preserve"> </w:t>
                          </w:r>
                          <w:r>
                            <w:rPr>
                              <w:rFonts w:hint="eastAsia" w:ascii="宋体" w:hAnsi="宋体" w:eastAsia="宋体" w:cs="宋体"/>
                              <w:caps/>
                              <w:color w:val="000000" w:themeColor="text1"/>
                              <w:sz w:val="28"/>
                              <w:szCs w:val="28"/>
                              <w14:textFill>
                                <w14:solidFill>
                                  <w14:schemeClr w14:val="tx1"/>
                                </w14:solidFill>
                              </w14:textFill>
                            </w:rPr>
                            <w:fldChar w:fldCharType="begin"/>
                          </w:r>
                          <w:r>
                            <w:rPr>
                              <w:rFonts w:hint="eastAsia" w:ascii="宋体" w:hAnsi="宋体" w:eastAsia="宋体" w:cs="宋体"/>
                              <w:caps/>
                              <w:color w:val="000000" w:themeColor="text1"/>
                              <w:sz w:val="28"/>
                              <w:szCs w:val="28"/>
                              <w14:textFill>
                                <w14:solidFill>
                                  <w14:schemeClr w14:val="tx1"/>
                                </w14:solidFill>
                              </w14:textFill>
                            </w:rPr>
                            <w:instrText xml:space="preserve"> PAGE   \* MERGEFORMAT </w:instrText>
                          </w:r>
                          <w:r>
                            <w:rPr>
                              <w:rFonts w:hint="eastAsia" w:ascii="宋体" w:hAnsi="宋体" w:eastAsia="宋体" w:cs="宋体"/>
                              <w:caps/>
                              <w:color w:val="000000" w:themeColor="text1"/>
                              <w:sz w:val="28"/>
                              <w:szCs w:val="28"/>
                              <w14:textFill>
                                <w14:solidFill>
                                  <w14:schemeClr w14:val="tx1"/>
                                </w14:solidFill>
                              </w14:textFill>
                            </w:rPr>
                            <w:fldChar w:fldCharType="separate"/>
                          </w:r>
                          <w:r>
                            <w:rPr>
                              <w:rFonts w:hint="eastAsia" w:ascii="宋体" w:hAnsi="宋体" w:eastAsia="宋体" w:cs="宋体"/>
                              <w:caps/>
                              <w:color w:val="000000" w:themeColor="text1"/>
                              <w:sz w:val="28"/>
                              <w:szCs w:val="28"/>
                              <w14:textFill>
                                <w14:solidFill>
                                  <w14:schemeClr w14:val="tx1"/>
                                </w14:solidFill>
                              </w14:textFill>
                            </w:rPr>
                            <w:t>2</w:t>
                          </w:r>
                          <w:r>
                            <w:rPr>
                              <w:rFonts w:hint="eastAsia" w:ascii="宋体" w:hAnsi="宋体" w:eastAsia="宋体" w:cs="宋体"/>
                              <w:caps/>
                              <w:color w:val="000000" w:themeColor="text1"/>
                              <w:sz w:val="28"/>
                              <w:szCs w:val="28"/>
                              <w14:textFill>
                                <w14:solidFill>
                                  <w14:schemeClr w14:val="tx1"/>
                                </w14:solidFill>
                              </w14:textFill>
                            </w:rPr>
                            <w:fldChar w:fldCharType="end"/>
                          </w:r>
                          <w:r>
                            <w:rPr>
                              <w:rFonts w:hint="eastAsia" w:ascii="宋体" w:hAnsi="宋体" w:eastAsia="宋体" w:cs="宋体"/>
                              <w:caps/>
                              <w:color w:val="000000" w:themeColor="text1"/>
                              <w:sz w:val="28"/>
                              <w:szCs w:val="28"/>
                              <w:lang w:val="en-US" w:eastAsia="zh-CN"/>
                              <w14:textFill>
                                <w14:solidFill>
                                  <w14:schemeClr w14:val="tx1"/>
                                </w14:solidFill>
                              </w14:textFill>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9pt;height:144pt;width:144pt;mso-position-horizontal:outside;mso-position-horizontal-relative:margin;mso-wrap-style:none;z-index:251658240;mso-width-relative:page;mso-height-relative:page;" filled="f" stroked="f" coordsize="21600,21600" o:gfxdata="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yFcYjWAAAACAEAAA8AAAAA&#10;AAAAAQAgAAAAIgAAAGRycy9kb3ducmV2LnhtbFBLAQIUABQAAAAIAIdO4kC2ervWFgIAABcEAAAO&#10;AAAAAAAAAAEAIAAAACUBAABkcnMvZTJvRG9jLnhtbFBLBQYAAAAABgAGAFkBAACtBQAAAAA=&#10;">
              <v:fill on="f" focussize="0,0"/>
              <v:stroke on="f" weight="0.5pt"/>
              <v:imagedata o:title=""/>
              <o:lock v:ext="edit" aspectratio="f"/>
              <v:textbox inset="0mm,0mm,0mm,0mm" style="mso-fit-shape-to-text:t;">
                <w:txbxContent>
                  <w:p>
                    <w:pPr>
                      <w:pStyle w:val="12"/>
                      <w:jc w:val="center"/>
                      <w:rPr>
                        <w:rFonts w:hint="eastAsia" w:eastAsia="宋体"/>
                        <w:lang w:val="en-US" w:eastAsia="zh-CN"/>
                      </w:rPr>
                    </w:pPr>
                    <w:r>
                      <w:rPr>
                        <w:rFonts w:hint="eastAsia" w:ascii="宋体" w:hAnsi="宋体" w:eastAsia="宋体" w:cs="宋体"/>
                        <w:caps/>
                        <w:color w:val="000000" w:themeColor="text1"/>
                        <w:sz w:val="28"/>
                        <w:szCs w:val="28"/>
                        <w:lang w:eastAsia="zh-CN"/>
                        <w14:textFill>
                          <w14:solidFill>
                            <w14:schemeClr w14:val="tx1"/>
                          </w14:solidFill>
                        </w14:textFill>
                      </w:rPr>
                      <w:t>—</w:t>
                    </w:r>
                    <w:r>
                      <w:rPr>
                        <w:rFonts w:hint="eastAsia" w:ascii="宋体" w:hAnsi="宋体" w:eastAsia="宋体" w:cs="宋体"/>
                        <w:caps/>
                        <w:color w:val="000000" w:themeColor="text1"/>
                        <w:sz w:val="28"/>
                        <w:szCs w:val="28"/>
                        <w:lang w:val="en-US" w:eastAsia="zh-CN"/>
                        <w14:textFill>
                          <w14:solidFill>
                            <w14:schemeClr w14:val="tx1"/>
                          </w14:solidFill>
                        </w14:textFill>
                      </w:rPr>
                      <w:t xml:space="preserve"> </w:t>
                    </w:r>
                    <w:r>
                      <w:rPr>
                        <w:rFonts w:hint="eastAsia" w:ascii="宋体" w:hAnsi="宋体" w:eastAsia="宋体" w:cs="宋体"/>
                        <w:caps/>
                        <w:color w:val="000000" w:themeColor="text1"/>
                        <w:sz w:val="28"/>
                        <w:szCs w:val="28"/>
                        <w14:textFill>
                          <w14:solidFill>
                            <w14:schemeClr w14:val="tx1"/>
                          </w14:solidFill>
                        </w14:textFill>
                      </w:rPr>
                      <w:fldChar w:fldCharType="begin"/>
                    </w:r>
                    <w:r>
                      <w:rPr>
                        <w:rFonts w:hint="eastAsia" w:ascii="宋体" w:hAnsi="宋体" w:eastAsia="宋体" w:cs="宋体"/>
                        <w:caps/>
                        <w:color w:val="000000" w:themeColor="text1"/>
                        <w:sz w:val="28"/>
                        <w:szCs w:val="28"/>
                        <w14:textFill>
                          <w14:solidFill>
                            <w14:schemeClr w14:val="tx1"/>
                          </w14:solidFill>
                        </w14:textFill>
                      </w:rPr>
                      <w:instrText xml:space="preserve"> PAGE   \* MERGEFORMAT </w:instrText>
                    </w:r>
                    <w:r>
                      <w:rPr>
                        <w:rFonts w:hint="eastAsia" w:ascii="宋体" w:hAnsi="宋体" w:eastAsia="宋体" w:cs="宋体"/>
                        <w:caps/>
                        <w:color w:val="000000" w:themeColor="text1"/>
                        <w:sz w:val="28"/>
                        <w:szCs w:val="28"/>
                        <w14:textFill>
                          <w14:solidFill>
                            <w14:schemeClr w14:val="tx1"/>
                          </w14:solidFill>
                        </w14:textFill>
                      </w:rPr>
                      <w:fldChar w:fldCharType="separate"/>
                    </w:r>
                    <w:r>
                      <w:rPr>
                        <w:rFonts w:hint="eastAsia" w:ascii="宋体" w:hAnsi="宋体" w:eastAsia="宋体" w:cs="宋体"/>
                        <w:caps/>
                        <w:color w:val="000000" w:themeColor="text1"/>
                        <w:sz w:val="28"/>
                        <w:szCs w:val="28"/>
                        <w14:textFill>
                          <w14:solidFill>
                            <w14:schemeClr w14:val="tx1"/>
                          </w14:solidFill>
                        </w14:textFill>
                      </w:rPr>
                      <w:t>2</w:t>
                    </w:r>
                    <w:r>
                      <w:rPr>
                        <w:rFonts w:hint="eastAsia" w:ascii="宋体" w:hAnsi="宋体" w:eastAsia="宋体" w:cs="宋体"/>
                        <w:caps/>
                        <w:color w:val="000000" w:themeColor="text1"/>
                        <w:sz w:val="28"/>
                        <w:szCs w:val="28"/>
                        <w14:textFill>
                          <w14:solidFill>
                            <w14:schemeClr w14:val="tx1"/>
                          </w14:solidFill>
                        </w14:textFill>
                      </w:rPr>
                      <w:fldChar w:fldCharType="end"/>
                    </w:r>
                    <w:r>
                      <w:rPr>
                        <w:rFonts w:hint="eastAsia" w:ascii="宋体" w:hAnsi="宋体" w:eastAsia="宋体" w:cs="宋体"/>
                        <w:caps/>
                        <w:color w:val="000000" w:themeColor="text1"/>
                        <w:sz w:val="28"/>
                        <w:szCs w:val="28"/>
                        <w:lang w:val="en-US" w:eastAsia="zh-CN"/>
                        <w14:textFill>
                          <w14:solidFill>
                            <w14:schemeClr w14:val="tx1"/>
                          </w14:solidFill>
                        </w14:textFill>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7" name="文本框 6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bGBuSFgIAABcEAAAOAAAAAAAA&#10;AAEAIAAAAB8BAABkcnMvZTJvRG9jLnhtbFBLBQYAAAAABgAGAFkBAACnBQAAAAA=&#10;">
              <v:fill on="f" focussize="0,0"/>
              <v:stroke on="f" weight="0.5pt"/>
              <v:imagedata o:title=""/>
              <o:lock v:ext="edit" aspectratio="f"/>
              <v:textbox inset="0mm,0mm,0mm,0mm" style="mso-fit-shape-to-text:t;">
                <w:txbxContent>
                  <w:p>
                    <w:pPr>
                      <w:pStyle w:val="1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9305A4"/>
    <w:multiLevelType w:val="singleLevel"/>
    <w:tmpl w:val="B59305A4"/>
    <w:lvl w:ilvl="0" w:tentative="0">
      <w:start w:val="7"/>
      <w:numFmt w:val="chineseCounting"/>
      <w:suff w:val="space"/>
      <w:lvlText w:val="第%1章"/>
      <w:lvlJc w:val="left"/>
      <w:rPr>
        <w:rFonts w:hint="eastAsia"/>
      </w:rPr>
    </w:lvl>
  </w:abstractNum>
  <w:abstractNum w:abstractNumId="1">
    <w:nsid w:val="E08BCF72"/>
    <w:multiLevelType w:val="singleLevel"/>
    <w:tmpl w:val="E08BCF72"/>
    <w:lvl w:ilvl="0" w:tentative="0">
      <w:start w:val="3"/>
      <w:numFmt w:val="chineseCounting"/>
      <w:suff w:val="nothing"/>
      <w:lvlText w:val="（%1）"/>
      <w:lvlJc w:val="left"/>
      <w:rPr>
        <w:rFonts w:hint="eastAsia"/>
      </w:rPr>
    </w:lvl>
  </w:abstractNum>
  <w:abstractNum w:abstractNumId="2">
    <w:nsid w:val="00000005"/>
    <w:multiLevelType w:val="singleLevel"/>
    <w:tmpl w:val="00000005"/>
    <w:lvl w:ilvl="0" w:tentative="0">
      <w:start w:val="1"/>
      <w:numFmt w:val="decimal"/>
      <w:pStyle w:val="22"/>
      <w:lvlText w:val="图%1. "/>
      <w:lvlJc w:val="left"/>
      <w:pPr>
        <w:tabs>
          <w:tab w:val="left" w:pos="777"/>
        </w:tabs>
        <w:ind w:left="777" w:hanging="420"/>
      </w:pPr>
      <w:rPr>
        <w:rFonts w:hint="eastAsia"/>
        <w:lang w:val="en-US"/>
      </w:rPr>
    </w:lvl>
  </w:abstractNum>
  <w:abstractNum w:abstractNumId="3">
    <w:nsid w:val="582B02FC"/>
    <w:multiLevelType w:val="singleLevel"/>
    <w:tmpl w:val="582B02FC"/>
    <w:lvl w:ilvl="0" w:tentative="0">
      <w:start w:val="1"/>
      <w:numFmt w:val="decimal"/>
      <w:lvlText w:val="%1."/>
      <w:lvlJc w:val="left"/>
      <w:pPr>
        <w:tabs>
          <w:tab w:val="left" w:pos="312"/>
        </w:tabs>
      </w:pPr>
      <w:rPr>
        <w:rFonts w:hint="default" w:ascii="仿宋_GB2312" w:hAnsi="仿宋_GB2312" w:eastAsia="仿宋_GB2312" w:cs="仿宋_GB2312"/>
        <w:sz w:val="32"/>
        <w:szCs w:val="32"/>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6B"/>
    <w:rsid w:val="0000189B"/>
    <w:rsid w:val="0000229E"/>
    <w:rsid w:val="000032DE"/>
    <w:rsid w:val="00003672"/>
    <w:rsid w:val="000037BC"/>
    <w:rsid w:val="00004DA7"/>
    <w:rsid w:val="00005056"/>
    <w:rsid w:val="00005ABB"/>
    <w:rsid w:val="00007226"/>
    <w:rsid w:val="0000784A"/>
    <w:rsid w:val="000078CE"/>
    <w:rsid w:val="00007D8D"/>
    <w:rsid w:val="00011176"/>
    <w:rsid w:val="00011DBB"/>
    <w:rsid w:val="00012498"/>
    <w:rsid w:val="000125F3"/>
    <w:rsid w:val="000127C6"/>
    <w:rsid w:val="00013102"/>
    <w:rsid w:val="00013AF4"/>
    <w:rsid w:val="000141AA"/>
    <w:rsid w:val="0001585C"/>
    <w:rsid w:val="00015AF5"/>
    <w:rsid w:val="00016367"/>
    <w:rsid w:val="00020B94"/>
    <w:rsid w:val="00021221"/>
    <w:rsid w:val="0002250B"/>
    <w:rsid w:val="000228E4"/>
    <w:rsid w:val="00023D9A"/>
    <w:rsid w:val="0002443B"/>
    <w:rsid w:val="00025AF7"/>
    <w:rsid w:val="00025C3D"/>
    <w:rsid w:val="00025D8B"/>
    <w:rsid w:val="00026C97"/>
    <w:rsid w:val="00026D26"/>
    <w:rsid w:val="00026EA8"/>
    <w:rsid w:val="000322D9"/>
    <w:rsid w:val="000342D7"/>
    <w:rsid w:val="00034C36"/>
    <w:rsid w:val="0003709D"/>
    <w:rsid w:val="0003729E"/>
    <w:rsid w:val="00040607"/>
    <w:rsid w:val="00041EC7"/>
    <w:rsid w:val="00042483"/>
    <w:rsid w:val="000428E2"/>
    <w:rsid w:val="00042DF6"/>
    <w:rsid w:val="00044338"/>
    <w:rsid w:val="00046C6E"/>
    <w:rsid w:val="000470D0"/>
    <w:rsid w:val="000471A3"/>
    <w:rsid w:val="00047DF7"/>
    <w:rsid w:val="00050008"/>
    <w:rsid w:val="00050C13"/>
    <w:rsid w:val="00050C70"/>
    <w:rsid w:val="00050EE1"/>
    <w:rsid w:val="00052709"/>
    <w:rsid w:val="0005632D"/>
    <w:rsid w:val="000618CC"/>
    <w:rsid w:val="00062667"/>
    <w:rsid w:val="000631B3"/>
    <w:rsid w:val="00064DC3"/>
    <w:rsid w:val="00067AE7"/>
    <w:rsid w:val="00067E8E"/>
    <w:rsid w:val="00071019"/>
    <w:rsid w:val="00072C7E"/>
    <w:rsid w:val="00073EF0"/>
    <w:rsid w:val="0007585C"/>
    <w:rsid w:val="00076B8D"/>
    <w:rsid w:val="00076CD4"/>
    <w:rsid w:val="00082D6A"/>
    <w:rsid w:val="000846D3"/>
    <w:rsid w:val="00084819"/>
    <w:rsid w:val="00086911"/>
    <w:rsid w:val="00091FC4"/>
    <w:rsid w:val="00093835"/>
    <w:rsid w:val="00093A17"/>
    <w:rsid w:val="00093C23"/>
    <w:rsid w:val="00094359"/>
    <w:rsid w:val="000A08FF"/>
    <w:rsid w:val="000A1A6D"/>
    <w:rsid w:val="000A1D31"/>
    <w:rsid w:val="000A1DDF"/>
    <w:rsid w:val="000A24AC"/>
    <w:rsid w:val="000A2D49"/>
    <w:rsid w:val="000A3BBB"/>
    <w:rsid w:val="000A5B5A"/>
    <w:rsid w:val="000A61C3"/>
    <w:rsid w:val="000A753A"/>
    <w:rsid w:val="000B003D"/>
    <w:rsid w:val="000B09B6"/>
    <w:rsid w:val="000B0A49"/>
    <w:rsid w:val="000B1AAD"/>
    <w:rsid w:val="000B1DA7"/>
    <w:rsid w:val="000B1EDA"/>
    <w:rsid w:val="000B219B"/>
    <w:rsid w:val="000B37E9"/>
    <w:rsid w:val="000B3A29"/>
    <w:rsid w:val="000B3FC6"/>
    <w:rsid w:val="000B4440"/>
    <w:rsid w:val="000B53C0"/>
    <w:rsid w:val="000C014B"/>
    <w:rsid w:val="000C174A"/>
    <w:rsid w:val="000C23CA"/>
    <w:rsid w:val="000C2F5C"/>
    <w:rsid w:val="000C3C18"/>
    <w:rsid w:val="000C3F6F"/>
    <w:rsid w:val="000C4443"/>
    <w:rsid w:val="000C6DB4"/>
    <w:rsid w:val="000D07D7"/>
    <w:rsid w:val="000D0D3B"/>
    <w:rsid w:val="000D1D6F"/>
    <w:rsid w:val="000D2190"/>
    <w:rsid w:val="000D4CFC"/>
    <w:rsid w:val="000D5723"/>
    <w:rsid w:val="000D6C86"/>
    <w:rsid w:val="000E0791"/>
    <w:rsid w:val="000E11D6"/>
    <w:rsid w:val="000E2B02"/>
    <w:rsid w:val="000E4345"/>
    <w:rsid w:val="000E510E"/>
    <w:rsid w:val="000E5AAB"/>
    <w:rsid w:val="000E5C0E"/>
    <w:rsid w:val="000E69BB"/>
    <w:rsid w:val="000E7151"/>
    <w:rsid w:val="000E7443"/>
    <w:rsid w:val="000E77B6"/>
    <w:rsid w:val="000F2894"/>
    <w:rsid w:val="000F45F9"/>
    <w:rsid w:val="000F7BCD"/>
    <w:rsid w:val="000F7FD2"/>
    <w:rsid w:val="00100BCB"/>
    <w:rsid w:val="00101026"/>
    <w:rsid w:val="001019F0"/>
    <w:rsid w:val="00102143"/>
    <w:rsid w:val="00102673"/>
    <w:rsid w:val="001032EA"/>
    <w:rsid w:val="00105C42"/>
    <w:rsid w:val="00106764"/>
    <w:rsid w:val="00106F6F"/>
    <w:rsid w:val="001070C9"/>
    <w:rsid w:val="001077E6"/>
    <w:rsid w:val="001108F3"/>
    <w:rsid w:val="00110D1C"/>
    <w:rsid w:val="0011127F"/>
    <w:rsid w:val="00111859"/>
    <w:rsid w:val="001121B6"/>
    <w:rsid w:val="00113768"/>
    <w:rsid w:val="0011379E"/>
    <w:rsid w:val="001149F4"/>
    <w:rsid w:val="00115066"/>
    <w:rsid w:val="00115B74"/>
    <w:rsid w:val="00115CF3"/>
    <w:rsid w:val="00115EC3"/>
    <w:rsid w:val="00117A09"/>
    <w:rsid w:val="00121CDC"/>
    <w:rsid w:val="00123C1B"/>
    <w:rsid w:val="00123D10"/>
    <w:rsid w:val="00124033"/>
    <w:rsid w:val="00125A02"/>
    <w:rsid w:val="00125D10"/>
    <w:rsid w:val="00126116"/>
    <w:rsid w:val="00126FFB"/>
    <w:rsid w:val="00127522"/>
    <w:rsid w:val="0012763A"/>
    <w:rsid w:val="001307C0"/>
    <w:rsid w:val="0013484B"/>
    <w:rsid w:val="00134BD6"/>
    <w:rsid w:val="00134F5D"/>
    <w:rsid w:val="00134FA6"/>
    <w:rsid w:val="001364B4"/>
    <w:rsid w:val="0014104D"/>
    <w:rsid w:val="0014169F"/>
    <w:rsid w:val="0014285C"/>
    <w:rsid w:val="00142CC2"/>
    <w:rsid w:val="0014368B"/>
    <w:rsid w:val="00143CD2"/>
    <w:rsid w:val="001442C8"/>
    <w:rsid w:val="001470B1"/>
    <w:rsid w:val="00150FCE"/>
    <w:rsid w:val="00153382"/>
    <w:rsid w:val="001562A0"/>
    <w:rsid w:val="001565CC"/>
    <w:rsid w:val="0016048D"/>
    <w:rsid w:val="00162498"/>
    <w:rsid w:val="00162EB0"/>
    <w:rsid w:val="00163798"/>
    <w:rsid w:val="001645FE"/>
    <w:rsid w:val="00166F8A"/>
    <w:rsid w:val="001705D8"/>
    <w:rsid w:val="00170EF6"/>
    <w:rsid w:val="00170FB1"/>
    <w:rsid w:val="001713D5"/>
    <w:rsid w:val="00172445"/>
    <w:rsid w:val="00174847"/>
    <w:rsid w:val="001749A2"/>
    <w:rsid w:val="0017514B"/>
    <w:rsid w:val="00177B5C"/>
    <w:rsid w:val="00177D5D"/>
    <w:rsid w:val="00177ED2"/>
    <w:rsid w:val="001804EC"/>
    <w:rsid w:val="001805A8"/>
    <w:rsid w:val="00182F05"/>
    <w:rsid w:val="00184F0F"/>
    <w:rsid w:val="00185420"/>
    <w:rsid w:val="001854E5"/>
    <w:rsid w:val="00185B59"/>
    <w:rsid w:val="00186FDC"/>
    <w:rsid w:val="00187370"/>
    <w:rsid w:val="001877C7"/>
    <w:rsid w:val="00191508"/>
    <w:rsid w:val="00193A27"/>
    <w:rsid w:val="001961BF"/>
    <w:rsid w:val="001975D7"/>
    <w:rsid w:val="001A019B"/>
    <w:rsid w:val="001A0655"/>
    <w:rsid w:val="001A07FA"/>
    <w:rsid w:val="001A2959"/>
    <w:rsid w:val="001A2D19"/>
    <w:rsid w:val="001A4AE2"/>
    <w:rsid w:val="001A70D3"/>
    <w:rsid w:val="001A77B4"/>
    <w:rsid w:val="001A7851"/>
    <w:rsid w:val="001B02E6"/>
    <w:rsid w:val="001B0FEF"/>
    <w:rsid w:val="001B1F2A"/>
    <w:rsid w:val="001B36C7"/>
    <w:rsid w:val="001B3FAE"/>
    <w:rsid w:val="001B412F"/>
    <w:rsid w:val="001B522C"/>
    <w:rsid w:val="001B5B0D"/>
    <w:rsid w:val="001B5C1F"/>
    <w:rsid w:val="001B60AD"/>
    <w:rsid w:val="001B7A7F"/>
    <w:rsid w:val="001C09D4"/>
    <w:rsid w:val="001C14B3"/>
    <w:rsid w:val="001C2412"/>
    <w:rsid w:val="001C4F98"/>
    <w:rsid w:val="001C6204"/>
    <w:rsid w:val="001C6CFC"/>
    <w:rsid w:val="001C70E5"/>
    <w:rsid w:val="001D165D"/>
    <w:rsid w:val="001D1CB9"/>
    <w:rsid w:val="001D2638"/>
    <w:rsid w:val="001D33FB"/>
    <w:rsid w:val="001D5233"/>
    <w:rsid w:val="001D67A8"/>
    <w:rsid w:val="001E0A2E"/>
    <w:rsid w:val="001E149F"/>
    <w:rsid w:val="001E1FBD"/>
    <w:rsid w:val="001E4BEB"/>
    <w:rsid w:val="001E5719"/>
    <w:rsid w:val="001E63D4"/>
    <w:rsid w:val="001E6537"/>
    <w:rsid w:val="001E7B78"/>
    <w:rsid w:val="001F349B"/>
    <w:rsid w:val="002006CF"/>
    <w:rsid w:val="0020128B"/>
    <w:rsid w:val="00202635"/>
    <w:rsid w:val="0020286E"/>
    <w:rsid w:val="002036DA"/>
    <w:rsid w:val="00205808"/>
    <w:rsid w:val="00207B97"/>
    <w:rsid w:val="002102A6"/>
    <w:rsid w:val="002107AF"/>
    <w:rsid w:val="00213075"/>
    <w:rsid w:val="00214602"/>
    <w:rsid w:val="002147A4"/>
    <w:rsid w:val="00214896"/>
    <w:rsid w:val="00214D49"/>
    <w:rsid w:val="0021502D"/>
    <w:rsid w:val="002156EE"/>
    <w:rsid w:val="00216140"/>
    <w:rsid w:val="0021664E"/>
    <w:rsid w:val="0021677C"/>
    <w:rsid w:val="002169DB"/>
    <w:rsid w:val="0022100F"/>
    <w:rsid w:val="00221C3E"/>
    <w:rsid w:val="00221CFC"/>
    <w:rsid w:val="0022388A"/>
    <w:rsid w:val="0022402F"/>
    <w:rsid w:val="002248C8"/>
    <w:rsid w:val="00225532"/>
    <w:rsid w:val="00225BA2"/>
    <w:rsid w:val="002261C2"/>
    <w:rsid w:val="00227267"/>
    <w:rsid w:val="002275FA"/>
    <w:rsid w:val="00227A8A"/>
    <w:rsid w:val="002308CD"/>
    <w:rsid w:val="002310AB"/>
    <w:rsid w:val="0023253F"/>
    <w:rsid w:val="00232D89"/>
    <w:rsid w:val="002337B2"/>
    <w:rsid w:val="00233D4D"/>
    <w:rsid w:val="00233EEB"/>
    <w:rsid w:val="002346A2"/>
    <w:rsid w:val="002350F2"/>
    <w:rsid w:val="00235227"/>
    <w:rsid w:val="00241426"/>
    <w:rsid w:val="00241B9D"/>
    <w:rsid w:val="00243049"/>
    <w:rsid w:val="0024447F"/>
    <w:rsid w:val="00246359"/>
    <w:rsid w:val="00247415"/>
    <w:rsid w:val="00247447"/>
    <w:rsid w:val="00250D42"/>
    <w:rsid w:val="00251A7D"/>
    <w:rsid w:val="00252E29"/>
    <w:rsid w:val="00253582"/>
    <w:rsid w:val="002535D6"/>
    <w:rsid w:val="00253FB9"/>
    <w:rsid w:val="00254CB7"/>
    <w:rsid w:val="002558A2"/>
    <w:rsid w:val="00255917"/>
    <w:rsid w:val="002559D6"/>
    <w:rsid w:val="002562A1"/>
    <w:rsid w:val="002607CA"/>
    <w:rsid w:val="00261C2A"/>
    <w:rsid w:val="00263208"/>
    <w:rsid w:val="0026344A"/>
    <w:rsid w:val="00265BCB"/>
    <w:rsid w:val="00266199"/>
    <w:rsid w:val="00266F9F"/>
    <w:rsid w:val="00267355"/>
    <w:rsid w:val="002709F1"/>
    <w:rsid w:val="00271F04"/>
    <w:rsid w:val="0027225C"/>
    <w:rsid w:val="0027252E"/>
    <w:rsid w:val="00273B97"/>
    <w:rsid w:val="00273F04"/>
    <w:rsid w:val="00277E72"/>
    <w:rsid w:val="00282AEE"/>
    <w:rsid w:val="0028377C"/>
    <w:rsid w:val="00285591"/>
    <w:rsid w:val="002857B7"/>
    <w:rsid w:val="00285AAB"/>
    <w:rsid w:val="00286588"/>
    <w:rsid w:val="002871B9"/>
    <w:rsid w:val="00291CEA"/>
    <w:rsid w:val="00293758"/>
    <w:rsid w:val="00294568"/>
    <w:rsid w:val="00294F6C"/>
    <w:rsid w:val="002A18E2"/>
    <w:rsid w:val="002A213D"/>
    <w:rsid w:val="002A2E0E"/>
    <w:rsid w:val="002A3390"/>
    <w:rsid w:val="002A3C0E"/>
    <w:rsid w:val="002A427B"/>
    <w:rsid w:val="002A448F"/>
    <w:rsid w:val="002A461E"/>
    <w:rsid w:val="002A5B71"/>
    <w:rsid w:val="002A719C"/>
    <w:rsid w:val="002A7E93"/>
    <w:rsid w:val="002B0DD8"/>
    <w:rsid w:val="002B1506"/>
    <w:rsid w:val="002B1823"/>
    <w:rsid w:val="002B1DF7"/>
    <w:rsid w:val="002B2B7B"/>
    <w:rsid w:val="002B3CA3"/>
    <w:rsid w:val="002B58A5"/>
    <w:rsid w:val="002C0D90"/>
    <w:rsid w:val="002C187F"/>
    <w:rsid w:val="002C1C4F"/>
    <w:rsid w:val="002C290F"/>
    <w:rsid w:val="002C2B31"/>
    <w:rsid w:val="002C30BD"/>
    <w:rsid w:val="002C3F49"/>
    <w:rsid w:val="002C4112"/>
    <w:rsid w:val="002C5344"/>
    <w:rsid w:val="002D0434"/>
    <w:rsid w:val="002D0BAC"/>
    <w:rsid w:val="002D1295"/>
    <w:rsid w:val="002D4AA1"/>
    <w:rsid w:val="002D61EF"/>
    <w:rsid w:val="002D6B09"/>
    <w:rsid w:val="002D72FF"/>
    <w:rsid w:val="002E11EF"/>
    <w:rsid w:val="002E228F"/>
    <w:rsid w:val="002E2D70"/>
    <w:rsid w:val="002E45B5"/>
    <w:rsid w:val="002E61DB"/>
    <w:rsid w:val="002E6AF2"/>
    <w:rsid w:val="002F1160"/>
    <w:rsid w:val="002F1CD2"/>
    <w:rsid w:val="002F1CD9"/>
    <w:rsid w:val="002F30BD"/>
    <w:rsid w:val="002F412B"/>
    <w:rsid w:val="002F471F"/>
    <w:rsid w:val="002F4A81"/>
    <w:rsid w:val="002F4AF3"/>
    <w:rsid w:val="002F4C93"/>
    <w:rsid w:val="002F5300"/>
    <w:rsid w:val="002F55EC"/>
    <w:rsid w:val="002F592C"/>
    <w:rsid w:val="002F6B2B"/>
    <w:rsid w:val="002F7AF3"/>
    <w:rsid w:val="00301841"/>
    <w:rsid w:val="0030308E"/>
    <w:rsid w:val="00304220"/>
    <w:rsid w:val="00305AF0"/>
    <w:rsid w:val="00305BD7"/>
    <w:rsid w:val="00310D97"/>
    <w:rsid w:val="00311214"/>
    <w:rsid w:val="003128FA"/>
    <w:rsid w:val="00315F41"/>
    <w:rsid w:val="003176FF"/>
    <w:rsid w:val="00317E71"/>
    <w:rsid w:val="00321478"/>
    <w:rsid w:val="0032188F"/>
    <w:rsid w:val="00321D9F"/>
    <w:rsid w:val="00322ADA"/>
    <w:rsid w:val="003258C9"/>
    <w:rsid w:val="003259AA"/>
    <w:rsid w:val="00326418"/>
    <w:rsid w:val="003276AD"/>
    <w:rsid w:val="00327B56"/>
    <w:rsid w:val="00330321"/>
    <w:rsid w:val="00330336"/>
    <w:rsid w:val="00331543"/>
    <w:rsid w:val="003323B8"/>
    <w:rsid w:val="003333AD"/>
    <w:rsid w:val="00333925"/>
    <w:rsid w:val="0033766D"/>
    <w:rsid w:val="00340906"/>
    <w:rsid w:val="00344760"/>
    <w:rsid w:val="00345E41"/>
    <w:rsid w:val="00346C73"/>
    <w:rsid w:val="00351147"/>
    <w:rsid w:val="00352D92"/>
    <w:rsid w:val="00355D85"/>
    <w:rsid w:val="003560AF"/>
    <w:rsid w:val="00361DC3"/>
    <w:rsid w:val="00362201"/>
    <w:rsid w:val="00362A4E"/>
    <w:rsid w:val="00362DDE"/>
    <w:rsid w:val="003639E6"/>
    <w:rsid w:val="00364009"/>
    <w:rsid w:val="003655E2"/>
    <w:rsid w:val="00365B56"/>
    <w:rsid w:val="00365CE2"/>
    <w:rsid w:val="003665EE"/>
    <w:rsid w:val="00366CB1"/>
    <w:rsid w:val="00367EB4"/>
    <w:rsid w:val="00371E1D"/>
    <w:rsid w:val="00373E78"/>
    <w:rsid w:val="00375571"/>
    <w:rsid w:val="0037684C"/>
    <w:rsid w:val="00376996"/>
    <w:rsid w:val="00377190"/>
    <w:rsid w:val="00377A6B"/>
    <w:rsid w:val="00377BD8"/>
    <w:rsid w:val="003814F0"/>
    <w:rsid w:val="00381791"/>
    <w:rsid w:val="00383C03"/>
    <w:rsid w:val="003843E1"/>
    <w:rsid w:val="00387B51"/>
    <w:rsid w:val="003906FF"/>
    <w:rsid w:val="0039234D"/>
    <w:rsid w:val="003923C7"/>
    <w:rsid w:val="00394689"/>
    <w:rsid w:val="003958E6"/>
    <w:rsid w:val="00395E72"/>
    <w:rsid w:val="00396C5F"/>
    <w:rsid w:val="00397A9C"/>
    <w:rsid w:val="00397F6B"/>
    <w:rsid w:val="003A0FEB"/>
    <w:rsid w:val="003A1099"/>
    <w:rsid w:val="003A15A0"/>
    <w:rsid w:val="003A1BB7"/>
    <w:rsid w:val="003A2371"/>
    <w:rsid w:val="003A246D"/>
    <w:rsid w:val="003A41DC"/>
    <w:rsid w:val="003A548D"/>
    <w:rsid w:val="003A6696"/>
    <w:rsid w:val="003A7DAA"/>
    <w:rsid w:val="003B01BE"/>
    <w:rsid w:val="003B431C"/>
    <w:rsid w:val="003B44C2"/>
    <w:rsid w:val="003B4E1D"/>
    <w:rsid w:val="003B5145"/>
    <w:rsid w:val="003B5EA6"/>
    <w:rsid w:val="003C1011"/>
    <w:rsid w:val="003C2048"/>
    <w:rsid w:val="003C2805"/>
    <w:rsid w:val="003C46AC"/>
    <w:rsid w:val="003C4819"/>
    <w:rsid w:val="003C4A27"/>
    <w:rsid w:val="003C4FB4"/>
    <w:rsid w:val="003C5579"/>
    <w:rsid w:val="003C67BC"/>
    <w:rsid w:val="003C6EAE"/>
    <w:rsid w:val="003D0A93"/>
    <w:rsid w:val="003D3302"/>
    <w:rsid w:val="003D3AB7"/>
    <w:rsid w:val="003D3F92"/>
    <w:rsid w:val="003D52DA"/>
    <w:rsid w:val="003D5A79"/>
    <w:rsid w:val="003D6570"/>
    <w:rsid w:val="003D6E4B"/>
    <w:rsid w:val="003D7C74"/>
    <w:rsid w:val="003E0BFE"/>
    <w:rsid w:val="003E1822"/>
    <w:rsid w:val="003E2B87"/>
    <w:rsid w:val="003E3B58"/>
    <w:rsid w:val="003E41EF"/>
    <w:rsid w:val="003E44A7"/>
    <w:rsid w:val="003E67AC"/>
    <w:rsid w:val="003E6BDF"/>
    <w:rsid w:val="003E7457"/>
    <w:rsid w:val="003E7539"/>
    <w:rsid w:val="003E7656"/>
    <w:rsid w:val="003F0951"/>
    <w:rsid w:val="003F1785"/>
    <w:rsid w:val="003F2653"/>
    <w:rsid w:val="003F27DF"/>
    <w:rsid w:val="003F2B60"/>
    <w:rsid w:val="003F3896"/>
    <w:rsid w:val="003F3939"/>
    <w:rsid w:val="003F4812"/>
    <w:rsid w:val="003F7B04"/>
    <w:rsid w:val="00401542"/>
    <w:rsid w:val="0040465B"/>
    <w:rsid w:val="00405058"/>
    <w:rsid w:val="004051F9"/>
    <w:rsid w:val="00406B80"/>
    <w:rsid w:val="00410880"/>
    <w:rsid w:val="004143CB"/>
    <w:rsid w:val="00414472"/>
    <w:rsid w:val="004148CF"/>
    <w:rsid w:val="004164BD"/>
    <w:rsid w:val="00416930"/>
    <w:rsid w:val="00416F41"/>
    <w:rsid w:val="00422FB4"/>
    <w:rsid w:val="00423BD7"/>
    <w:rsid w:val="00423C1A"/>
    <w:rsid w:val="00424383"/>
    <w:rsid w:val="00425690"/>
    <w:rsid w:val="0043072B"/>
    <w:rsid w:val="0043167D"/>
    <w:rsid w:val="004318C6"/>
    <w:rsid w:val="00432EA3"/>
    <w:rsid w:val="0043305D"/>
    <w:rsid w:val="00433D62"/>
    <w:rsid w:val="004346BC"/>
    <w:rsid w:val="00434CD3"/>
    <w:rsid w:val="00435FA8"/>
    <w:rsid w:val="00436288"/>
    <w:rsid w:val="00436BC8"/>
    <w:rsid w:val="004425C5"/>
    <w:rsid w:val="0044299A"/>
    <w:rsid w:val="00444980"/>
    <w:rsid w:val="00444A4E"/>
    <w:rsid w:val="00444F52"/>
    <w:rsid w:val="004473F1"/>
    <w:rsid w:val="0044764F"/>
    <w:rsid w:val="00451B5E"/>
    <w:rsid w:val="004539B9"/>
    <w:rsid w:val="00454601"/>
    <w:rsid w:val="00456657"/>
    <w:rsid w:val="004570F4"/>
    <w:rsid w:val="00460476"/>
    <w:rsid w:val="004604DB"/>
    <w:rsid w:val="00461A0B"/>
    <w:rsid w:val="004626BC"/>
    <w:rsid w:val="004628B8"/>
    <w:rsid w:val="0046361F"/>
    <w:rsid w:val="004658A7"/>
    <w:rsid w:val="00465D11"/>
    <w:rsid w:val="0046654E"/>
    <w:rsid w:val="00466D75"/>
    <w:rsid w:val="0047026D"/>
    <w:rsid w:val="0047049C"/>
    <w:rsid w:val="004725C8"/>
    <w:rsid w:val="00472C46"/>
    <w:rsid w:val="00474AA7"/>
    <w:rsid w:val="00476A98"/>
    <w:rsid w:val="00477A16"/>
    <w:rsid w:val="00480094"/>
    <w:rsid w:val="00481DEA"/>
    <w:rsid w:val="0048347D"/>
    <w:rsid w:val="00484024"/>
    <w:rsid w:val="00484FE5"/>
    <w:rsid w:val="004900E2"/>
    <w:rsid w:val="00490E1F"/>
    <w:rsid w:val="00491A6E"/>
    <w:rsid w:val="00492AFB"/>
    <w:rsid w:val="0049338B"/>
    <w:rsid w:val="00493CAE"/>
    <w:rsid w:val="004948FC"/>
    <w:rsid w:val="0049497E"/>
    <w:rsid w:val="00494B36"/>
    <w:rsid w:val="0049567E"/>
    <w:rsid w:val="004967DA"/>
    <w:rsid w:val="00497562"/>
    <w:rsid w:val="0049794E"/>
    <w:rsid w:val="00497A10"/>
    <w:rsid w:val="00497E5E"/>
    <w:rsid w:val="004A0CD5"/>
    <w:rsid w:val="004A0D8E"/>
    <w:rsid w:val="004A0DB9"/>
    <w:rsid w:val="004A1449"/>
    <w:rsid w:val="004A2620"/>
    <w:rsid w:val="004A4D1A"/>
    <w:rsid w:val="004A57AF"/>
    <w:rsid w:val="004A5D15"/>
    <w:rsid w:val="004A73E3"/>
    <w:rsid w:val="004B3485"/>
    <w:rsid w:val="004B4B0A"/>
    <w:rsid w:val="004B5FB5"/>
    <w:rsid w:val="004B6B88"/>
    <w:rsid w:val="004B732D"/>
    <w:rsid w:val="004B783A"/>
    <w:rsid w:val="004C2045"/>
    <w:rsid w:val="004C23D4"/>
    <w:rsid w:val="004C2C1C"/>
    <w:rsid w:val="004C3804"/>
    <w:rsid w:val="004C4151"/>
    <w:rsid w:val="004C4EAB"/>
    <w:rsid w:val="004C5D1E"/>
    <w:rsid w:val="004C6801"/>
    <w:rsid w:val="004C7128"/>
    <w:rsid w:val="004C7470"/>
    <w:rsid w:val="004C7D3A"/>
    <w:rsid w:val="004C7DA5"/>
    <w:rsid w:val="004C7E7A"/>
    <w:rsid w:val="004D1121"/>
    <w:rsid w:val="004D334D"/>
    <w:rsid w:val="004D33E1"/>
    <w:rsid w:val="004D3B2C"/>
    <w:rsid w:val="004D4245"/>
    <w:rsid w:val="004D55C0"/>
    <w:rsid w:val="004D7766"/>
    <w:rsid w:val="004D79EB"/>
    <w:rsid w:val="004E058B"/>
    <w:rsid w:val="004E12A0"/>
    <w:rsid w:val="004E1B00"/>
    <w:rsid w:val="004E1E1D"/>
    <w:rsid w:val="004E3BE6"/>
    <w:rsid w:val="004E5C4D"/>
    <w:rsid w:val="004E63F1"/>
    <w:rsid w:val="004E7389"/>
    <w:rsid w:val="004E7CAF"/>
    <w:rsid w:val="004E7ED5"/>
    <w:rsid w:val="004F141D"/>
    <w:rsid w:val="004F16B9"/>
    <w:rsid w:val="004F5047"/>
    <w:rsid w:val="004F6113"/>
    <w:rsid w:val="004F742E"/>
    <w:rsid w:val="004F744F"/>
    <w:rsid w:val="004F755A"/>
    <w:rsid w:val="004F7B76"/>
    <w:rsid w:val="00500521"/>
    <w:rsid w:val="005011FB"/>
    <w:rsid w:val="00501C7D"/>
    <w:rsid w:val="005025F8"/>
    <w:rsid w:val="00503A79"/>
    <w:rsid w:val="00505443"/>
    <w:rsid w:val="00506A4F"/>
    <w:rsid w:val="00510965"/>
    <w:rsid w:val="005118B8"/>
    <w:rsid w:val="00512595"/>
    <w:rsid w:val="00512A54"/>
    <w:rsid w:val="00513746"/>
    <w:rsid w:val="00513F20"/>
    <w:rsid w:val="00515938"/>
    <w:rsid w:val="005205BD"/>
    <w:rsid w:val="005207B0"/>
    <w:rsid w:val="00521559"/>
    <w:rsid w:val="00521A5E"/>
    <w:rsid w:val="00522E12"/>
    <w:rsid w:val="005235E6"/>
    <w:rsid w:val="00531BC1"/>
    <w:rsid w:val="005324CF"/>
    <w:rsid w:val="0053306A"/>
    <w:rsid w:val="00533D38"/>
    <w:rsid w:val="00534039"/>
    <w:rsid w:val="00536B00"/>
    <w:rsid w:val="00536CD2"/>
    <w:rsid w:val="00537856"/>
    <w:rsid w:val="00540758"/>
    <w:rsid w:val="00541D61"/>
    <w:rsid w:val="005422C0"/>
    <w:rsid w:val="00544012"/>
    <w:rsid w:val="00545856"/>
    <w:rsid w:val="00547E82"/>
    <w:rsid w:val="00550309"/>
    <w:rsid w:val="00550462"/>
    <w:rsid w:val="00551CD9"/>
    <w:rsid w:val="00551ECC"/>
    <w:rsid w:val="00556246"/>
    <w:rsid w:val="00556834"/>
    <w:rsid w:val="0055687B"/>
    <w:rsid w:val="00560439"/>
    <w:rsid w:val="00560723"/>
    <w:rsid w:val="00561316"/>
    <w:rsid w:val="00562994"/>
    <w:rsid w:val="00562F19"/>
    <w:rsid w:val="00564888"/>
    <w:rsid w:val="00564D5F"/>
    <w:rsid w:val="005668EE"/>
    <w:rsid w:val="00570F70"/>
    <w:rsid w:val="0057202D"/>
    <w:rsid w:val="00573543"/>
    <w:rsid w:val="00573A23"/>
    <w:rsid w:val="00575531"/>
    <w:rsid w:val="005758DB"/>
    <w:rsid w:val="005819EF"/>
    <w:rsid w:val="00582C1A"/>
    <w:rsid w:val="00582D75"/>
    <w:rsid w:val="00583D77"/>
    <w:rsid w:val="00585BAC"/>
    <w:rsid w:val="00587E0E"/>
    <w:rsid w:val="00590DFA"/>
    <w:rsid w:val="00594A79"/>
    <w:rsid w:val="00595463"/>
    <w:rsid w:val="00596BAC"/>
    <w:rsid w:val="005A1369"/>
    <w:rsid w:val="005A14A9"/>
    <w:rsid w:val="005A4732"/>
    <w:rsid w:val="005A47AB"/>
    <w:rsid w:val="005A497E"/>
    <w:rsid w:val="005A53C2"/>
    <w:rsid w:val="005A661A"/>
    <w:rsid w:val="005B104F"/>
    <w:rsid w:val="005B1769"/>
    <w:rsid w:val="005B1AFD"/>
    <w:rsid w:val="005B23A8"/>
    <w:rsid w:val="005B3565"/>
    <w:rsid w:val="005B3AEB"/>
    <w:rsid w:val="005B4136"/>
    <w:rsid w:val="005B45C2"/>
    <w:rsid w:val="005B4F39"/>
    <w:rsid w:val="005B57CC"/>
    <w:rsid w:val="005B59D1"/>
    <w:rsid w:val="005B698A"/>
    <w:rsid w:val="005B7CDB"/>
    <w:rsid w:val="005C0EF2"/>
    <w:rsid w:val="005C15CF"/>
    <w:rsid w:val="005C3558"/>
    <w:rsid w:val="005C4C95"/>
    <w:rsid w:val="005C5290"/>
    <w:rsid w:val="005C6A9F"/>
    <w:rsid w:val="005C72D7"/>
    <w:rsid w:val="005C750F"/>
    <w:rsid w:val="005D21E4"/>
    <w:rsid w:val="005D2992"/>
    <w:rsid w:val="005D2B92"/>
    <w:rsid w:val="005D3320"/>
    <w:rsid w:val="005D3C3A"/>
    <w:rsid w:val="005D409B"/>
    <w:rsid w:val="005D5397"/>
    <w:rsid w:val="005D6616"/>
    <w:rsid w:val="005D7808"/>
    <w:rsid w:val="005D7D55"/>
    <w:rsid w:val="005E0BD3"/>
    <w:rsid w:val="005E0DA4"/>
    <w:rsid w:val="005E15C9"/>
    <w:rsid w:val="005E27C9"/>
    <w:rsid w:val="005E2E51"/>
    <w:rsid w:val="005E3A39"/>
    <w:rsid w:val="005E47ED"/>
    <w:rsid w:val="005E5FCC"/>
    <w:rsid w:val="005E6626"/>
    <w:rsid w:val="005F04A4"/>
    <w:rsid w:val="005F112B"/>
    <w:rsid w:val="005F1F02"/>
    <w:rsid w:val="005F27CF"/>
    <w:rsid w:val="005F34C5"/>
    <w:rsid w:val="005F34D3"/>
    <w:rsid w:val="005F3940"/>
    <w:rsid w:val="005F5854"/>
    <w:rsid w:val="005F5C9C"/>
    <w:rsid w:val="00602682"/>
    <w:rsid w:val="00604519"/>
    <w:rsid w:val="00604D78"/>
    <w:rsid w:val="006051C9"/>
    <w:rsid w:val="0060569D"/>
    <w:rsid w:val="0060664D"/>
    <w:rsid w:val="00606F56"/>
    <w:rsid w:val="0060794A"/>
    <w:rsid w:val="00607E97"/>
    <w:rsid w:val="00607FE3"/>
    <w:rsid w:val="0061266D"/>
    <w:rsid w:val="006127B7"/>
    <w:rsid w:val="006131E2"/>
    <w:rsid w:val="0061367E"/>
    <w:rsid w:val="006150BE"/>
    <w:rsid w:val="00617695"/>
    <w:rsid w:val="00617E1D"/>
    <w:rsid w:val="00621389"/>
    <w:rsid w:val="0062164F"/>
    <w:rsid w:val="00621839"/>
    <w:rsid w:val="006219DE"/>
    <w:rsid w:val="00622944"/>
    <w:rsid w:val="006230B7"/>
    <w:rsid w:val="0062330F"/>
    <w:rsid w:val="0062345E"/>
    <w:rsid w:val="00624218"/>
    <w:rsid w:val="00624B43"/>
    <w:rsid w:val="006251B6"/>
    <w:rsid w:val="00626638"/>
    <w:rsid w:val="00631380"/>
    <w:rsid w:val="006328D2"/>
    <w:rsid w:val="00633049"/>
    <w:rsid w:val="00633DA1"/>
    <w:rsid w:val="00633FA5"/>
    <w:rsid w:val="00634B59"/>
    <w:rsid w:val="00635D1D"/>
    <w:rsid w:val="00636636"/>
    <w:rsid w:val="00636D1D"/>
    <w:rsid w:val="0064244F"/>
    <w:rsid w:val="00642603"/>
    <w:rsid w:val="0064268C"/>
    <w:rsid w:val="00643CA9"/>
    <w:rsid w:val="006453EF"/>
    <w:rsid w:val="006476F1"/>
    <w:rsid w:val="00650BD1"/>
    <w:rsid w:val="00651405"/>
    <w:rsid w:val="00651A68"/>
    <w:rsid w:val="006551C4"/>
    <w:rsid w:val="00656438"/>
    <w:rsid w:val="006569F9"/>
    <w:rsid w:val="00660A6E"/>
    <w:rsid w:val="006613D1"/>
    <w:rsid w:val="0066187A"/>
    <w:rsid w:val="0066197C"/>
    <w:rsid w:val="00662053"/>
    <w:rsid w:val="00662F1B"/>
    <w:rsid w:val="0066488F"/>
    <w:rsid w:val="00667257"/>
    <w:rsid w:val="006672A6"/>
    <w:rsid w:val="0067003E"/>
    <w:rsid w:val="006703E6"/>
    <w:rsid w:val="00671D27"/>
    <w:rsid w:val="00672AE5"/>
    <w:rsid w:val="00672F6D"/>
    <w:rsid w:val="006748BA"/>
    <w:rsid w:val="00675B52"/>
    <w:rsid w:val="00677FBE"/>
    <w:rsid w:val="006809E5"/>
    <w:rsid w:val="00681AE9"/>
    <w:rsid w:val="0068258E"/>
    <w:rsid w:val="00684D2C"/>
    <w:rsid w:val="006868AF"/>
    <w:rsid w:val="00687D1B"/>
    <w:rsid w:val="006906CA"/>
    <w:rsid w:val="00691483"/>
    <w:rsid w:val="00691586"/>
    <w:rsid w:val="006915BD"/>
    <w:rsid w:val="0069241F"/>
    <w:rsid w:val="00692F23"/>
    <w:rsid w:val="0069672F"/>
    <w:rsid w:val="00696B85"/>
    <w:rsid w:val="006972E1"/>
    <w:rsid w:val="006A02B6"/>
    <w:rsid w:val="006A0374"/>
    <w:rsid w:val="006A438A"/>
    <w:rsid w:val="006A5871"/>
    <w:rsid w:val="006A6FC2"/>
    <w:rsid w:val="006A7834"/>
    <w:rsid w:val="006A7D37"/>
    <w:rsid w:val="006B27F8"/>
    <w:rsid w:val="006B3769"/>
    <w:rsid w:val="006B3B14"/>
    <w:rsid w:val="006B45E4"/>
    <w:rsid w:val="006B4FB9"/>
    <w:rsid w:val="006B5EED"/>
    <w:rsid w:val="006B5FA7"/>
    <w:rsid w:val="006B6937"/>
    <w:rsid w:val="006B7340"/>
    <w:rsid w:val="006C00F2"/>
    <w:rsid w:val="006C105F"/>
    <w:rsid w:val="006C3063"/>
    <w:rsid w:val="006C3916"/>
    <w:rsid w:val="006C4956"/>
    <w:rsid w:val="006C577B"/>
    <w:rsid w:val="006C58A8"/>
    <w:rsid w:val="006C5962"/>
    <w:rsid w:val="006C70A5"/>
    <w:rsid w:val="006D00FF"/>
    <w:rsid w:val="006D02A0"/>
    <w:rsid w:val="006D1D74"/>
    <w:rsid w:val="006D32F4"/>
    <w:rsid w:val="006D4EF5"/>
    <w:rsid w:val="006D6047"/>
    <w:rsid w:val="006E1137"/>
    <w:rsid w:val="006E1B6F"/>
    <w:rsid w:val="006E4815"/>
    <w:rsid w:val="006E490C"/>
    <w:rsid w:val="006E4B4F"/>
    <w:rsid w:val="006E4D2B"/>
    <w:rsid w:val="006E528F"/>
    <w:rsid w:val="006E59FC"/>
    <w:rsid w:val="006E62B3"/>
    <w:rsid w:val="006E70A9"/>
    <w:rsid w:val="006F1FCA"/>
    <w:rsid w:val="006F217F"/>
    <w:rsid w:val="006F2B6C"/>
    <w:rsid w:val="006F50AA"/>
    <w:rsid w:val="006F54D1"/>
    <w:rsid w:val="006F5B45"/>
    <w:rsid w:val="006F5F96"/>
    <w:rsid w:val="006F6043"/>
    <w:rsid w:val="006F633E"/>
    <w:rsid w:val="006F6DF3"/>
    <w:rsid w:val="006F7352"/>
    <w:rsid w:val="00700495"/>
    <w:rsid w:val="00702277"/>
    <w:rsid w:val="007022C9"/>
    <w:rsid w:val="00702E89"/>
    <w:rsid w:val="007038AB"/>
    <w:rsid w:val="00703E0B"/>
    <w:rsid w:val="00704606"/>
    <w:rsid w:val="00705350"/>
    <w:rsid w:val="0070535B"/>
    <w:rsid w:val="007055D0"/>
    <w:rsid w:val="00705860"/>
    <w:rsid w:val="00706468"/>
    <w:rsid w:val="00710321"/>
    <w:rsid w:val="00710670"/>
    <w:rsid w:val="00711D28"/>
    <w:rsid w:val="00711DE8"/>
    <w:rsid w:val="00712F3F"/>
    <w:rsid w:val="007135A7"/>
    <w:rsid w:val="00713842"/>
    <w:rsid w:val="00713D21"/>
    <w:rsid w:val="007140B4"/>
    <w:rsid w:val="0071442E"/>
    <w:rsid w:val="0072030D"/>
    <w:rsid w:val="00721329"/>
    <w:rsid w:val="007214DC"/>
    <w:rsid w:val="00721FC4"/>
    <w:rsid w:val="00722CC4"/>
    <w:rsid w:val="00723CCF"/>
    <w:rsid w:val="00724DD2"/>
    <w:rsid w:val="00725131"/>
    <w:rsid w:val="007260F7"/>
    <w:rsid w:val="00727AEC"/>
    <w:rsid w:val="0073224C"/>
    <w:rsid w:val="00733848"/>
    <w:rsid w:val="007352F4"/>
    <w:rsid w:val="00735CBC"/>
    <w:rsid w:val="00736E27"/>
    <w:rsid w:val="0074203C"/>
    <w:rsid w:val="007425BB"/>
    <w:rsid w:val="00743C28"/>
    <w:rsid w:val="0074408D"/>
    <w:rsid w:val="00744553"/>
    <w:rsid w:val="00745D5B"/>
    <w:rsid w:val="00747034"/>
    <w:rsid w:val="0074740F"/>
    <w:rsid w:val="00747A03"/>
    <w:rsid w:val="00747B23"/>
    <w:rsid w:val="0075498F"/>
    <w:rsid w:val="00756F4C"/>
    <w:rsid w:val="00761270"/>
    <w:rsid w:val="00764383"/>
    <w:rsid w:val="00764C66"/>
    <w:rsid w:val="00765B39"/>
    <w:rsid w:val="00766EC6"/>
    <w:rsid w:val="00767C64"/>
    <w:rsid w:val="00770C9E"/>
    <w:rsid w:val="00771A2C"/>
    <w:rsid w:val="007731EC"/>
    <w:rsid w:val="00774283"/>
    <w:rsid w:val="007742CB"/>
    <w:rsid w:val="00774BA4"/>
    <w:rsid w:val="00775AD9"/>
    <w:rsid w:val="00777D15"/>
    <w:rsid w:val="00781577"/>
    <w:rsid w:val="007838D1"/>
    <w:rsid w:val="00784F3A"/>
    <w:rsid w:val="00786E6C"/>
    <w:rsid w:val="0079120D"/>
    <w:rsid w:val="0079139C"/>
    <w:rsid w:val="00791B8B"/>
    <w:rsid w:val="00792FD3"/>
    <w:rsid w:val="00793824"/>
    <w:rsid w:val="007942A9"/>
    <w:rsid w:val="00797016"/>
    <w:rsid w:val="007971FA"/>
    <w:rsid w:val="0079728C"/>
    <w:rsid w:val="00797B83"/>
    <w:rsid w:val="007A0276"/>
    <w:rsid w:val="007A0720"/>
    <w:rsid w:val="007A2D93"/>
    <w:rsid w:val="007A447B"/>
    <w:rsid w:val="007A4495"/>
    <w:rsid w:val="007A6FAB"/>
    <w:rsid w:val="007A79A4"/>
    <w:rsid w:val="007B079C"/>
    <w:rsid w:val="007B1CF9"/>
    <w:rsid w:val="007B254B"/>
    <w:rsid w:val="007B3084"/>
    <w:rsid w:val="007B36F7"/>
    <w:rsid w:val="007B3EB6"/>
    <w:rsid w:val="007B42FF"/>
    <w:rsid w:val="007B4B9A"/>
    <w:rsid w:val="007B700A"/>
    <w:rsid w:val="007B71C8"/>
    <w:rsid w:val="007B765B"/>
    <w:rsid w:val="007B7796"/>
    <w:rsid w:val="007C052D"/>
    <w:rsid w:val="007C1BDC"/>
    <w:rsid w:val="007C1CEE"/>
    <w:rsid w:val="007C4546"/>
    <w:rsid w:val="007C4BAF"/>
    <w:rsid w:val="007C57E9"/>
    <w:rsid w:val="007D05DB"/>
    <w:rsid w:val="007D065A"/>
    <w:rsid w:val="007D2880"/>
    <w:rsid w:val="007D3486"/>
    <w:rsid w:val="007D3735"/>
    <w:rsid w:val="007D40C8"/>
    <w:rsid w:val="007D47F4"/>
    <w:rsid w:val="007D51F2"/>
    <w:rsid w:val="007D575D"/>
    <w:rsid w:val="007D5883"/>
    <w:rsid w:val="007D6A8C"/>
    <w:rsid w:val="007D6B59"/>
    <w:rsid w:val="007D6D71"/>
    <w:rsid w:val="007E11AD"/>
    <w:rsid w:val="007E58F6"/>
    <w:rsid w:val="007E6E5C"/>
    <w:rsid w:val="007F07DB"/>
    <w:rsid w:val="007F168A"/>
    <w:rsid w:val="007F19D5"/>
    <w:rsid w:val="007F3CD6"/>
    <w:rsid w:val="007F4375"/>
    <w:rsid w:val="007F4C95"/>
    <w:rsid w:val="007F6772"/>
    <w:rsid w:val="007F6F01"/>
    <w:rsid w:val="007F79D0"/>
    <w:rsid w:val="00801A5D"/>
    <w:rsid w:val="00801DF2"/>
    <w:rsid w:val="008022E7"/>
    <w:rsid w:val="008023ED"/>
    <w:rsid w:val="008031F0"/>
    <w:rsid w:val="00803E82"/>
    <w:rsid w:val="00805870"/>
    <w:rsid w:val="00805CB5"/>
    <w:rsid w:val="00806A43"/>
    <w:rsid w:val="00807623"/>
    <w:rsid w:val="00807FAA"/>
    <w:rsid w:val="0081060E"/>
    <w:rsid w:val="0081081E"/>
    <w:rsid w:val="00810DEA"/>
    <w:rsid w:val="00811D47"/>
    <w:rsid w:val="00812E6C"/>
    <w:rsid w:val="00813A3D"/>
    <w:rsid w:val="00815000"/>
    <w:rsid w:val="00815CA5"/>
    <w:rsid w:val="008160AF"/>
    <w:rsid w:val="00816C60"/>
    <w:rsid w:val="0081770C"/>
    <w:rsid w:val="00820D50"/>
    <w:rsid w:val="00823888"/>
    <w:rsid w:val="00823980"/>
    <w:rsid w:val="00825AD2"/>
    <w:rsid w:val="00825FAB"/>
    <w:rsid w:val="008273AF"/>
    <w:rsid w:val="00830182"/>
    <w:rsid w:val="00830CBF"/>
    <w:rsid w:val="008311EE"/>
    <w:rsid w:val="008315D4"/>
    <w:rsid w:val="00831774"/>
    <w:rsid w:val="00831F97"/>
    <w:rsid w:val="00832E72"/>
    <w:rsid w:val="00833613"/>
    <w:rsid w:val="0083443E"/>
    <w:rsid w:val="008356B1"/>
    <w:rsid w:val="008368E2"/>
    <w:rsid w:val="00836C64"/>
    <w:rsid w:val="00836CA2"/>
    <w:rsid w:val="00837075"/>
    <w:rsid w:val="008378B8"/>
    <w:rsid w:val="008406E9"/>
    <w:rsid w:val="00840A6D"/>
    <w:rsid w:val="008418AE"/>
    <w:rsid w:val="008421DD"/>
    <w:rsid w:val="008425F6"/>
    <w:rsid w:val="00842FF9"/>
    <w:rsid w:val="0084314C"/>
    <w:rsid w:val="00843178"/>
    <w:rsid w:val="0084562C"/>
    <w:rsid w:val="008464AD"/>
    <w:rsid w:val="0084734A"/>
    <w:rsid w:val="008504F4"/>
    <w:rsid w:val="00851FD0"/>
    <w:rsid w:val="0085509C"/>
    <w:rsid w:val="00855286"/>
    <w:rsid w:val="00855DB2"/>
    <w:rsid w:val="008562F0"/>
    <w:rsid w:val="008566A2"/>
    <w:rsid w:val="00857DE6"/>
    <w:rsid w:val="00860589"/>
    <w:rsid w:val="008606FE"/>
    <w:rsid w:val="00860930"/>
    <w:rsid w:val="00860E2A"/>
    <w:rsid w:val="00861FE1"/>
    <w:rsid w:val="00862B6A"/>
    <w:rsid w:val="00862D25"/>
    <w:rsid w:val="00864C09"/>
    <w:rsid w:val="008657B1"/>
    <w:rsid w:val="00866E7A"/>
    <w:rsid w:val="008677CB"/>
    <w:rsid w:val="00867818"/>
    <w:rsid w:val="00867859"/>
    <w:rsid w:val="00872557"/>
    <w:rsid w:val="00875966"/>
    <w:rsid w:val="00876E3B"/>
    <w:rsid w:val="00880A3D"/>
    <w:rsid w:val="00881262"/>
    <w:rsid w:val="00881844"/>
    <w:rsid w:val="00882283"/>
    <w:rsid w:val="00883A52"/>
    <w:rsid w:val="00884D1A"/>
    <w:rsid w:val="008852E6"/>
    <w:rsid w:val="00885718"/>
    <w:rsid w:val="00885BFD"/>
    <w:rsid w:val="0088649A"/>
    <w:rsid w:val="00886648"/>
    <w:rsid w:val="008866EF"/>
    <w:rsid w:val="008901AC"/>
    <w:rsid w:val="008912FF"/>
    <w:rsid w:val="00891969"/>
    <w:rsid w:val="00892C70"/>
    <w:rsid w:val="0089365F"/>
    <w:rsid w:val="008936EE"/>
    <w:rsid w:val="00895295"/>
    <w:rsid w:val="00895698"/>
    <w:rsid w:val="00897C4E"/>
    <w:rsid w:val="008A155B"/>
    <w:rsid w:val="008A1A84"/>
    <w:rsid w:val="008A27E3"/>
    <w:rsid w:val="008A2E63"/>
    <w:rsid w:val="008A3FF1"/>
    <w:rsid w:val="008A529C"/>
    <w:rsid w:val="008A55B9"/>
    <w:rsid w:val="008A5979"/>
    <w:rsid w:val="008B180F"/>
    <w:rsid w:val="008B1AFD"/>
    <w:rsid w:val="008B3B45"/>
    <w:rsid w:val="008B51B0"/>
    <w:rsid w:val="008B7249"/>
    <w:rsid w:val="008B72F6"/>
    <w:rsid w:val="008B742F"/>
    <w:rsid w:val="008C1F13"/>
    <w:rsid w:val="008C1F77"/>
    <w:rsid w:val="008C2593"/>
    <w:rsid w:val="008C265A"/>
    <w:rsid w:val="008C2FD2"/>
    <w:rsid w:val="008C33E6"/>
    <w:rsid w:val="008C4742"/>
    <w:rsid w:val="008C7D56"/>
    <w:rsid w:val="008D1FB9"/>
    <w:rsid w:val="008D4288"/>
    <w:rsid w:val="008D49BA"/>
    <w:rsid w:val="008D5045"/>
    <w:rsid w:val="008D6A4E"/>
    <w:rsid w:val="008D765D"/>
    <w:rsid w:val="008D7991"/>
    <w:rsid w:val="008E1093"/>
    <w:rsid w:val="008E1248"/>
    <w:rsid w:val="008E1949"/>
    <w:rsid w:val="008E6003"/>
    <w:rsid w:val="008E6DC6"/>
    <w:rsid w:val="008E6F0B"/>
    <w:rsid w:val="008F1EE4"/>
    <w:rsid w:val="008F2383"/>
    <w:rsid w:val="008F286E"/>
    <w:rsid w:val="008F31EB"/>
    <w:rsid w:val="008F48F5"/>
    <w:rsid w:val="008F64A6"/>
    <w:rsid w:val="008F6A87"/>
    <w:rsid w:val="0090009B"/>
    <w:rsid w:val="0090040E"/>
    <w:rsid w:val="0090123F"/>
    <w:rsid w:val="00901942"/>
    <w:rsid w:val="00902CAF"/>
    <w:rsid w:val="00902F37"/>
    <w:rsid w:val="00903C5D"/>
    <w:rsid w:val="00904584"/>
    <w:rsid w:val="0090494D"/>
    <w:rsid w:val="0090517A"/>
    <w:rsid w:val="009056EF"/>
    <w:rsid w:val="00907264"/>
    <w:rsid w:val="00907872"/>
    <w:rsid w:val="0091018E"/>
    <w:rsid w:val="0091222C"/>
    <w:rsid w:val="0091523A"/>
    <w:rsid w:val="009153EB"/>
    <w:rsid w:val="00915B94"/>
    <w:rsid w:val="00915E2F"/>
    <w:rsid w:val="009160DE"/>
    <w:rsid w:val="0091621E"/>
    <w:rsid w:val="009208C6"/>
    <w:rsid w:val="00921165"/>
    <w:rsid w:val="00922402"/>
    <w:rsid w:val="00923880"/>
    <w:rsid w:val="009238FA"/>
    <w:rsid w:val="009245A1"/>
    <w:rsid w:val="00925242"/>
    <w:rsid w:val="0092531A"/>
    <w:rsid w:val="009264BE"/>
    <w:rsid w:val="00927BBE"/>
    <w:rsid w:val="00930A0C"/>
    <w:rsid w:val="00931439"/>
    <w:rsid w:val="00932A0E"/>
    <w:rsid w:val="00932D78"/>
    <w:rsid w:val="00933260"/>
    <w:rsid w:val="0093620C"/>
    <w:rsid w:val="009401CE"/>
    <w:rsid w:val="009415AE"/>
    <w:rsid w:val="0094207D"/>
    <w:rsid w:val="009422B5"/>
    <w:rsid w:val="00942E6B"/>
    <w:rsid w:val="00942EAD"/>
    <w:rsid w:val="0094301B"/>
    <w:rsid w:val="00943469"/>
    <w:rsid w:val="00943554"/>
    <w:rsid w:val="00944174"/>
    <w:rsid w:val="009455D7"/>
    <w:rsid w:val="00946C66"/>
    <w:rsid w:val="009502CE"/>
    <w:rsid w:val="00950553"/>
    <w:rsid w:val="00951355"/>
    <w:rsid w:val="00951D19"/>
    <w:rsid w:val="00952EF3"/>
    <w:rsid w:val="00953AF4"/>
    <w:rsid w:val="00954370"/>
    <w:rsid w:val="009573DE"/>
    <w:rsid w:val="0096097D"/>
    <w:rsid w:val="00960A26"/>
    <w:rsid w:val="00960FEB"/>
    <w:rsid w:val="00963044"/>
    <w:rsid w:val="0096650F"/>
    <w:rsid w:val="00966B06"/>
    <w:rsid w:val="0097225F"/>
    <w:rsid w:val="00972840"/>
    <w:rsid w:val="00972F2D"/>
    <w:rsid w:val="00973318"/>
    <w:rsid w:val="0097449E"/>
    <w:rsid w:val="00975679"/>
    <w:rsid w:val="00976949"/>
    <w:rsid w:val="00976CB3"/>
    <w:rsid w:val="0098063C"/>
    <w:rsid w:val="009807AE"/>
    <w:rsid w:val="00981999"/>
    <w:rsid w:val="00981B35"/>
    <w:rsid w:val="0098378A"/>
    <w:rsid w:val="00983904"/>
    <w:rsid w:val="009839BE"/>
    <w:rsid w:val="00983D58"/>
    <w:rsid w:val="00985862"/>
    <w:rsid w:val="00985E91"/>
    <w:rsid w:val="00986AE8"/>
    <w:rsid w:val="00987127"/>
    <w:rsid w:val="009911CC"/>
    <w:rsid w:val="00993332"/>
    <w:rsid w:val="009937B7"/>
    <w:rsid w:val="00993985"/>
    <w:rsid w:val="00997454"/>
    <w:rsid w:val="009A08D5"/>
    <w:rsid w:val="009A167F"/>
    <w:rsid w:val="009A1C97"/>
    <w:rsid w:val="009A1DAA"/>
    <w:rsid w:val="009A3283"/>
    <w:rsid w:val="009A3C4D"/>
    <w:rsid w:val="009A4041"/>
    <w:rsid w:val="009A493F"/>
    <w:rsid w:val="009A496C"/>
    <w:rsid w:val="009A6CC3"/>
    <w:rsid w:val="009A74A4"/>
    <w:rsid w:val="009A754B"/>
    <w:rsid w:val="009B0081"/>
    <w:rsid w:val="009B0CCF"/>
    <w:rsid w:val="009B0D05"/>
    <w:rsid w:val="009B0EC9"/>
    <w:rsid w:val="009B19D1"/>
    <w:rsid w:val="009B2612"/>
    <w:rsid w:val="009B2B1D"/>
    <w:rsid w:val="009B5370"/>
    <w:rsid w:val="009B607E"/>
    <w:rsid w:val="009B6591"/>
    <w:rsid w:val="009B707F"/>
    <w:rsid w:val="009B7BB6"/>
    <w:rsid w:val="009C0D64"/>
    <w:rsid w:val="009C16A5"/>
    <w:rsid w:val="009C3E18"/>
    <w:rsid w:val="009C3F10"/>
    <w:rsid w:val="009C53C1"/>
    <w:rsid w:val="009C7C2A"/>
    <w:rsid w:val="009D0396"/>
    <w:rsid w:val="009D13B4"/>
    <w:rsid w:val="009D1B5C"/>
    <w:rsid w:val="009D1DB4"/>
    <w:rsid w:val="009D2005"/>
    <w:rsid w:val="009D22F0"/>
    <w:rsid w:val="009D2F8A"/>
    <w:rsid w:val="009D3D81"/>
    <w:rsid w:val="009D3F60"/>
    <w:rsid w:val="009D4B53"/>
    <w:rsid w:val="009D72F4"/>
    <w:rsid w:val="009D767D"/>
    <w:rsid w:val="009D7F8C"/>
    <w:rsid w:val="009E2312"/>
    <w:rsid w:val="009E29D7"/>
    <w:rsid w:val="009E5406"/>
    <w:rsid w:val="009E5C86"/>
    <w:rsid w:val="009E7156"/>
    <w:rsid w:val="009E76EE"/>
    <w:rsid w:val="009E79C4"/>
    <w:rsid w:val="009F11CE"/>
    <w:rsid w:val="009F11EC"/>
    <w:rsid w:val="009F173C"/>
    <w:rsid w:val="009F2E9B"/>
    <w:rsid w:val="009F5FA6"/>
    <w:rsid w:val="009F6C04"/>
    <w:rsid w:val="009F780B"/>
    <w:rsid w:val="009F7A7B"/>
    <w:rsid w:val="009F7C2B"/>
    <w:rsid w:val="00A00FC3"/>
    <w:rsid w:val="00A01174"/>
    <w:rsid w:val="00A01771"/>
    <w:rsid w:val="00A019E6"/>
    <w:rsid w:val="00A020C3"/>
    <w:rsid w:val="00A05B6A"/>
    <w:rsid w:val="00A05FAA"/>
    <w:rsid w:val="00A06E8E"/>
    <w:rsid w:val="00A10289"/>
    <w:rsid w:val="00A10672"/>
    <w:rsid w:val="00A107A2"/>
    <w:rsid w:val="00A11AEF"/>
    <w:rsid w:val="00A11BC4"/>
    <w:rsid w:val="00A12174"/>
    <w:rsid w:val="00A13059"/>
    <w:rsid w:val="00A1316A"/>
    <w:rsid w:val="00A15910"/>
    <w:rsid w:val="00A165AC"/>
    <w:rsid w:val="00A16919"/>
    <w:rsid w:val="00A17A43"/>
    <w:rsid w:val="00A2011E"/>
    <w:rsid w:val="00A20F56"/>
    <w:rsid w:val="00A225D9"/>
    <w:rsid w:val="00A229FB"/>
    <w:rsid w:val="00A22E81"/>
    <w:rsid w:val="00A22EED"/>
    <w:rsid w:val="00A230E9"/>
    <w:rsid w:val="00A23881"/>
    <w:rsid w:val="00A245C2"/>
    <w:rsid w:val="00A245F0"/>
    <w:rsid w:val="00A24B4A"/>
    <w:rsid w:val="00A25CD1"/>
    <w:rsid w:val="00A27099"/>
    <w:rsid w:val="00A275CA"/>
    <w:rsid w:val="00A27C28"/>
    <w:rsid w:val="00A27F7D"/>
    <w:rsid w:val="00A31130"/>
    <w:rsid w:val="00A3220B"/>
    <w:rsid w:val="00A328E7"/>
    <w:rsid w:val="00A33864"/>
    <w:rsid w:val="00A352C2"/>
    <w:rsid w:val="00A4099C"/>
    <w:rsid w:val="00A42728"/>
    <w:rsid w:val="00A42833"/>
    <w:rsid w:val="00A43285"/>
    <w:rsid w:val="00A43560"/>
    <w:rsid w:val="00A45D7F"/>
    <w:rsid w:val="00A468BB"/>
    <w:rsid w:val="00A469C0"/>
    <w:rsid w:val="00A4765D"/>
    <w:rsid w:val="00A509D4"/>
    <w:rsid w:val="00A50A00"/>
    <w:rsid w:val="00A51287"/>
    <w:rsid w:val="00A51C10"/>
    <w:rsid w:val="00A52D65"/>
    <w:rsid w:val="00A5323F"/>
    <w:rsid w:val="00A53BEA"/>
    <w:rsid w:val="00A543A8"/>
    <w:rsid w:val="00A54E25"/>
    <w:rsid w:val="00A60130"/>
    <w:rsid w:val="00A6018C"/>
    <w:rsid w:val="00A61C75"/>
    <w:rsid w:val="00A64399"/>
    <w:rsid w:val="00A644DD"/>
    <w:rsid w:val="00A65A50"/>
    <w:rsid w:val="00A65A59"/>
    <w:rsid w:val="00A66FEA"/>
    <w:rsid w:val="00A7306C"/>
    <w:rsid w:val="00A73807"/>
    <w:rsid w:val="00A73A5A"/>
    <w:rsid w:val="00A74A6C"/>
    <w:rsid w:val="00A7531C"/>
    <w:rsid w:val="00A762E0"/>
    <w:rsid w:val="00A77BB0"/>
    <w:rsid w:val="00A8047F"/>
    <w:rsid w:val="00A8077B"/>
    <w:rsid w:val="00A80800"/>
    <w:rsid w:val="00A81E0A"/>
    <w:rsid w:val="00A826E9"/>
    <w:rsid w:val="00A82B82"/>
    <w:rsid w:val="00A83101"/>
    <w:rsid w:val="00A83956"/>
    <w:rsid w:val="00A85E4F"/>
    <w:rsid w:val="00A869D3"/>
    <w:rsid w:val="00A87CB3"/>
    <w:rsid w:val="00A90B30"/>
    <w:rsid w:val="00A92355"/>
    <w:rsid w:val="00A92CCA"/>
    <w:rsid w:val="00A92DBF"/>
    <w:rsid w:val="00A93123"/>
    <w:rsid w:val="00A934D8"/>
    <w:rsid w:val="00A951C1"/>
    <w:rsid w:val="00A967B8"/>
    <w:rsid w:val="00A96A5C"/>
    <w:rsid w:val="00A96D80"/>
    <w:rsid w:val="00AA0E3C"/>
    <w:rsid w:val="00AA26EA"/>
    <w:rsid w:val="00AA2902"/>
    <w:rsid w:val="00AA3356"/>
    <w:rsid w:val="00AA3DAC"/>
    <w:rsid w:val="00AA3F68"/>
    <w:rsid w:val="00AA6E1D"/>
    <w:rsid w:val="00AA79C1"/>
    <w:rsid w:val="00AB2BBF"/>
    <w:rsid w:val="00AB3382"/>
    <w:rsid w:val="00AB4EBE"/>
    <w:rsid w:val="00AB5BDD"/>
    <w:rsid w:val="00AB6D34"/>
    <w:rsid w:val="00AB7286"/>
    <w:rsid w:val="00AB7719"/>
    <w:rsid w:val="00AC14DD"/>
    <w:rsid w:val="00AC1D28"/>
    <w:rsid w:val="00AC247D"/>
    <w:rsid w:val="00AC2CE9"/>
    <w:rsid w:val="00AC35DE"/>
    <w:rsid w:val="00AC3659"/>
    <w:rsid w:val="00AC3DCA"/>
    <w:rsid w:val="00AC4876"/>
    <w:rsid w:val="00AC4E52"/>
    <w:rsid w:val="00AC4EE6"/>
    <w:rsid w:val="00AC506A"/>
    <w:rsid w:val="00AC5292"/>
    <w:rsid w:val="00AC638D"/>
    <w:rsid w:val="00AC71AA"/>
    <w:rsid w:val="00AC79B8"/>
    <w:rsid w:val="00AD0109"/>
    <w:rsid w:val="00AD08A0"/>
    <w:rsid w:val="00AD0DD2"/>
    <w:rsid w:val="00AD21B3"/>
    <w:rsid w:val="00AD2CD0"/>
    <w:rsid w:val="00AD3644"/>
    <w:rsid w:val="00AD36C1"/>
    <w:rsid w:val="00AD3736"/>
    <w:rsid w:val="00AD5E97"/>
    <w:rsid w:val="00AD5EA8"/>
    <w:rsid w:val="00AD6004"/>
    <w:rsid w:val="00AD6405"/>
    <w:rsid w:val="00AD7BC6"/>
    <w:rsid w:val="00AE0A45"/>
    <w:rsid w:val="00AE393D"/>
    <w:rsid w:val="00AE587B"/>
    <w:rsid w:val="00AE6E56"/>
    <w:rsid w:val="00AE7B84"/>
    <w:rsid w:val="00AF0041"/>
    <w:rsid w:val="00AF0948"/>
    <w:rsid w:val="00AF10C1"/>
    <w:rsid w:val="00AF302B"/>
    <w:rsid w:val="00AF3F83"/>
    <w:rsid w:val="00AF42DF"/>
    <w:rsid w:val="00AF4D70"/>
    <w:rsid w:val="00AF51F3"/>
    <w:rsid w:val="00AF5336"/>
    <w:rsid w:val="00AF5961"/>
    <w:rsid w:val="00AF6EA4"/>
    <w:rsid w:val="00AF6ECF"/>
    <w:rsid w:val="00B001E2"/>
    <w:rsid w:val="00B022E2"/>
    <w:rsid w:val="00B03166"/>
    <w:rsid w:val="00B03383"/>
    <w:rsid w:val="00B05FD2"/>
    <w:rsid w:val="00B06820"/>
    <w:rsid w:val="00B07C48"/>
    <w:rsid w:val="00B10ADC"/>
    <w:rsid w:val="00B10C78"/>
    <w:rsid w:val="00B1204F"/>
    <w:rsid w:val="00B12B32"/>
    <w:rsid w:val="00B13469"/>
    <w:rsid w:val="00B13BE2"/>
    <w:rsid w:val="00B15237"/>
    <w:rsid w:val="00B15298"/>
    <w:rsid w:val="00B1568E"/>
    <w:rsid w:val="00B16460"/>
    <w:rsid w:val="00B17B97"/>
    <w:rsid w:val="00B21C1E"/>
    <w:rsid w:val="00B22905"/>
    <w:rsid w:val="00B2412B"/>
    <w:rsid w:val="00B24902"/>
    <w:rsid w:val="00B251CB"/>
    <w:rsid w:val="00B251F3"/>
    <w:rsid w:val="00B253EB"/>
    <w:rsid w:val="00B26A3B"/>
    <w:rsid w:val="00B26BD4"/>
    <w:rsid w:val="00B27211"/>
    <w:rsid w:val="00B2770E"/>
    <w:rsid w:val="00B27B45"/>
    <w:rsid w:val="00B27C27"/>
    <w:rsid w:val="00B31B94"/>
    <w:rsid w:val="00B326C9"/>
    <w:rsid w:val="00B33394"/>
    <w:rsid w:val="00B34F9C"/>
    <w:rsid w:val="00B354C3"/>
    <w:rsid w:val="00B356A1"/>
    <w:rsid w:val="00B35A57"/>
    <w:rsid w:val="00B36D95"/>
    <w:rsid w:val="00B3746A"/>
    <w:rsid w:val="00B37797"/>
    <w:rsid w:val="00B37DC8"/>
    <w:rsid w:val="00B37FC5"/>
    <w:rsid w:val="00B40BCF"/>
    <w:rsid w:val="00B41267"/>
    <w:rsid w:val="00B41DEC"/>
    <w:rsid w:val="00B42870"/>
    <w:rsid w:val="00B44788"/>
    <w:rsid w:val="00B45B64"/>
    <w:rsid w:val="00B45D4D"/>
    <w:rsid w:val="00B5018A"/>
    <w:rsid w:val="00B51D0C"/>
    <w:rsid w:val="00B5330C"/>
    <w:rsid w:val="00B54B7B"/>
    <w:rsid w:val="00B54BCE"/>
    <w:rsid w:val="00B559C4"/>
    <w:rsid w:val="00B56835"/>
    <w:rsid w:val="00B574EB"/>
    <w:rsid w:val="00B57B57"/>
    <w:rsid w:val="00B6267D"/>
    <w:rsid w:val="00B62E95"/>
    <w:rsid w:val="00B63753"/>
    <w:rsid w:val="00B6587E"/>
    <w:rsid w:val="00B6794E"/>
    <w:rsid w:val="00B67CF4"/>
    <w:rsid w:val="00B71982"/>
    <w:rsid w:val="00B71A25"/>
    <w:rsid w:val="00B7342B"/>
    <w:rsid w:val="00B74009"/>
    <w:rsid w:val="00B7487A"/>
    <w:rsid w:val="00B74A18"/>
    <w:rsid w:val="00B756C4"/>
    <w:rsid w:val="00B75ACF"/>
    <w:rsid w:val="00B75F41"/>
    <w:rsid w:val="00B822F4"/>
    <w:rsid w:val="00B823F7"/>
    <w:rsid w:val="00B829E0"/>
    <w:rsid w:val="00B8460E"/>
    <w:rsid w:val="00B8489C"/>
    <w:rsid w:val="00B87E5C"/>
    <w:rsid w:val="00B87FB0"/>
    <w:rsid w:val="00B903BD"/>
    <w:rsid w:val="00B917AF"/>
    <w:rsid w:val="00B91DDE"/>
    <w:rsid w:val="00B92B65"/>
    <w:rsid w:val="00B93DFE"/>
    <w:rsid w:val="00B94810"/>
    <w:rsid w:val="00B96792"/>
    <w:rsid w:val="00B97FE7"/>
    <w:rsid w:val="00BA0EF5"/>
    <w:rsid w:val="00BA1441"/>
    <w:rsid w:val="00BA6EB3"/>
    <w:rsid w:val="00BA6EBC"/>
    <w:rsid w:val="00BA7C3B"/>
    <w:rsid w:val="00BB1F82"/>
    <w:rsid w:val="00BB2A6B"/>
    <w:rsid w:val="00BB339E"/>
    <w:rsid w:val="00BB356A"/>
    <w:rsid w:val="00BB3D35"/>
    <w:rsid w:val="00BB409E"/>
    <w:rsid w:val="00BB5214"/>
    <w:rsid w:val="00BB650B"/>
    <w:rsid w:val="00BB691C"/>
    <w:rsid w:val="00BB6DF7"/>
    <w:rsid w:val="00BC114E"/>
    <w:rsid w:val="00BC1A39"/>
    <w:rsid w:val="00BC1F70"/>
    <w:rsid w:val="00BC44CD"/>
    <w:rsid w:val="00BC486D"/>
    <w:rsid w:val="00BC65AF"/>
    <w:rsid w:val="00BC6BFD"/>
    <w:rsid w:val="00BC768F"/>
    <w:rsid w:val="00BC7D04"/>
    <w:rsid w:val="00BD087F"/>
    <w:rsid w:val="00BD161E"/>
    <w:rsid w:val="00BD1EF4"/>
    <w:rsid w:val="00BD2CB5"/>
    <w:rsid w:val="00BD3346"/>
    <w:rsid w:val="00BD6CF7"/>
    <w:rsid w:val="00BE1F17"/>
    <w:rsid w:val="00BE20EE"/>
    <w:rsid w:val="00BE27E6"/>
    <w:rsid w:val="00BE2B7B"/>
    <w:rsid w:val="00BE43A4"/>
    <w:rsid w:val="00BE488F"/>
    <w:rsid w:val="00BE5974"/>
    <w:rsid w:val="00BE5F28"/>
    <w:rsid w:val="00BE6079"/>
    <w:rsid w:val="00BE60CF"/>
    <w:rsid w:val="00BF04BA"/>
    <w:rsid w:val="00BF06B0"/>
    <w:rsid w:val="00BF151B"/>
    <w:rsid w:val="00BF20E9"/>
    <w:rsid w:val="00BF2F04"/>
    <w:rsid w:val="00BF527F"/>
    <w:rsid w:val="00BF6013"/>
    <w:rsid w:val="00BF6CB6"/>
    <w:rsid w:val="00BF72B8"/>
    <w:rsid w:val="00C01561"/>
    <w:rsid w:val="00C01C96"/>
    <w:rsid w:val="00C0200D"/>
    <w:rsid w:val="00C05069"/>
    <w:rsid w:val="00C0545F"/>
    <w:rsid w:val="00C06B5A"/>
    <w:rsid w:val="00C10382"/>
    <w:rsid w:val="00C107A3"/>
    <w:rsid w:val="00C1417B"/>
    <w:rsid w:val="00C1427C"/>
    <w:rsid w:val="00C146BE"/>
    <w:rsid w:val="00C14F42"/>
    <w:rsid w:val="00C1602A"/>
    <w:rsid w:val="00C16195"/>
    <w:rsid w:val="00C176DD"/>
    <w:rsid w:val="00C21030"/>
    <w:rsid w:val="00C21F22"/>
    <w:rsid w:val="00C22208"/>
    <w:rsid w:val="00C24D6B"/>
    <w:rsid w:val="00C267C2"/>
    <w:rsid w:val="00C26ACE"/>
    <w:rsid w:val="00C3090E"/>
    <w:rsid w:val="00C31A3D"/>
    <w:rsid w:val="00C32789"/>
    <w:rsid w:val="00C34B99"/>
    <w:rsid w:val="00C3746F"/>
    <w:rsid w:val="00C407A8"/>
    <w:rsid w:val="00C41916"/>
    <w:rsid w:val="00C41CBC"/>
    <w:rsid w:val="00C44C96"/>
    <w:rsid w:val="00C44F90"/>
    <w:rsid w:val="00C4561B"/>
    <w:rsid w:val="00C4567E"/>
    <w:rsid w:val="00C45BF0"/>
    <w:rsid w:val="00C46E97"/>
    <w:rsid w:val="00C46F2D"/>
    <w:rsid w:val="00C5044E"/>
    <w:rsid w:val="00C53517"/>
    <w:rsid w:val="00C547DE"/>
    <w:rsid w:val="00C54D66"/>
    <w:rsid w:val="00C54E3F"/>
    <w:rsid w:val="00C56E3A"/>
    <w:rsid w:val="00C57EFC"/>
    <w:rsid w:val="00C6036E"/>
    <w:rsid w:val="00C604A4"/>
    <w:rsid w:val="00C6159E"/>
    <w:rsid w:val="00C616CF"/>
    <w:rsid w:val="00C6172F"/>
    <w:rsid w:val="00C61EEA"/>
    <w:rsid w:val="00C64C4D"/>
    <w:rsid w:val="00C65751"/>
    <w:rsid w:val="00C66076"/>
    <w:rsid w:val="00C6672C"/>
    <w:rsid w:val="00C67401"/>
    <w:rsid w:val="00C72117"/>
    <w:rsid w:val="00C730A6"/>
    <w:rsid w:val="00C73B08"/>
    <w:rsid w:val="00C73F33"/>
    <w:rsid w:val="00C74302"/>
    <w:rsid w:val="00C7511A"/>
    <w:rsid w:val="00C75163"/>
    <w:rsid w:val="00C75E7A"/>
    <w:rsid w:val="00C76409"/>
    <w:rsid w:val="00C77186"/>
    <w:rsid w:val="00C779B1"/>
    <w:rsid w:val="00C804F6"/>
    <w:rsid w:val="00C83FE2"/>
    <w:rsid w:val="00C86FFB"/>
    <w:rsid w:val="00C87F3C"/>
    <w:rsid w:val="00C90415"/>
    <w:rsid w:val="00C913B8"/>
    <w:rsid w:val="00C91FBB"/>
    <w:rsid w:val="00C92E24"/>
    <w:rsid w:val="00C93AF6"/>
    <w:rsid w:val="00C941B9"/>
    <w:rsid w:val="00C951B2"/>
    <w:rsid w:val="00C96349"/>
    <w:rsid w:val="00C97152"/>
    <w:rsid w:val="00C9729F"/>
    <w:rsid w:val="00CA1430"/>
    <w:rsid w:val="00CA1E1D"/>
    <w:rsid w:val="00CA2513"/>
    <w:rsid w:val="00CA372E"/>
    <w:rsid w:val="00CA4F41"/>
    <w:rsid w:val="00CA5C87"/>
    <w:rsid w:val="00CA6212"/>
    <w:rsid w:val="00CA677D"/>
    <w:rsid w:val="00CA6805"/>
    <w:rsid w:val="00CA73A7"/>
    <w:rsid w:val="00CB1926"/>
    <w:rsid w:val="00CB196D"/>
    <w:rsid w:val="00CB1F17"/>
    <w:rsid w:val="00CB23FA"/>
    <w:rsid w:val="00CB2612"/>
    <w:rsid w:val="00CB28EF"/>
    <w:rsid w:val="00CB2A06"/>
    <w:rsid w:val="00CB32EF"/>
    <w:rsid w:val="00CB330F"/>
    <w:rsid w:val="00CB5654"/>
    <w:rsid w:val="00CB5C76"/>
    <w:rsid w:val="00CB5E0E"/>
    <w:rsid w:val="00CB60F5"/>
    <w:rsid w:val="00CB7CD3"/>
    <w:rsid w:val="00CC12BF"/>
    <w:rsid w:val="00CC1A1C"/>
    <w:rsid w:val="00CC1C5F"/>
    <w:rsid w:val="00CC22AC"/>
    <w:rsid w:val="00CC2C04"/>
    <w:rsid w:val="00CC5461"/>
    <w:rsid w:val="00CC5544"/>
    <w:rsid w:val="00CD00A1"/>
    <w:rsid w:val="00CD0D63"/>
    <w:rsid w:val="00CD0FDB"/>
    <w:rsid w:val="00CD13B5"/>
    <w:rsid w:val="00CD2448"/>
    <w:rsid w:val="00CD3EED"/>
    <w:rsid w:val="00CD4AA5"/>
    <w:rsid w:val="00CD5E28"/>
    <w:rsid w:val="00CD7D2F"/>
    <w:rsid w:val="00CE0B25"/>
    <w:rsid w:val="00CE1263"/>
    <w:rsid w:val="00CE1951"/>
    <w:rsid w:val="00CE1AFC"/>
    <w:rsid w:val="00CE349D"/>
    <w:rsid w:val="00CE3526"/>
    <w:rsid w:val="00CE4B76"/>
    <w:rsid w:val="00CE6271"/>
    <w:rsid w:val="00CE6423"/>
    <w:rsid w:val="00CE6525"/>
    <w:rsid w:val="00CE6E1C"/>
    <w:rsid w:val="00CF19FB"/>
    <w:rsid w:val="00CF3FF5"/>
    <w:rsid w:val="00CF469B"/>
    <w:rsid w:val="00CF5ACC"/>
    <w:rsid w:val="00CF5B11"/>
    <w:rsid w:val="00D0144A"/>
    <w:rsid w:val="00D026A4"/>
    <w:rsid w:val="00D03854"/>
    <w:rsid w:val="00D04339"/>
    <w:rsid w:val="00D0443B"/>
    <w:rsid w:val="00D04B5E"/>
    <w:rsid w:val="00D050D7"/>
    <w:rsid w:val="00D05260"/>
    <w:rsid w:val="00D06DF5"/>
    <w:rsid w:val="00D07EF7"/>
    <w:rsid w:val="00D10DEC"/>
    <w:rsid w:val="00D10F6E"/>
    <w:rsid w:val="00D12922"/>
    <w:rsid w:val="00D12BF9"/>
    <w:rsid w:val="00D149BF"/>
    <w:rsid w:val="00D16A47"/>
    <w:rsid w:val="00D1746C"/>
    <w:rsid w:val="00D17F74"/>
    <w:rsid w:val="00D208C6"/>
    <w:rsid w:val="00D20FFF"/>
    <w:rsid w:val="00D214AE"/>
    <w:rsid w:val="00D242F6"/>
    <w:rsid w:val="00D24454"/>
    <w:rsid w:val="00D25B6F"/>
    <w:rsid w:val="00D26FF3"/>
    <w:rsid w:val="00D27CC3"/>
    <w:rsid w:val="00D27E83"/>
    <w:rsid w:val="00D31839"/>
    <w:rsid w:val="00D3213C"/>
    <w:rsid w:val="00D3386C"/>
    <w:rsid w:val="00D33F31"/>
    <w:rsid w:val="00D34121"/>
    <w:rsid w:val="00D34921"/>
    <w:rsid w:val="00D35485"/>
    <w:rsid w:val="00D358AB"/>
    <w:rsid w:val="00D40DCA"/>
    <w:rsid w:val="00D411F6"/>
    <w:rsid w:val="00D4210A"/>
    <w:rsid w:val="00D42FD0"/>
    <w:rsid w:val="00D45820"/>
    <w:rsid w:val="00D461D9"/>
    <w:rsid w:val="00D467F6"/>
    <w:rsid w:val="00D4785B"/>
    <w:rsid w:val="00D5024D"/>
    <w:rsid w:val="00D5146F"/>
    <w:rsid w:val="00D53BDB"/>
    <w:rsid w:val="00D541AC"/>
    <w:rsid w:val="00D54985"/>
    <w:rsid w:val="00D56138"/>
    <w:rsid w:val="00D56D0F"/>
    <w:rsid w:val="00D60C69"/>
    <w:rsid w:val="00D6357D"/>
    <w:rsid w:val="00D64BC6"/>
    <w:rsid w:val="00D665ED"/>
    <w:rsid w:val="00D67EFF"/>
    <w:rsid w:val="00D74DA1"/>
    <w:rsid w:val="00D76B45"/>
    <w:rsid w:val="00D830FA"/>
    <w:rsid w:val="00D84704"/>
    <w:rsid w:val="00D84841"/>
    <w:rsid w:val="00D85FCD"/>
    <w:rsid w:val="00D85FE4"/>
    <w:rsid w:val="00D874D7"/>
    <w:rsid w:val="00D913D4"/>
    <w:rsid w:val="00D915B8"/>
    <w:rsid w:val="00D91A0A"/>
    <w:rsid w:val="00D91AD0"/>
    <w:rsid w:val="00D93403"/>
    <w:rsid w:val="00D97406"/>
    <w:rsid w:val="00DA107F"/>
    <w:rsid w:val="00DA3004"/>
    <w:rsid w:val="00DA3DC8"/>
    <w:rsid w:val="00DA3F2C"/>
    <w:rsid w:val="00DA4A72"/>
    <w:rsid w:val="00DA7402"/>
    <w:rsid w:val="00DA7B27"/>
    <w:rsid w:val="00DB1C49"/>
    <w:rsid w:val="00DB2DC4"/>
    <w:rsid w:val="00DB2EDC"/>
    <w:rsid w:val="00DB307A"/>
    <w:rsid w:val="00DB3FB9"/>
    <w:rsid w:val="00DB76A0"/>
    <w:rsid w:val="00DC0674"/>
    <w:rsid w:val="00DC1A56"/>
    <w:rsid w:val="00DC2400"/>
    <w:rsid w:val="00DC373F"/>
    <w:rsid w:val="00DC6AA8"/>
    <w:rsid w:val="00DC7B77"/>
    <w:rsid w:val="00DC7F52"/>
    <w:rsid w:val="00DD0486"/>
    <w:rsid w:val="00DD2A7D"/>
    <w:rsid w:val="00DD519C"/>
    <w:rsid w:val="00DD5B36"/>
    <w:rsid w:val="00DD6422"/>
    <w:rsid w:val="00DD7117"/>
    <w:rsid w:val="00DE024A"/>
    <w:rsid w:val="00DE0509"/>
    <w:rsid w:val="00DE1B03"/>
    <w:rsid w:val="00DE34C6"/>
    <w:rsid w:val="00DE37FB"/>
    <w:rsid w:val="00DE3846"/>
    <w:rsid w:val="00DE56B0"/>
    <w:rsid w:val="00DE60C3"/>
    <w:rsid w:val="00DE6A47"/>
    <w:rsid w:val="00DE6ED9"/>
    <w:rsid w:val="00DE7E07"/>
    <w:rsid w:val="00DF116A"/>
    <w:rsid w:val="00DF13B4"/>
    <w:rsid w:val="00DF1948"/>
    <w:rsid w:val="00DF208E"/>
    <w:rsid w:val="00DF28C9"/>
    <w:rsid w:val="00DF4C12"/>
    <w:rsid w:val="00DF4F8B"/>
    <w:rsid w:val="00DF51DA"/>
    <w:rsid w:val="00DF549A"/>
    <w:rsid w:val="00DF60E4"/>
    <w:rsid w:val="00DF7A66"/>
    <w:rsid w:val="00DF7B4A"/>
    <w:rsid w:val="00E0041D"/>
    <w:rsid w:val="00E01835"/>
    <w:rsid w:val="00E01F04"/>
    <w:rsid w:val="00E02058"/>
    <w:rsid w:val="00E04A1C"/>
    <w:rsid w:val="00E052CD"/>
    <w:rsid w:val="00E05C5A"/>
    <w:rsid w:val="00E06830"/>
    <w:rsid w:val="00E0793F"/>
    <w:rsid w:val="00E07B80"/>
    <w:rsid w:val="00E07D60"/>
    <w:rsid w:val="00E10C50"/>
    <w:rsid w:val="00E120D2"/>
    <w:rsid w:val="00E1251B"/>
    <w:rsid w:val="00E13134"/>
    <w:rsid w:val="00E16B6A"/>
    <w:rsid w:val="00E175F2"/>
    <w:rsid w:val="00E20583"/>
    <w:rsid w:val="00E21CD5"/>
    <w:rsid w:val="00E2404E"/>
    <w:rsid w:val="00E30F9B"/>
    <w:rsid w:val="00E324F9"/>
    <w:rsid w:val="00E33DA8"/>
    <w:rsid w:val="00E34057"/>
    <w:rsid w:val="00E35E30"/>
    <w:rsid w:val="00E37CE0"/>
    <w:rsid w:val="00E4175F"/>
    <w:rsid w:val="00E42AC0"/>
    <w:rsid w:val="00E42F06"/>
    <w:rsid w:val="00E43298"/>
    <w:rsid w:val="00E436E5"/>
    <w:rsid w:val="00E441CF"/>
    <w:rsid w:val="00E44A94"/>
    <w:rsid w:val="00E45821"/>
    <w:rsid w:val="00E47010"/>
    <w:rsid w:val="00E47A6F"/>
    <w:rsid w:val="00E50648"/>
    <w:rsid w:val="00E50759"/>
    <w:rsid w:val="00E50BF5"/>
    <w:rsid w:val="00E517AB"/>
    <w:rsid w:val="00E5189B"/>
    <w:rsid w:val="00E53BAB"/>
    <w:rsid w:val="00E540DB"/>
    <w:rsid w:val="00E544F6"/>
    <w:rsid w:val="00E5482C"/>
    <w:rsid w:val="00E56C17"/>
    <w:rsid w:val="00E57FE1"/>
    <w:rsid w:val="00E60111"/>
    <w:rsid w:val="00E60811"/>
    <w:rsid w:val="00E62191"/>
    <w:rsid w:val="00E6251D"/>
    <w:rsid w:val="00E6311B"/>
    <w:rsid w:val="00E659F9"/>
    <w:rsid w:val="00E67481"/>
    <w:rsid w:val="00E70471"/>
    <w:rsid w:val="00E70E00"/>
    <w:rsid w:val="00E72487"/>
    <w:rsid w:val="00E72F8B"/>
    <w:rsid w:val="00E73CF5"/>
    <w:rsid w:val="00E74CD6"/>
    <w:rsid w:val="00E75AAE"/>
    <w:rsid w:val="00E769B2"/>
    <w:rsid w:val="00E77E59"/>
    <w:rsid w:val="00E80110"/>
    <w:rsid w:val="00E816A4"/>
    <w:rsid w:val="00E825A8"/>
    <w:rsid w:val="00E8271A"/>
    <w:rsid w:val="00E82B53"/>
    <w:rsid w:val="00E82F95"/>
    <w:rsid w:val="00E8347E"/>
    <w:rsid w:val="00E8443F"/>
    <w:rsid w:val="00E86AEC"/>
    <w:rsid w:val="00E9000A"/>
    <w:rsid w:val="00E922AC"/>
    <w:rsid w:val="00E94C25"/>
    <w:rsid w:val="00E95449"/>
    <w:rsid w:val="00EA0692"/>
    <w:rsid w:val="00EA1105"/>
    <w:rsid w:val="00EA1B1D"/>
    <w:rsid w:val="00EA2A1C"/>
    <w:rsid w:val="00EA3DA0"/>
    <w:rsid w:val="00EA510B"/>
    <w:rsid w:val="00EA5A7C"/>
    <w:rsid w:val="00EA67AE"/>
    <w:rsid w:val="00EA7287"/>
    <w:rsid w:val="00EA7795"/>
    <w:rsid w:val="00EA7945"/>
    <w:rsid w:val="00EB003D"/>
    <w:rsid w:val="00EB09E9"/>
    <w:rsid w:val="00EB0E86"/>
    <w:rsid w:val="00EB16CA"/>
    <w:rsid w:val="00EB1A5C"/>
    <w:rsid w:val="00EB2051"/>
    <w:rsid w:val="00EB24C3"/>
    <w:rsid w:val="00EB2C14"/>
    <w:rsid w:val="00EB2D28"/>
    <w:rsid w:val="00EB2EDC"/>
    <w:rsid w:val="00EB4534"/>
    <w:rsid w:val="00EB52CE"/>
    <w:rsid w:val="00EB5436"/>
    <w:rsid w:val="00EB60EF"/>
    <w:rsid w:val="00EB6366"/>
    <w:rsid w:val="00EB65C4"/>
    <w:rsid w:val="00EB698C"/>
    <w:rsid w:val="00EB784D"/>
    <w:rsid w:val="00EC1EBD"/>
    <w:rsid w:val="00EC20F5"/>
    <w:rsid w:val="00EC2595"/>
    <w:rsid w:val="00EC36EE"/>
    <w:rsid w:val="00EC4C31"/>
    <w:rsid w:val="00EC5CFD"/>
    <w:rsid w:val="00EC5DE8"/>
    <w:rsid w:val="00ED1874"/>
    <w:rsid w:val="00ED4BCF"/>
    <w:rsid w:val="00ED5C20"/>
    <w:rsid w:val="00ED6D35"/>
    <w:rsid w:val="00EE02D2"/>
    <w:rsid w:val="00EE2FA3"/>
    <w:rsid w:val="00EE30B9"/>
    <w:rsid w:val="00EE37CA"/>
    <w:rsid w:val="00EE49A1"/>
    <w:rsid w:val="00EE4C15"/>
    <w:rsid w:val="00EE59E3"/>
    <w:rsid w:val="00EE63AF"/>
    <w:rsid w:val="00EE6982"/>
    <w:rsid w:val="00EE7526"/>
    <w:rsid w:val="00EE7908"/>
    <w:rsid w:val="00EF5106"/>
    <w:rsid w:val="00EF724C"/>
    <w:rsid w:val="00F0229F"/>
    <w:rsid w:val="00F057DD"/>
    <w:rsid w:val="00F05FAB"/>
    <w:rsid w:val="00F0737E"/>
    <w:rsid w:val="00F079CD"/>
    <w:rsid w:val="00F133AF"/>
    <w:rsid w:val="00F135DF"/>
    <w:rsid w:val="00F1372E"/>
    <w:rsid w:val="00F13BD2"/>
    <w:rsid w:val="00F13D81"/>
    <w:rsid w:val="00F14485"/>
    <w:rsid w:val="00F14518"/>
    <w:rsid w:val="00F14D09"/>
    <w:rsid w:val="00F15477"/>
    <w:rsid w:val="00F157F2"/>
    <w:rsid w:val="00F1701E"/>
    <w:rsid w:val="00F1713A"/>
    <w:rsid w:val="00F17749"/>
    <w:rsid w:val="00F20755"/>
    <w:rsid w:val="00F23874"/>
    <w:rsid w:val="00F30D45"/>
    <w:rsid w:val="00F30F8C"/>
    <w:rsid w:val="00F32694"/>
    <w:rsid w:val="00F32C3A"/>
    <w:rsid w:val="00F32F66"/>
    <w:rsid w:val="00F33146"/>
    <w:rsid w:val="00F33277"/>
    <w:rsid w:val="00F3341A"/>
    <w:rsid w:val="00F342E6"/>
    <w:rsid w:val="00F353E9"/>
    <w:rsid w:val="00F355DD"/>
    <w:rsid w:val="00F3577C"/>
    <w:rsid w:val="00F359E6"/>
    <w:rsid w:val="00F35FD3"/>
    <w:rsid w:val="00F36FFD"/>
    <w:rsid w:val="00F373E3"/>
    <w:rsid w:val="00F37BFF"/>
    <w:rsid w:val="00F400D8"/>
    <w:rsid w:val="00F424A3"/>
    <w:rsid w:val="00F42F07"/>
    <w:rsid w:val="00F4353A"/>
    <w:rsid w:val="00F44662"/>
    <w:rsid w:val="00F451DB"/>
    <w:rsid w:val="00F50863"/>
    <w:rsid w:val="00F514CE"/>
    <w:rsid w:val="00F51792"/>
    <w:rsid w:val="00F51A2B"/>
    <w:rsid w:val="00F51B2D"/>
    <w:rsid w:val="00F5243A"/>
    <w:rsid w:val="00F52D86"/>
    <w:rsid w:val="00F54DFD"/>
    <w:rsid w:val="00F55503"/>
    <w:rsid w:val="00F564CF"/>
    <w:rsid w:val="00F60002"/>
    <w:rsid w:val="00F60E13"/>
    <w:rsid w:val="00F61E7B"/>
    <w:rsid w:val="00F62103"/>
    <w:rsid w:val="00F6327E"/>
    <w:rsid w:val="00F6425E"/>
    <w:rsid w:val="00F65680"/>
    <w:rsid w:val="00F6592C"/>
    <w:rsid w:val="00F67061"/>
    <w:rsid w:val="00F67A8B"/>
    <w:rsid w:val="00F67FC9"/>
    <w:rsid w:val="00F705E7"/>
    <w:rsid w:val="00F72CFD"/>
    <w:rsid w:val="00F7526F"/>
    <w:rsid w:val="00F765DB"/>
    <w:rsid w:val="00F77799"/>
    <w:rsid w:val="00F804F4"/>
    <w:rsid w:val="00F80892"/>
    <w:rsid w:val="00F80FFC"/>
    <w:rsid w:val="00F8243E"/>
    <w:rsid w:val="00F8266D"/>
    <w:rsid w:val="00F8289C"/>
    <w:rsid w:val="00F82B0A"/>
    <w:rsid w:val="00F871D3"/>
    <w:rsid w:val="00F910CF"/>
    <w:rsid w:val="00F91BB6"/>
    <w:rsid w:val="00F937CB"/>
    <w:rsid w:val="00F93AAC"/>
    <w:rsid w:val="00F93CDF"/>
    <w:rsid w:val="00F93E6A"/>
    <w:rsid w:val="00F970D2"/>
    <w:rsid w:val="00F9716A"/>
    <w:rsid w:val="00FA14E9"/>
    <w:rsid w:val="00FA19D1"/>
    <w:rsid w:val="00FA25C1"/>
    <w:rsid w:val="00FA49C3"/>
    <w:rsid w:val="00FA5011"/>
    <w:rsid w:val="00FA660A"/>
    <w:rsid w:val="00FA7232"/>
    <w:rsid w:val="00FB1A71"/>
    <w:rsid w:val="00FB32A5"/>
    <w:rsid w:val="00FB4A58"/>
    <w:rsid w:val="00FB5009"/>
    <w:rsid w:val="00FB514E"/>
    <w:rsid w:val="00FB5999"/>
    <w:rsid w:val="00FB6180"/>
    <w:rsid w:val="00FB619B"/>
    <w:rsid w:val="00FB67EB"/>
    <w:rsid w:val="00FB6EA7"/>
    <w:rsid w:val="00FB7FB4"/>
    <w:rsid w:val="00FC0F8C"/>
    <w:rsid w:val="00FC2840"/>
    <w:rsid w:val="00FC29D7"/>
    <w:rsid w:val="00FC3C86"/>
    <w:rsid w:val="00FC4FEC"/>
    <w:rsid w:val="00FC5641"/>
    <w:rsid w:val="00FC72D0"/>
    <w:rsid w:val="00FD0D7E"/>
    <w:rsid w:val="00FD203C"/>
    <w:rsid w:val="00FD284D"/>
    <w:rsid w:val="00FD2EFC"/>
    <w:rsid w:val="00FD3BAD"/>
    <w:rsid w:val="00FD3DA6"/>
    <w:rsid w:val="00FD7649"/>
    <w:rsid w:val="00FD7CAA"/>
    <w:rsid w:val="00FE1041"/>
    <w:rsid w:val="00FE1C16"/>
    <w:rsid w:val="00FE24A7"/>
    <w:rsid w:val="00FE2C30"/>
    <w:rsid w:val="00FE4B50"/>
    <w:rsid w:val="00FF282B"/>
    <w:rsid w:val="00FF2D74"/>
    <w:rsid w:val="00FF54A4"/>
    <w:rsid w:val="00FF5500"/>
    <w:rsid w:val="00FF594C"/>
    <w:rsid w:val="00FF7F3B"/>
    <w:rsid w:val="010210A8"/>
    <w:rsid w:val="010277FF"/>
    <w:rsid w:val="010D7537"/>
    <w:rsid w:val="011A7512"/>
    <w:rsid w:val="011D14B6"/>
    <w:rsid w:val="011D7005"/>
    <w:rsid w:val="012400AF"/>
    <w:rsid w:val="0128504A"/>
    <w:rsid w:val="012A4BA1"/>
    <w:rsid w:val="012B43C2"/>
    <w:rsid w:val="013863F3"/>
    <w:rsid w:val="013975D4"/>
    <w:rsid w:val="013B0075"/>
    <w:rsid w:val="013B5DB6"/>
    <w:rsid w:val="01431A11"/>
    <w:rsid w:val="014E3F99"/>
    <w:rsid w:val="0151570E"/>
    <w:rsid w:val="01566254"/>
    <w:rsid w:val="015A0B8E"/>
    <w:rsid w:val="015A7292"/>
    <w:rsid w:val="01654637"/>
    <w:rsid w:val="016C301F"/>
    <w:rsid w:val="01721A4B"/>
    <w:rsid w:val="01803D15"/>
    <w:rsid w:val="01811035"/>
    <w:rsid w:val="01915DD7"/>
    <w:rsid w:val="01926D26"/>
    <w:rsid w:val="019804D9"/>
    <w:rsid w:val="01A23DEE"/>
    <w:rsid w:val="01A44016"/>
    <w:rsid w:val="01A46C36"/>
    <w:rsid w:val="01AE43F9"/>
    <w:rsid w:val="01AF1CC9"/>
    <w:rsid w:val="01AF3F0E"/>
    <w:rsid w:val="01B01E63"/>
    <w:rsid w:val="01B5631B"/>
    <w:rsid w:val="01B77000"/>
    <w:rsid w:val="01B777AF"/>
    <w:rsid w:val="01C345DC"/>
    <w:rsid w:val="01D5276E"/>
    <w:rsid w:val="01DB3A75"/>
    <w:rsid w:val="01DF0480"/>
    <w:rsid w:val="01EB2445"/>
    <w:rsid w:val="01F15CAD"/>
    <w:rsid w:val="01FE13E6"/>
    <w:rsid w:val="020B37DC"/>
    <w:rsid w:val="0215021C"/>
    <w:rsid w:val="021A0B28"/>
    <w:rsid w:val="021C535C"/>
    <w:rsid w:val="021D0D39"/>
    <w:rsid w:val="021D2A50"/>
    <w:rsid w:val="021E1AA5"/>
    <w:rsid w:val="02212DF6"/>
    <w:rsid w:val="022D6E76"/>
    <w:rsid w:val="0248459F"/>
    <w:rsid w:val="02494C8D"/>
    <w:rsid w:val="024C7FDD"/>
    <w:rsid w:val="025335C5"/>
    <w:rsid w:val="02690824"/>
    <w:rsid w:val="026B3151"/>
    <w:rsid w:val="02705C42"/>
    <w:rsid w:val="0273237B"/>
    <w:rsid w:val="02751837"/>
    <w:rsid w:val="027E28C1"/>
    <w:rsid w:val="02855F97"/>
    <w:rsid w:val="02867F86"/>
    <w:rsid w:val="028D7109"/>
    <w:rsid w:val="0296740B"/>
    <w:rsid w:val="029D31C3"/>
    <w:rsid w:val="029E59C8"/>
    <w:rsid w:val="029E77A9"/>
    <w:rsid w:val="02A84ADD"/>
    <w:rsid w:val="02B0177E"/>
    <w:rsid w:val="02B152B4"/>
    <w:rsid w:val="02C03BE8"/>
    <w:rsid w:val="02C44F5D"/>
    <w:rsid w:val="02C56369"/>
    <w:rsid w:val="02D11F31"/>
    <w:rsid w:val="02D86757"/>
    <w:rsid w:val="02DB347E"/>
    <w:rsid w:val="02DF614A"/>
    <w:rsid w:val="02E207FA"/>
    <w:rsid w:val="02E70CE5"/>
    <w:rsid w:val="02F03954"/>
    <w:rsid w:val="02F525FB"/>
    <w:rsid w:val="02FE6CBB"/>
    <w:rsid w:val="03004F2C"/>
    <w:rsid w:val="03074593"/>
    <w:rsid w:val="030A43A2"/>
    <w:rsid w:val="030B2491"/>
    <w:rsid w:val="030C0E66"/>
    <w:rsid w:val="03122A25"/>
    <w:rsid w:val="031B6D9B"/>
    <w:rsid w:val="031E4A68"/>
    <w:rsid w:val="032A5EE6"/>
    <w:rsid w:val="032B3F0D"/>
    <w:rsid w:val="032D2795"/>
    <w:rsid w:val="03351736"/>
    <w:rsid w:val="033568E0"/>
    <w:rsid w:val="034A1A9B"/>
    <w:rsid w:val="034A6C9C"/>
    <w:rsid w:val="03505817"/>
    <w:rsid w:val="035475D6"/>
    <w:rsid w:val="03591DDB"/>
    <w:rsid w:val="035E7F74"/>
    <w:rsid w:val="035F2CCC"/>
    <w:rsid w:val="036D6108"/>
    <w:rsid w:val="037D7D8A"/>
    <w:rsid w:val="037E4878"/>
    <w:rsid w:val="037E7B81"/>
    <w:rsid w:val="037F44E8"/>
    <w:rsid w:val="03831E2B"/>
    <w:rsid w:val="038407ED"/>
    <w:rsid w:val="03886833"/>
    <w:rsid w:val="03940689"/>
    <w:rsid w:val="03977AF7"/>
    <w:rsid w:val="039E4197"/>
    <w:rsid w:val="03A17538"/>
    <w:rsid w:val="03AB1594"/>
    <w:rsid w:val="03BB43C8"/>
    <w:rsid w:val="03BF5307"/>
    <w:rsid w:val="03C10AD0"/>
    <w:rsid w:val="03C9324C"/>
    <w:rsid w:val="03CB3126"/>
    <w:rsid w:val="03CB6312"/>
    <w:rsid w:val="03CC626F"/>
    <w:rsid w:val="03CE1FB0"/>
    <w:rsid w:val="03DE570F"/>
    <w:rsid w:val="03E517BE"/>
    <w:rsid w:val="03E92241"/>
    <w:rsid w:val="03F027CA"/>
    <w:rsid w:val="03F862AD"/>
    <w:rsid w:val="03FD49C7"/>
    <w:rsid w:val="0404314F"/>
    <w:rsid w:val="04097320"/>
    <w:rsid w:val="040D6B19"/>
    <w:rsid w:val="0420126E"/>
    <w:rsid w:val="042348B7"/>
    <w:rsid w:val="042E0B01"/>
    <w:rsid w:val="04310D0A"/>
    <w:rsid w:val="04332E5D"/>
    <w:rsid w:val="04550490"/>
    <w:rsid w:val="045549B0"/>
    <w:rsid w:val="046056D6"/>
    <w:rsid w:val="04627881"/>
    <w:rsid w:val="046A3F62"/>
    <w:rsid w:val="046B66D0"/>
    <w:rsid w:val="046E4834"/>
    <w:rsid w:val="047211A2"/>
    <w:rsid w:val="04767C42"/>
    <w:rsid w:val="0478349A"/>
    <w:rsid w:val="047A6439"/>
    <w:rsid w:val="048972F7"/>
    <w:rsid w:val="048B5B99"/>
    <w:rsid w:val="04914AB3"/>
    <w:rsid w:val="049478D5"/>
    <w:rsid w:val="0495002C"/>
    <w:rsid w:val="04971490"/>
    <w:rsid w:val="049732C0"/>
    <w:rsid w:val="04977077"/>
    <w:rsid w:val="049C73CB"/>
    <w:rsid w:val="04A53771"/>
    <w:rsid w:val="04A87DC2"/>
    <w:rsid w:val="04AD1E6D"/>
    <w:rsid w:val="04AE654A"/>
    <w:rsid w:val="04B64542"/>
    <w:rsid w:val="04BA3CAF"/>
    <w:rsid w:val="04BC63F2"/>
    <w:rsid w:val="04C56EE8"/>
    <w:rsid w:val="04C67C90"/>
    <w:rsid w:val="04D91C82"/>
    <w:rsid w:val="04DE4AB8"/>
    <w:rsid w:val="04E2555A"/>
    <w:rsid w:val="04F329C1"/>
    <w:rsid w:val="04F427BA"/>
    <w:rsid w:val="04F444F2"/>
    <w:rsid w:val="04F86CF1"/>
    <w:rsid w:val="04FA68C6"/>
    <w:rsid w:val="05093CDF"/>
    <w:rsid w:val="051051F9"/>
    <w:rsid w:val="05114128"/>
    <w:rsid w:val="05242630"/>
    <w:rsid w:val="052568E4"/>
    <w:rsid w:val="0527276D"/>
    <w:rsid w:val="052A067F"/>
    <w:rsid w:val="05304CDD"/>
    <w:rsid w:val="0538265D"/>
    <w:rsid w:val="0541098F"/>
    <w:rsid w:val="054A19C3"/>
    <w:rsid w:val="054B76B3"/>
    <w:rsid w:val="055310F2"/>
    <w:rsid w:val="05584E1F"/>
    <w:rsid w:val="05602426"/>
    <w:rsid w:val="05667027"/>
    <w:rsid w:val="056B531B"/>
    <w:rsid w:val="056F25CE"/>
    <w:rsid w:val="05852B9E"/>
    <w:rsid w:val="05902C05"/>
    <w:rsid w:val="05965072"/>
    <w:rsid w:val="05A83BD5"/>
    <w:rsid w:val="05AD6B0C"/>
    <w:rsid w:val="05B75AC2"/>
    <w:rsid w:val="05C06519"/>
    <w:rsid w:val="05C73922"/>
    <w:rsid w:val="05D275C6"/>
    <w:rsid w:val="05D76E50"/>
    <w:rsid w:val="05D83B9B"/>
    <w:rsid w:val="05E24A61"/>
    <w:rsid w:val="05E62A1B"/>
    <w:rsid w:val="05E75059"/>
    <w:rsid w:val="05E750B6"/>
    <w:rsid w:val="05F04224"/>
    <w:rsid w:val="05F71169"/>
    <w:rsid w:val="05F7729D"/>
    <w:rsid w:val="05F90895"/>
    <w:rsid w:val="060170B2"/>
    <w:rsid w:val="06055D98"/>
    <w:rsid w:val="06115374"/>
    <w:rsid w:val="06162477"/>
    <w:rsid w:val="061B6172"/>
    <w:rsid w:val="061C09B2"/>
    <w:rsid w:val="061C219A"/>
    <w:rsid w:val="061D0B3A"/>
    <w:rsid w:val="062D4193"/>
    <w:rsid w:val="062F09DB"/>
    <w:rsid w:val="06324D6F"/>
    <w:rsid w:val="06341684"/>
    <w:rsid w:val="06353BFD"/>
    <w:rsid w:val="064D6C73"/>
    <w:rsid w:val="065045AB"/>
    <w:rsid w:val="065074F1"/>
    <w:rsid w:val="0657207B"/>
    <w:rsid w:val="065A5152"/>
    <w:rsid w:val="065A734C"/>
    <w:rsid w:val="066345EA"/>
    <w:rsid w:val="066A5B60"/>
    <w:rsid w:val="066D3F57"/>
    <w:rsid w:val="06766B8F"/>
    <w:rsid w:val="06807443"/>
    <w:rsid w:val="069134A1"/>
    <w:rsid w:val="06926991"/>
    <w:rsid w:val="06975D13"/>
    <w:rsid w:val="06A54736"/>
    <w:rsid w:val="06A70975"/>
    <w:rsid w:val="06AC1593"/>
    <w:rsid w:val="06BA131B"/>
    <w:rsid w:val="06C24342"/>
    <w:rsid w:val="06C31248"/>
    <w:rsid w:val="06C52768"/>
    <w:rsid w:val="06CF6547"/>
    <w:rsid w:val="06D23036"/>
    <w:rsid w:val="06DA408F"/>
    <w:rsid w:val="06DD0FA0"/>
    <w:rsid w:val="06E53CD2"/>
    <w:rsid w:val="06EB3A31"/>
    <w:rsid w:val="06EE138B"/>
    <w:rsid w:val="06EE2F48"/>
    <w:rsid w:val="06F66389"/>
    <w:rsid w:val="06FE0EFD"/>
    <w:rsid w:val="06FE1898"/>
    <w:rsid w:val="06FE731F"/>
    <w:rsid w:val="0704738C"/>
    <w:rsid w:val="07071C43"/>
    <w:rsid w:val="070A13BA"/>
    <w:rsid w:val="07102878"/>
    <w:rsid w:val="07146CED"/>
    <w:rsid w:val="07162E89"/>
    <w:rsid w:val="071D5B4B"/>
    <w:rsid w:val="07245DF5"/>
    <w:rsid w:val="07252B25"/>
    <w:rsid w:val="072541A6"/>
    <w:rsid w:val="07292B9D"/>
    <w:rsid w:val="072A2C60"/>
    <w:rsid w:val="072B68DE"/>
    <w:rsid w:val="072C1485"/>
    <w:rsid w:val="072D49D8"/>
    <w:rsid w:val="073D7F6F"/>
    <w:rsid w:val="074079F0"/>
    <w:rsid w:val="074600A5"/>
    <w:rsid w:val="074F3CC8"/>
    <w:rsid w:val="075007DB"/>
    <w:rsid w:val="075C1DB9"/>
    <w:rsid w:val="07616DC6"/>
    <w:rsid w:val="076E31E1"/>
    <w:rsid w:val="07747DBE"/>
    <w:rsid w:val="07896E18"/>
    <w:rsid w:val="078E4A23"/>
    <w:rsid w:val="07A40E7D"/>
    <w:rsid w:val="07A7325C"/>
    <w:rsid w:val="07AE6452"/>
    <w:rsid w:val="07AF29E5"/>
    <w:rsid w:val="07B46503"/>
    <w:rsid w:val="07B8076B"/>
    <w:rsid w:val="07C532B1"/>
    <w:rsid w:val="07D27435"/>
    <w:rsid w:val="07D713C5"/>
    <w:rsid w:val="07E85EBF"/>
    <w:rsid w:val="07E8746A"/>
    <w:rsid w:val="07EA4768"/>
    <w:rsid w:val="07EC0615"/>
    <w:rsid w:val="07F072E0"/>
    <w:rsid w:val="08017CCB"/>
    <w:rsid w:val="080323B4"/>
    <w:rsid w:val="080E128A"/>
    <w:rsid w:val="08186C03"/>
    <w:rsid w:val="082F3825"/>
    <w:rsid w:val="082F3C8D"/>
    <w:rsid w:val="083136F1"/>
    <w:rsid w:val="08317C24"/>
    <w:rsid w:val="08347A8C"/>
    <w:rsid w:val="08347B1A"/>
    <w:rsid w:val="08376F30"/>
    <w:rsid w:val="08405300"/>
    <w:rsid w:val="08511C0D"/>
    <w:rsid w:val="085622D3"/>
    <w:rsid w:val="085D0A7E"/>
    <w:rsid w:val="08666D81"/>
    <w:rsid w:val="086F19BE"/>
    <w:rsid w:val="08726929"/>
    <w:rsid w:val="08775EFC"/>
    <w:rsid w:val="08791F7B"/>
    <w:rsid w:val="087F311E"/>
    <w:rsid w:val="08810051"/>
    <w:rsid w:val="08830FC3"/>
    <w:rsid w:val="088670CF"/>
    <w:rsid w:val="088D5036"/>
    <w:rsid w:val="08916107"/>
    <w:rsid w:val="0893600E"/>
    <w:rsid w:val="08A92D9B"/>
    <w:rsid w:val="08B4346A"/>
    <w:rsid w:val="08B867DF"/>
    <w:rsid w:val="08BB2083"/>
    <w:rsid w:val="08C46F1A"/>
    <w:rsid w:val="08CA6CF5"/>
    <w:rsid w:val="08D12336"/>
    <w:rsid w:val="08D32673"/>
    <w:rsid w:val="08D4775D"/>
    <w:rsid w:val="08DA09D3"/>
    <w:rsid w:val="08DC1E95"/>
    <w:rsid w:val="08DF40AD"/>
    <w:rsid w:val="08E25FDE"/>
    <w:rsid w:val="08EA4555"/>
    <w:rsid w:val="08F32AAC"/>
    <w:rsid w:val="08F72590"/>
    <w:rsid w:val="0905542A"/>
    <w:rsid w:val="092C4731"/>
    <w:rsid w:val="093D1268"/>
    <w:rsid w:val="09465A16"/>
    <w:rsid w:val="09465D3B"/>
    <w:rsid w:val="09470D33"/>
    <w:rsid w:val="09496AFB"/>
    <w:rsid w:val="094B3CFB"/>
    <w:rsid w:val="09632D1C"/>
    <w:rsid w:val="09650507"/>
    <w:rsid w:val="09663518"/>
    <w:rsid w:val="09664AA2"/>
    <w:rsid w:val="096A3F08"/>
    <w:rsid w:val="09743CF2"/>
    <w:rsid w:val="09800884"/>
    <w:rsid w:val="09804132"/>
    <w:rsid w:val="098150F1"/>
    <w:rsid w:val="098344B1"/>
    <w:rsid w:val="09867EFC"/>
    <w:rsid w:val="0999399D"/>
    <w:rsid w:val="099E497B"/>
    <w:rsid w:val="09A1161B"/>
    <w:rsid w:val="09A4172B"/>
    <w:rsid w:val="09BC3504"/>
    <w:rsid w:val="09C07621"/>
    <w:rsid w:val="09C15D69"/>
    <w:rsid w:val="09C84BC1"/>
    <w:rsid w:val="09C9011C"/>
    <w:rsid w:val="09C92692"/>
    <w:rsid w:val="09D15591"/>
    <w:rsid w:val="09D80660"/>
    <w:rsid w:val="09DB39B4"/>
    <w:rsid w:val="09FE66F1"/>
    <w:rsid w:val="0A0C1E26"/>
    <w:rsid w:val="0A0D0390"/>
    <w:rsid w:val="0A1748E6"/>
    <w:rsid w:val="0A191910"/>
    <w:rsid w:val="0A1C1ADF"/>
    <w:rsid w:val="0A2059C1"/>
    <w:rsid w:val="0A223CCD"/>
    <w:rsid w:val="0A2576AA"/>
    <w:rsid w:val="0A2629A0"/>
    <w:rsid w:val="0A2C44A6"/>
    <w:rsid w:val="0A2C732A"/>
    <w:rsid w:val="0A307651"/>
    <w:rsid w:val="0A3740F6"/>
    <w:rsid w:val="0A393D75"/>
    <w:rsid w:val="0A3D426E"/>
    <w:rsid w:val="0A435556"/>
    <w:rsid w:val="0A505D20"/>
    <w:rsid w:val="0A5843E0"/>
    <w:rsid w:val="0A5B2D25"/>
    <w:rsid w:val="0A65501B"/>
    <w:rsid w:val="0A68141B"/>
    <w:rsid w:val="0A722E0D"/>
    <w:rsid w:val="0A7F57A2"/>
    <w:rsid w:val="0A830D44"/>
    <w:rsid w:val="0A8A2B81"/>
    <w:rsid w:val="0AA05178"/>
    <w:rsid w:val="0AB514B8"/>
    <w:rsid w:val="0ABF010F"/>
    <w:rsid w:val="0AE61E25"/>
    <w:rsid w:val="0AEB2A72"/>
    <w:rsid w:val="0AEE68A5"/>
    <w:rsid w:val="0AF1557A"/>
    <w:rsid w:val="0AF66B68"/>
    <w:rsid w:val="0AF84535"/>
    <w:rsid w:val="0B0500BE"/>
    <w:rsid w:val="0B070897"/>
    <w:rsid w:val="0B0D16A9"/>
    <w:rsid w:val="0B191B8B"/>
    <w:rsid w:val="0B31565A"/>
    <w:rsid w:val="0B3407A6"/>
    <w:rsid w:val="0B3C0168"/>
    <w:rsid w:val="0B3D58A5"/>
    <w:rsid w:val="0B431E82"/>
    <w:rsid w:val="0B486685"/>
    <w:rsid w:val="0B4B626C"/>
    <w:rsid w:val="0B58183E"/>
    <w:rsid w:val="0B6547F4"/>
    <w:rsid w:val="0B6D4869"/>
    <w:rsid w:val="0B70097F"/>
    <w:rsid w:val="0B701885"/>
    <w:rsid w:val="0B712982"/>
    <w:rsid w:val="0B7209E2"/>
    <w:rsid w:val="0B7E10E9"/>
    <w:rsid w:val="0B826785"/>
    <w:rsid w:val="0B896D21"/>
    <w:rsid w:val="0B8C003E"/>
    <w:rsid w:val="0B8C08EB"/>
    <w:rsid w:val="0B914955"/>
    <w:rsid w:val="0B985D79"/>
    <w:rsid w:val="0B9953B1"/>
    <w:rsid w:val="0BA52DCD"/>
    <w:rsid w:val="0BAB749A"/>
    <w:rsid w:val="0BB65D98"/>
    <w:rsid w:val="0BBC1B0B"/>
    <w:rsid w:val="0BBD26D7"/>
    <w:rsid w:val="0BC06081"/>
    <w:rsid w:val="0BC554D4"/>
    <w:rsid w:val="0BD942C1"/>
    <w:rsid w:val="0BDB3651"/>
    <w:rsid w:val="0BDE4CC2"/>
    <w:rsid w:val="0BEB4DB5"/>
    <w:rsid w:val="0BF84522"/>
    <w:rsid w:val="0C063CF1"/>
    <w:rsid w:val="0C130452"/>
    <w:rsid w:val="0C141A45"/>
    <w:rsid w:val="0C1D2725"/>
    <w:rsid w:val="0C1F7A81"/>
    <w:rsid w:val="0C210755"/>
    <w:rsid w:val="0C2F5BF3"/>
    <w:rsid w:val="0C314C2A"/>
    <w:rsid w:val="0C3A58E9"/>
    <w:rsid w:val="0C45097B"/>
    <w:rsid w:val="0C457308"/>
    <w:rsid w:val="0C4604CE"/>
    <w:rsid w:val="0C5415F4"/>
    <w:rsid w:val="0C6162A4"/>
    <w:rsid w:val="0C62644F"/>
    <w:rsid w:val="0C653B7D"/>
    <w:rsid w:val="0C764233"/>
    <w:rsid w:val="0C78377A"/>
    <w:rsid w:val="0C7E1AA7"/>
    <w:rsid w:val="0C802FE0"/>
    <w:rsid w:val="0C825B1C"/>
    <w:rsid w:val="0C851324"/>
    <w:rsid w:val="0C8B7D68"/>
    <w:rsid w:val="0C8C3788"/>
    <w:rsid w:val="0C9077C8"/>
    <w:rsid w:val="0C911B6C"/>
    <w:rsid w:val="0C98124D"/>
    <w:rsid w:val="0C9943A9"/>
    <w:rsid w:val="0C994772"/>
    <w:rsid w:val="0C9F0340"/>
    <w:rsid w:val="0CA07975"/>
    <w:rsid w:val="0CA661D3"/>
    <w:rsid w:val="0CAB33E7"/>
    <w:rsid w:val="0CAC426E"/>
    <w:rsid w:val="0CB10B26"/>
    <w:rsid w:val="0CB552AA"/>
    <w:rsid w:val="0CB70BD4"/>
    <w:rsid w:val="0CC545BF"/>
    <w:rsid w:val="0CCE7068"/>
    <w:rsid w:val="0CDB5611"/>
    <w:rsid w:val="0CDC152C"/>
    <w:rsid w:val="0CDF7775"/>
    <w:rsid w:val="0CE40F21"/>
    <w:rsid w:val="0CE47EFF"/>
    <w:rsid w:val="0CE531D0"/>
    <w:rsid w:val="0CE66A9A"/>
    <w:rsid w:val="0CEA1808"/>
    <w:rsid w:val="0CF00E9A"/>
    <w:rsid w:val="0CF0653A"/>
    <w:rsid w:val="0CF16618"/>
    <w:rsid w:val="0CF559E2"/>
    <w:rsid w:val="0D0B4818"/>
    <w:rsid w:val="0D0C6EE8"/>
    <w:rsid w:val="0D0E0A1B"/>
    <w:rsid w:val="0D10526E"/>
    <w:rsid w:val="0D132786"/>
    <w:rsid w:val="0D147391"/>
    <w:rsid w:val="0D194457"/>
    <w:rsid w:val="0D1A4D66"/>
    <w:rsid w:val="0D2237EB"/>
    <w:rsid w:val="0D2344C3"/>
    <w:rsid w:val="0D26167A"/>
    <w:rsid w:val="0D2A41DB"/>
    <w:rsid w:val="0D2F002B"/>
    <w:rsid w:val="0D2F488E"/>
    <w:rsid w:val="0D3A6DA9"/>
    <w:rsid w:val="0D4E22C7"/>
    <w:rsid w:val="0D4F33EB"/>
    <w:rsid w:val="0D5929D6"/>
    <w:rsid w:val="0D5D15AA"/>
    <w:rsid w:val="0D661C6A"/>
    <w:rsid w:val="0D73363A"/>
    <w:rsid w:val="0D735E6C"/>
    <w:rsid w:val="0D767EB1"/>
    <w:rsid w:val="0D8008B8"/>
    <w:rsid w:val="0D8203FC"/>
    <w:rsid w:val="0D8366A2"/>
    <w:rsid w:val="0D86070A"/>
    <w:rsid w:val="0D885F43"/>
    <w:rsid w:val="0D8A052B"/>
    <w:rsid w:val="0D934583"/>
    <w:rsid w:val="0D976DE8"/>
    <w:rsid w:val="0D981720"/>
    <w:rsid w:val="0D9A2A30"/>
    <w:rsid w:val="0DA1798D"/>
    <w:rsid w:val="0DA501F9"/>
    <w:rsid w:val="0DAE23C1"/>
    <w:rsid w:val="0DB52584"/>
    <w:rsid w:val="0DB749CD"/>
    <w:rsid w:val="0DB752B9"/>
    <w:rsid w:val="0DB81406"/>
    <w:rsid w:val="0DC85DA2"/>
    <w:rsid w:val="0DCD16B3"/>
    <w:rsid w:val="0DCD51DD"/>
    <w:rsid w:val="0DD07690"/>
    <w:rsid w:val="0DD4072F"/>
    <w:rsid w:val="0DD66954"/>
    <w:rsid w:val="0DDC767E"/>
    <w:rsid w:val="0DE6109E"/>
    <w:rsid w:val="0DF219D4"/>
    <w:rsid w:val="0DF32891"/>
    <w:rsid w:val="0DFF2387"/>
    <w:rsid w:val="0E05648C"/>
    <w:rsid w:val="0E0E1417"/>
    <w:rsid w:val="0E1676CF"/>
    <w:rsid w:val="0E181770"/>
    <w:rsid w:val="0E1C758E"/>
    <w:rsid w:val="0E2514C5"/>
    <w:rsid w:val="0E304D06"/>
    <w:rsid w:val="0E3A222A"/>
    <w:rsid w:val="0E4E45FF"/>
    <w:rsid w:val="0E561C05"/>
    <w:rsid w:val="0E691A12"/>
    <w:rsid w:val="0E6B7C55"/>
    <w:rsid w:val="0E6C3296"/>
    <w:rsid w:val="0E6E5B4E"/>
    <w:rsid w:val="0E7F1235"/>
    <w:rsid w:val="0E837FD0"/>
    <w:rsid w:val="0E8658D9"/>
    <w:rsid w:val="0E883074"/>
    <w:rsid w:val="0E8A112A"/>
    <w:rsid w:val="0E8F2C12"/>
    <w:rsid w:val="0E964144"/>
    <w:rsid w:val="0E972599"/>
    <w:rsid w:val="0E98491F"/>
    <w:rsid w:val="0EA04DF1"/>
    <w:rsid w:val="0EA41127"/>
    <w:rsid w:val="0EB24EEB"/>
    <w:rsid w:val="0EBE206C"/>
    <w:rsid w:val="0EC4305A"/>
    <w:rsid w:val="0ED17B36"/>
    <w:rsid w:val="0ED72B07"/>
    <w:rsid w:val="0EDC1C41"/>
    <w:rsid w:val="0EEB7DB3"/>
    <w:rsid w:val="0EFB2613"/>
    <w:rsid w:val="0F0C7299"/>
    <w:rsid w:val="0F0F3859"/>
    <w:rsid w:val="0F1B1EDA"/>
    <w:rsid w:val="0F1C3C39"/>
    <w:rsid w:val="0F29269C"/>
    <w:rsid w:val="0F2B2452"/>
    <w:rsid w:val="0F2F04F6"/>
    <w:rsid w:val="0F300755"/>
    <w:rsid w:val="0F4166A6"/>
    <w:rsid w:val="0F5D222B"/>
    <w:rsid w:val="0F636675"/>
    <w:rsid w:val="0F671A13"/>
    <w:rsid w:val="0F69080E"/>
    <w:rsid w:val="0F6A4BBB"/>
    <w:rsid w:val="0F740AC4"/>
    <w:rsid w:val="0F9153D5"/>
    <w:rsid w:val="0F9B4F9B"/>
    <w:rsid w:val="0FA24753"/>
    <w:rsid w:val="0FA35236"/>
    <w:rsid w:val="0FA4333F"/>
    <w:rsid w:val="0FBF292B"/>
    <w:rsid w:val="0FD62610"/>
    <w:rsid w:val="0FDD4FA9"/>
    <w:rsid w:val="0FEE24A2"/>
    <w:rsid w:val="0FF31EF2"/>
    <w:rsid w:val="0FF746AC"/>
    <w:rsid w:val="0FF93F1D"/>
    <w:rsid w:val="0FFA25C2"/>
    <w:rsid w:val="0FFC2539"/>
    <w:rsid w:val="10013849"/>
    <w:rsid w:val="10033A15"/>
    <w:rsid w:val="10091CC8"/>
    <w:rsid w:val="10153E4F"/>
    <w:rsid w:val="103551E4"/>
    <w:rsid w:val="1044386D"/>
    <w:rsid w:val="10446EB2"/>
    <w:rsid w:val="104B5F3A"/>
    <w:rsid w:val="105B39D8"/>
    <w:rsid w:val="105F33CE"/>
    <w:rsid w:val="1063384A"/>
    <w:rsid w:val="106B4DC4"/>
    <w:rsid w:val="107F7C4F"/>
    <w:rsid w:val="1080138C"/>
    <w:rsid w:val="10817E88"/>
    <w:rsid w:val="10A00262"/>
    <w:rsid w:val="10AA485F"/>
    <w:rsid w:val="10AD10C3"/>
    <w:rsid w:val="10B0274A"/>
    <w:rsid w:val="10B43A95"/>
    <w:rsid w:val="10B61277"/>
    <w:rsid w:val="10B63E1E"/>
    <w:rsid w:val="10BB6C58"/>
    <w:rsid w:val="10BC17D4"/>
    <w:rsid w:val="10C00650"/>
    <w:rsid w:val="10C86D53"/>
    <w:rsid w:val="10D20930"/>
    <w:rsid w:val="10D45DC7"/>
    <w:rsid w:val="10D9243A"/>
    <w:rsid w:val="10DF4DF7"/>
    <w:rsid w:val="10E22DA4"/>
    <w:rsid w:val="10E56984"/>
    <w:rsid w:val="10EA0A66"/>
    <w:rsid w:val="10F035C6"/>
    <w:rsid w:val="10F148DB"/>
    <w:rsid w:val="10F54F61"/>
    <w:rsid w:val="10F774B9"/>
    <w:rsid w:val="110925CC"/>
    <w:rsid w:val="110E71B9"/>
    <w:rsid w:val="11125BB9"/>
    <w:rsid w:val="11137AA0"/>
    <w:rsid w:val="111C4DEC"/>
    <w:rsid w:val="111E1846"/>
    <w:rsid w:val="11202F00"/>
    <w:rsid w:val="1123313D"/>
    <w:rsid w:val="1125004C"/>
    <w:rsid w:val="11293E1B"/>
    <w:rsid w:val="1130709B"/>
    <w:rsid w:val="11353465"/>
    <w:rsid w:val="1136000B"/>
    <w:rsid w:val="11370BBE"/>
    <w:rsid w:val="113812DC"/>
    <w:rsid w:val="11394DA9"/>
    <w:rsid w:val="113E34FE"/>
    <w:rsid w:val="11444B1B"/>
    <w:rsid w:val="11501D04"/>
    <w:rsid w:val="11585738"/>
    <w:rsid w:val="115A55EA"/>
    <w:rsid w:val="115C2FF9"/>
    <w:rsid w:val="116322DE"/>
    <w:rsid w:val="1168055B"/>
    <w:rsid w:val="116927A2"/>
    <w:rsid w:val="117268A6"/>
    <w:rsid w:val="11777EC1"/>
    <w:rsid w:val="117E08A1"/>
    <w:rsid w:val="117E50D4"/>
    <w:rsid w:val="11846E0F"/>
    <w:rsid w:val="11854A6F"/>
    <w:rsid w:val="11865BA1"/>
    <w:rsid w:val="11883CF8"/>
    <w:rsid w:val="1189274C"/>
    <w:rsid w:val="118C6E3E"/>
    <w:rsid w:val="11C359B9"/>
    <w:rsid w:val="11CD3A8C"/>
    <w:rsid w:val="11D705A0"/>
    <w:rsid w:val="11DA79CA"/>
    <w:rsid w:val="11E53C94"/>
    <w:rsid w:val="11EA52ED"/>
    <w:rsid w:val="11EC39A6"/>
    <w:rsid w:val="11ED6399"/>
    <w:rsid w:val="120411DF"/>
    <w:rsid w:val="1207022B"/>
    <w:rsid w:val="1207782C"/>
    <w:rsid w:val="12095867"/>
    <w:rsid w:val="121E46BA"/>
    <w:rsid w:val="123166E9"/>
    <w:rsid w:val="123A4C2A"/>
    <w:rsid w:val="123D5746"/>
    <w:rsid w:val="1245468C"/>
    <w:rsid w:val="124B171B"/>
    <w:rsid w:val="124B1B86"/>
    <w:rsid w:val="124C717B"/>
    <w:rsid w:val="125A38B4"/>
    <w:rsid w:val="12637403"/>
    <w:rsid w:val="127D0C8E"/>
    <w:rsid w:val="1290480F"/>
    <w:rsid w:val="12945A02"/>
    <w:rsid w:val="12946AE4"/>
    <w:rsid w:val="129704F1"/>
    <w:rsid w:val="12A55858"/>
    <w:rsid w:val="12A62D87"/>
    <w:rsid w:val="12AB0BD1"/>
    <w:rsid w:val="12AF6698"/>
    <w:rsid w:val="12B230D9"/>
    <w:rsid w:val="12B26E56"/>
    <w:rsid w:val="12B74796"/>
    <w:rsid w:val="12BC69D6"/>
    <w:rsid w:val="12CE0AAB"/>
    <w:rsid w:val="12CF2CBA"/>
    <w:rsid w:val="12D4245F"/>
    <w:rsid w:val="12D67D85"/>
    <w:rsid w:val="12DB0C82"/>
    <w:rsid w:val="12E71B51"/>
    <w:rsid w:val="12EB7297"/>
    <w:rsid w:val="12F310DF"/>
    <w:rsid w:val="12F50EBD"/>
    <w:rsid w:val="12F725B5"/>
    <w:rsid w:val="13011F27"/>
    <w:rsid w:val="13092ED4"/>
    <w:rsid w:val="13142E68"/>
    <w:rsid w:val="132468FE"/>
    <w:rsid w:val="132675D6"/>
    <w:rsid w:val="13275DC8"/>
    <w:rsid w:val="1334249D"/>
    <w:rsid w:val="133B427B"/>
    <w:rsid w:val="13401E31"/>
    <w:rsid w:val="134022CC"/>
    <w:rsid w:val="134B6A1A"/>
    <w:rsid w:val="134E43D7"/>
    <w:rsid w:val="13584720"/>
    <w:rsid w:val="1369203A"/>
    <w:rsid w:val="136D3890"/>
    <w:rsid w:val="137C7A23"/>
    <w:rsid w:val="1380559B"/>
    <w:rsid w:val="138868F8"/>
    <w:rsid w:val="139051A4"/>
    <w:rsid w:val="139143EA"/>
    <w:rsid w:val="139345CE"/>
    <w:rsid w:val="139837E0"/>
    <w:rsid w:val="13AA6E53"/>
    <w:rsid w:val="13BC75B8"/>
    <w:rsid w:val="13C57DFB"/>
    <w:rsid w:val="13CE6797"/>
    <w:rsid w:val="13D20A4B"/>
    <w:rsid w:val="13E240F8"/>
    <w:rsid w:val="13E30C42"/>
    <w:rsid w:val="13F744EB"/>
    <w:rsid w:val="13F7735B"/>
    <w:rsid w:val="140775A4"/>
    <w:rsid w:val="140B28DE"/>
    <w:rsid w:val="14126C50"/>
    <w:rsid w:val="14177053"/>
    <w:rsid w:val="141D0A09"/>
    <w:rsid w:val="142917A3"/>
    <w:rsid w:val="142B5179"/>
    <w:rsid w:val="14306B42"/>
    <w:rsid w:val="14327A18"/>
    <w:rsid w:val="1440645A"/>
    <w:rsid w:val="14437F00"/>
    <w:rsid w:val="144A60D9"/>
    <w:rsid w:val="146C1F96"/>
    <w:rsid w:val="14721A47"/>
    <w:rsid w:val="14753729"/>
    <w:rsid w:val="14756A17"/>
    <w:rsid w:val="14783730"/>
    <w:rsid w:val="147F747D"/>
    <w:rsid w:val="14810F2B"/>
    <w:rsid w:val="149036EF"/>
    <w:rsid w:val="149038CF"/>
    <w:rsid w:val="149249B2"/>
    <w:rsid w:val="149422DA"/>
    <w:rsid w:val="149B19A6"/>
    <w:rsid w:val="149E689C"/>
    <w:rsid w:val="14AF79C8"/>
    <w:rsid w:val="14BB7875"/>
    <w:rsid w:val="14C142FC"/>
    <w:rsid w:val="14C432F3"/>
    <w:rsid w:val="14C94C26"/>
    <w:rsid w:val="14CA7F71"/>
    <w:rsid w:val="14CC7E43"/>
    <w:rsid w:val="14CF440E"/>
    <w:rsid w:val="14D1243F"/>
    <w:rsid w:val="14DB53F4"/>
    <w:rsid w:val="14E14EF1"/>
    <w:rsid w:val="14F13806"/>
    <w:rsid w:val="14F36A1E"/>
    <w:rsid w:val="14F53A8C"/>
    <w:rsid w:val="14F73FDC"/>
    <w:rsid w:val="15006B31"/>
    <w:rsid w:val="1508581F"/>
    <w:rsid w:val="15093CFD"/>
    <w:rsid w:val="150E4FE1"/>
    <w:rsid w:val="1510419E"/>
    <w:rsid w:val="15144A1D"/>
    <w:rsid w:val="152330F0"/>
    <w:rsid w:val="15235503"/>
    <w:rsid w:val="1529286A"/>
    <w:rsid w:val="1537005E"/>
    <w:rsid w:val="15372E66"/>
    <w:rsid w:val="15411857"/>
    <w:rsid w:val="15436DDF"/>
    <w:rsid w:val="154823CA"/>
    <w:rsid w:val="15563EBD"/>
    <w:rsid w:val="15597E05"/>
    <w:rsid w:val="155C0BFE"/>
    <w:rsid w:val="155D2688"/>
    <w:rsid w:val="157305B4"/>
    <w:rsid w:val="157578DA"/>
    <w:rsid w:val="15760633"/>
    <w:rsid w:val="157B5E75"/>
    <w:rsid w:val="15850BE2"/>
    <w:rsid w:val="158C6815"/>
    <w:rsid w:val="158F203C"/>
    <w:rsid w:val="1590203D"/>
    <w:rsid w:val="159445DD"/>
    <w:rsid w:val="1597761D"/>
    <w:rsid w:val="15A654E8"/>
    <w:rsid w:val="15A835C0"/>
    <w:rsid w:val="15AC7F11"/>
    <w:rsid w:val="15AD331C"/>
    <w:rsid w:val="15B44211"/>
    <w:rsid w:val="15C44E3A"/>
    <w:rsid w:val="15DC32C7"/>
    <w:rsid w:val="15DF30A1"/>
    <w:rsid w:val="15E3626E"/>
    <w:rsid w:val="15E81AA5"/>
    <w:rsid w:val="15F026FF"/>
    <w:rsid w:val="15F53ABF"/>
    <w:rsid w:val="15F70DF4"/>
    <w:rsid w:val="15F93263"/>
    <w:rsid w:val="16002499"/>
    <w:rsid w:val="16013A61"/>
    <w:rsid w:val="160557A1"/>
    <w:rsid w:val="161158A6"/>
    <w:rsid w:val="16124D28"/>
    <w:rsid w:val="16163E43"/>
    <w:rsid w:val="16201E0D"/>
    <w:rsid w:val="162E25A9"/>
    <w:rsid w:val="16311877"/>
    <w:rsid w:val="163B1096"/>
    <w:rsid w:val="16493BFC"/>
    <w:rsid w:val="164949B6"/>
    <w:rsid w:val="165C401A"/>
    <w:rsid w:val="166808E2"/>
    <w:rsid w:val="1671675C"/>
    <w:rsid w:val="16757EFC"/>
    <w:rsid w:val="167C0762"/>
    <w:rsid w:val="16834624"/>
    <w:rsid w:val="168615A5"/>
    <w:rsid w:val="168D7999"/>
    <w:rsid w:val="16900E52"/>
    <w:rsid w:val="16903333"/>
    <w:rsid w:val="169216C0"/>
    <w:rsid w:val="16A544FC"/>
    <w:rsid w:val="16AC1C65"/>
    <w:rsid w:val="16AD2DC1"/>
    <w:rsid w:val="16B16BE4"/>
    <w:rsid w:val="16B20B2E"/>
    <w:rsid w:val="16B9469B"/>
    <w:rsid w:val="16BB4D7C"/>
    <w:rsid w:val="16BE142B"/>
    <w:rsid w:val="16CC089B"/>
    <w:rsid w:val="16D53DBF"/>
    <w:rsid w:val="16DF59E2"/>
    <w:rsid w:val="16E4260B"/>
    <w:rsid w:val="16E8561A"/>
    <w:rsid w:val="16ED30C8"/>
    <w:rsid w:val="16ED46C4"/>
    <w:rsid w:val="16F578EB"/>
    <w:rsid w:val="16F8595C"/>
    <w:rsid w:val="171737DC"/>
    <w:rsid w:val="17196ADE"/>
    <w:rsid w:val="171B147F"/>
    <w:rsid w:val="171D6F8B"/>
    <w:rsid w:val="172663F7"/>
    <w:rsid w:val="172728A5"/>
    <w:rsid w:val="17333014"/>
    <w:rsid w:val="17340E19"/>
    <w:rsid w:val="173A12DA"/>
    <w:rsid w:val="173B601F"/>
    <w:rsid w:val="173C1B48"/>
    <w:rsid w:val="174318D4"/>
    <w:rsid w:val="17473478"/>
    <w:rsid w:val="174C7EAE"/>
    <w:rsid w:val="174D4024"/>
    <w:rsid w:val="175C5775"/>
    <w:rsid w:val="17647427"/>
    <w:rsid w:val="176C2E6E"/>
    <w:rsid w:val="176C68B7"/>
    <w:rsid w:val="176D33BE"/>
    <w:rsid w:val="1772413F"/>
    <w:rsid w:val="177C41C1"/>
    <w:rsid w:val="178100F3"/>
    <w:rsid w:val="178778AA"/>
    <w:rsid w:val="178E17F6"/>
    <w:rsid w:val="179032C4"/>
    <w:rsid w:val="1791082C"/>
    <w:rsid w:val="179D143C"/>
    <w:rsid w:val="17A4102E"/>
    <w:rsid w:val="17AC73DB"/>
    <w:rsid w:val="17B62893"/>
    <w:rsid w:val="17B6405A"/>
    <w:rsid w:val="17C35F29"/>
    <w:rsid w:val="17C4534A"/>
    <w:rsid w:val="17D66F61"/>
    <w:rsid w:val="17D91CCD"/>
    <w:rsid w:val="17DC2143"/>
    <w:rsid w:val="17E225CA"/>
    <w:rsid w:val="17E76EAB"/>
    <w:rsid w:val="17F930D7"/>
    <w:rsid w:val="17FF243D"/>
    <w:rsid w:val="180B3DEA"/>
    <w:rsid w:val="180D3527"/>
    <w:rsid w:val="180E7106"/>
    <w:rsid w:val="18206C5B"/>
    <w:rsid w:val="18213E88"/>
    <w:rsid w:val="18242F5C"/>
    <w:rsid w:val="18245094"/>
    <w:rsid w:val="18295458"/>
    <w:rsid w:val="18303DF0"/>
    <w:rsid w:val="18363EA3"/>
    <w:rsid w:val="18392D6B"/>
    <w:rsid w:val="183C66B0"/>
    <w:rsid w:val="18433E30"/>
    <w:rsid w:val="184E6285"/>
    <w:rsid w:val="18542094"/>
    <w:rsid w:val="185B0866"/>
    <w:rsid w:val="185C1778"/>
    <w:rsid w:val="185E4F0C"/>
    <w:rsid w:val="18671CBF"/>
    <w:rsid w:val="186D1E46"/>
    <w:rsid w:val="18760120"/>
    <w:rsid w:val="18823DA7"/>
    <w:rsid w:val="1888059E"/>
    <w:rsid w:val="189B4FB4"/>
    <w:rsid w:val="189B630B"/>
    <w:rsid w:val="18A50706"/>
    <w:rsid w:val="18AE7C46"/>
    <w:rsid w:val="18B23C7A"/>
    <w:rsid w:val="18C60011"/>
    <w:rsid w:val="18D413BE"/>
    <w:rsid w:val="18DB4C56"/>
    <w:rsid w:val="18E144F4"/>
    <w:rsid w:val="19017894"/>
    <w:rsid w:val="19017F85"/>
    <w:rsid w:val="19022EEF"/>
    <w:rsid w:val="190624AD"/>
    <w:rsid w:val="19073BE9"/>
    <w:rsid w:val="190E765A"/>
    <w:rsid w:val="19132062"/>
    <w:rsid w:val="191403A3"/>
    <w:rsid w:val="19163F11"/>
    <w:rsid w:val="191E453F"/>
    <w:rsid w:val="19321EB3"/>
    <w:rsid w:val="19336B85"/>
    <w:rsid w:val="1934607F"/>
    <w:rsid w:val="19355C89"/>
    <w:rsid w:val="19356DFF"/>
    <w:rsid w:val="193C670E"/>
    <w:rsid w:val="193D693B"/>
    <w:rsid w:val="194151C9"/>
    <w:rsid w:val="19416B5C"/>
    <w:rsid w:val="1943506B"/>
    <w:rsid w:val="194C2910"/>
    <w:rsid w:val="195972D9"/>
    <w:rsid w:val="19624F1E"/>
    <w:rsid w:val="197152F3"/>
    <w:rsid w:val="19764C50"/>
    <w:rsid w:val="197B194C"/>
    <w:rsid w:val="198059E0"/>
    <w:rsid w:val="19835437"/>
    <w:rsid w:val="198A523F"/>
    <w:rsid w:val="198F51CA"/>
    <w:rsid w:val="19A139D8"/>
    <w:rsid w:val="19A22240"/>
    <w:rsid w:val="19A43DBC"/>
    <w:rsid w:val="19A5613A"/>
    <w:rsid w:val="19AD15F8"/>
    <w:rsid w:val="19AF0AFE"/>
    <w:rsid w:val="19B142B5"/>
    <w:rsid w:val="19B536C8"/>
    <w:rsid w:val="19BA656C"/>
    <w:rsid w:val="19BD1292"/>
    <w:rsid w:val="19C5458E"/>
    <w:rsid w:val="19CC5694"/>
    <w:rsid w:val="19CF7712"/>
    <w:rsid w:val="19D05602"/>
    <w:rsid w:val="19DD028C"/>
    <w:rsid w:val="19DD585F"/>
    <w:rsid w:val="19F06093"/>
    <w:rsid w:val="19F54E62"/>
    <w:rsid w:val="1A081698"/>
    <w:rsid w:val="1A0910CF"/>
    <w:rsid w:val="1A0C1732"/>
    <w:rsid w:val="1A1609B1"/>
    <w:rsid w:val="1A18413B"/>
    <w:rsid w:val="1A1B0E98"/>
    <w:rsid w:val="1A204E23"/>
    <w:rsid w:val="1A237244"/>
    <w:rsid w:val="1A2417C8"/>
    <w:rsid w:val="1A3B1A89"/>
    <w:rsid w:val="1A422446"/>
    <w:rsid w:val="1A5275CC"/>
    <w:rsid w:val="1A536C16"/>
    <w:rsid w:val="1A5771C0"/>
    <w:rsid w:val="1A596D57"/>
    <w:rsid w:val="1A6579E8"/>
    <w:rsid w:val="1A70145C"/>
    <w:rsid w:val="1A7E2EC7"/>
    <w:rsid w:val="1A8127EC"/>
    <w:rsid w:val="1A836D55"/>
    <w:rsid w:val="1A8F05DE"/>
    <w:rsid w:val="1A9E11A5"/>
    <w:rsid w:val="1AA3466A"/>
    <w:rsid w:val="1AA41A3D"/>
    <w:rsid w:val="1AA42A19"/>
    <w:rsid w:val="1AB95ABE"/>
    <w:rsid w:val="1ACA1661"/>
    <w:rsid w:val="1ACE2CDE"/>
    <w:rsid w:val="1AD012E9"/>
    <w:rsid w:val="1AD0535B"/>
    <w:rsid w:val="1AD36139"/>
    <w:rsid w:val="1AD41FB0"/>
    <w:rsid w:val="1AE71B3C"/>
    <w:rsid w:val="1AE96530"/>
    <w:rsid w:val="1AED5DCA"/>
    <w:rsid w:val="1AEF74A3"/>
    <w:rsid w:val="1AF24AF8"/>
    <w:rsid w:val="1AF25A02"/>
    <w:rsid w:val="1AFA6157"/>
    <w:rsid w:val="1AFE5F7F"/>
    <w:rsid w:val="1B041622"/>
    <w:rsid w:val="1B043E54"/>
    <w:rsid w:val="1B04553E"/>
    <w:rsid w:val="1B116ECC"/>
    <w:rsid w:val="1B142F16"/>
    <w:rsid w:val="1B171EF7"/>
    <w:rsid w:val="1B2640ED"/>
    <w:rsid w:val="1B273946"/>
    <w:rsid w:val="1B2B4C7F"/>
    <w:rsid w:val="1B2E3EA7"/>
    <w:rsid w:val="1B3D1B95"/>
    <w:rsid w:val="1B42675A"/>
    <w:rsid w:val="1B430F2E"/>
    <w:rsid w:val="1B4344BF"/>
    <w:rsid w:val="1B5711C6"/>
    <w:rsid w:val="1B62181F"/>
    <w:rsid w:val="1B6D43E4"/>
    <w:rsid w:val="1B9704D9"/>
    <w:rsid w:val="1B9D379A"/>
    <w:rsid w:val="1BA31547"/>
    <w:rsid w:val="1BB92AEB"/>
    <w:rsid w:val="1BBB409F"/>
    <w:rsid w:val="1BCC22E1"/>
    <w:rsid w:val="1BD258F7"/>
    <w:rsid w:val="1BD57950"/>
    <w:rsid w:val="1BDB5EAB"/>
    <w:rsid w:val="1BDE34A6"/>
    <w:rsid w:val="1BE91D97"/>
    <w:rsid w:val="1BEB0B58"/>
    <w:rsid w:val="1BFB208B"/>
    <w:rsid w:val="1C01257D"/>
    <w:rsid w:val="1C04700E"/>
    <w:rsid w:val="1C1305F5"/>
    <w:rsid w:val="1C1529CC"/>
    <w:rsid w:val="1C234FF2"/>
    <w:rsid w:val="1C262D8A"/>
    <w:rsid w:val="1C2E5E2E"/>
    <w:rsid w:val="1C2F1A3E"/>
    <w:rsid w:val="1C332215"/>
    <w:rsid w:val="1C337AB7"/>
    <w:rsid w:val="1C380764"/>
    <w:rsid w:val="1C3F3FA6"/>
    <w:rsid w:val="1C4C5435"/>
    <w:rsid w:val="1C4E532A"/>
    <w:rsid w:val="1C5518DF"/>
    <w:rsid w:val="1C555986"/>
    <w:rsid w:val="1C691E36"/>
    <w:rsid w:val="1C712CF7"/>
    <w:rsid w:val="1C716306"/>
    <w:rsid w:val="1C7375FC"/>
    <w:rsid w:val="1C7C62DA"/>
    <w:rsid w:val="1C81550F"/>
    <w:rsid w:val="1C8968CE"/>
    <w:rsid w:val="1C904FC4"/>
    <w:rsid w:val="1C91617E"/>
    <w:rsid w:val="1C9836F8"/>
    <w:rsid w:val="1CA83E13"/>
    <w:rsid w:val="1CB8778A"/>
    <w:rsid w:val="1CBD7E67"/>
    <w:rsid w:val="1CBE3834"/>
    <w:rsid w:val="1CC115EB"/>
    <w:rsid w:val="1CC507A6"/>
    <w:rsid w:val="1CC851F0"/>
    <w:rsid w:val="1CD63A4F"/>
    <w:rsid w:val="1CD86A12"/>
    <w:rsid w:val="1CDD302B"/>
    <w:rsid w:val="1CE82656"/>
    <w:rsid w:val="1CF14222"/>
    <w:rsid w:val="1CF22A7C"/>
    <w:rsid w:val="1CF70626"/>
    <w:rsid w:val="1CF758EE"/>
    <w:rsid w:val="1D007256"/>
    <w:rsid w:val="1D092264"/>
    <w:rsid w:val="1D0E0676"/>
    <w:rsid w:val="1D1241F2"/>
    <w:rsid w:val="1D13763F"/>
    <w:rsid w:val="1D1735C2"/>
    <w:rsid w:val="1D212B7E"/>
    <w:rsid w:val="1D252133"/>
    <w:rsid w:val="1D277EB8"/>
    <w:rsid w:val="1D372EA4"/>
    <w:rsid w:val="1D4A1041"/>
    <w:rsid w:val="1D4E7CCC"/>
    <w:rsid w:val="1D5051EB"/>
    <w:rsid w:val="1D530E10"/>
    <w:rsid w:val="1D6E6E26"/>
    <w:rsid w:val="1D710D0F"/>
    <w:rsid w:val="1D783539"/>
    <w:rsid w:val="1D902C2F"/>
    <w:rsid w:val="1D95196D"/>
    <w:rsid w:val="1D964C7B"/>
    <w:rsid w:val="1D9677A5"/>
    <w:rsid w:val="1D9917DA"/>
    <w:rsid w:val="1DA137BE"/>
    <w:rsid w:val="1DA74982"/>
    <w:rsid w:val="1DC951CA"/>
    <w:rsid w:val="1DCA4946"/>
    <w:rsid w:val="1DD15F3D"/>
    <w:rsid w:val="1DD8767A"/>
    <w:rsid w:val="1DDA567E"/>
    <w:rsid w:val="1DDD0D52"/>
    <w:rsid w:val="1DE11C62"/>
    <w:rsid w:val="1DEE2E85"/>
    <w:rsid w:val="1DF13C16"/>
    <w:rsid w:val="1DF55185"/>
    <w:rsid w:val="1DF7040C"/>
    <w:rsid w:val="1DF83B3E"/>
    <w:rsid w:val="1E0908E0"/>
    <w:rsid w:val="1E0E79C4"/>
    <w:rsid w:val="1E2F2621"/>
    <w:rsid w:val="1E2F60D3"/>
    <w:rsid w:val="1E2F7251"/>
    <w:rsid w:val="1E2F75E4"/>
    <w:rsid w:val="1E3F7DB1"/>
    <w:rsid w:val="1E4221DB"/>
    <w:rsid w:val="1E4A61EB"/>
    <w:rsid w:val="1E5069C5"/>
    <w:rsid w:val="1E6668F7"/>
    <w:rsid w:val="1E6B2390"/>
    <w:rsid w:val="1E821C36"/>
    <w:rsid w:val="1E850920"/>
    <w:rsid w:val="1E8C0D8F"/>
    <w:rsid w:val="1E9068C9"/>
    <w:rsid w:val="1E93119B"/>
    <w:rsid w:val="1E94332E"/>
    <w:rsid w:val="1E987047"/>
    <w:rsid w:val="1E9A650F"/>
    <w:rsid w:val="1E9C1F8A"/>
    <w:rsid w:val="1E9F62F1"/>
    <w:rsid w:val="1EA53301"/>
    <w:rsid w:val="1EB01CA5"/>
    <w:rsid w:val="1EB56651"/>
    <w:rsid w:val="1EBB341B"/>
    <w:rsid w:val="1EC94FB3"/>
    <w:rsid w:val="1ECD2540"/>
    <w:rsid w:val="1ECF2E2F"/>
    <w:rsid w:val="1ED52508"/>
    <w:rsid w:val="1ED56761"/>
    <w:rsid w:val="1EDC3CC1"/>
    <w:rsid w:val="1EE60AD1"/>
    <w:rsid w:val="1EE961C6"/>
    <w:rsid w:val="1EEA3BA7"/>
    <w:rsid w:val="1EF61476"/>
    <w:rsid w:val="1EF969E7"/>
    <w:rsid w:val="1EFA5376"/>
    <w:rsid w:val="1F060B9E"/>
    <w:rsid w:val="1F0831A7"/>
    <w:rsid w:val="1F094F03"/>
    <w:rsid w:val="1F0A5688"/>
    <w:rsid w:val="1F0C02B5"/>
    <w:rsid w:val="1F105849"/>
    <w:rsid w:val="1F13580D"/>
    <w:rsid w:val="1F1C12E9"/>
    <w:rsid w:val="1F2B7484"/>
    <w:rsid w:val="1F316C27"/>
    <w:rsid w:val="1F345BFC"/>
    <w:rsid w:val="1F362790"/>
    <w:rsid w:val="1F38517C"/>
    <w:rsid w:val="1F3C0E1A"/>
    <w:rsid w:val="1F3C780D"/>
    <w:rsid w:val="1F4339C1"/>
    <w:rsid w:val="1F4B50BA"/>
    <w:rsid w:val="1F537D4F"/>
    <w:rsid w:val="1F5C2404"/>
    <w:rsid w:val="1F5C3BCD"/>
    <w:rsid w:val="1F6348E5"/>
    <w:rsid w:val="1F653D55"/>
    <w:rsid w:val="1F695D7F"/>
    <w:rsid w:val="1F6E13EF"/>
    <w:rsid w:val="1F710492"/>
    <w:rsid w:val="1F7E3E4C"/>
    <w:rsid w:val="1F8032FC"/>
    <w:rsid w:val="1F827C05"/>
    <w:rsid w:val="1F8950D5"/>
    <w:rsid w:val="1F8D3B93"/>
    <w:rsid w:val="1F966AAC"/>
    <w:rsid w:val="1F97175E"/>
    <w:rsid w:val="1F9B7929"/>
    <w:rsid w:val="1F9E00E0"/>
    <w:rsid w:val="1F9F7EEB"/>
    <w:rsid w:val="1FA55E9E"/>
    <w:rsid w:val="1FAF43B4"/>
    <w:rsid w:val="1FB06A30"/>
    <w:rsid w:val="1FB430AA"/>
    <w:rsid w:val="1FBD290F"/>
    <w:rsid w:val="1FBF30D6"/>
    <w:rsid w:val="1FC054B6"/>
    <w:rsid w:val="1FC23654"/>
    <w:rsid w:val="1FC51634"/>
    <w:rsid w:val="1FC71986"/>
    <w:rsid w:val="1FC75CFC"/>
    <w:rsid w:val="1FCD24FC"/>
    <w:rsid w:val="1FCF29F9"/>
    <w:rsid w:val="1FDF443D"/>
    <w:rsid w:val="1FE336DB"/>
    <w:rsid w:val="1FE63175"/>
    <w:rsid w:val="200C3C25"/>
    <w:rsid w:val="200E78A8"/>
    <w:rsid w:val="201822EC"/>
    <w:rsid w:val="201C09B5"/>
    <w:rsid w:val="201E4C94"/>
    <w:rsid w:val="20201427"/>
    <w:rsid w:val="20297382"/>
    <w:rsid w:val="203126EA"/>
    <w:rsid w:val="20366271"/>
    <w:rsid w:val="203A5478"/>
    <w:rsid w:val="203F6681"/>
    <w:rsid w:val="20406B0A"/>
    <w:rsid w:val="20464C83"/>
    <w:rsid w:val="204A47AD"/>
    <w:rsid w:val="204E2778"/>
    <w:rsid w:val="204F3A8F"/>
    <w:rsid w:val="205534B2"/>
    <w:rsid w:val="205838FE"/>
    <w:rsid w:val="20616E87"/>
    <w:rsid w:val="20691D41"/>
    <w:rsid w:val="2072685D"/>
    <w:rsid w:val="2077427F"/>
    <w:rsid w:val="20787FEB"/>
    <w:rsid w:val="207B30D1"/>
    <w:rsid w:val="20800194"/>
    <w:rsid w:val="20825033"/>
    <w:rsid w:val="20847814"/>
    <w:rsid w:val="208D02F8"/>
    <w:rsid w:val="20904085"/>
    <w:rsid w:val="20980850"/>
    <w:rsid w:val="20986D4E"/>
    <w:rsid w:val="209F177D"/>
    <w:rsid w:val="20A64B24"/>
    <w:rsid w:val="20AE6C17"/>
    <w:rsid w:val="20B233D4"/>
    <w:rsid w:val="20B82113"/>
    <w:rsid w:val="20BA0F73"/>
    <w:rsid w:val="20BD37F3"/>
    <w:rsid w:val="20C2088C"/>
    <w:rsid w:val="20C43BAF"/>
    <w:rsid w:val="20C53B33"/>
    <w:rsid w:val="20D7250D"/>
    <w:rsid w:val="20DB725A"/>
    <w:rsid w:val="20F31485"/>
    <w:rsid w:val="20F93441"/>
    <w:rsid w:val="20FC4A52"/>
    <w:rsid w:val="21012812"/>
    <w:rsid w:val="21012EE8"/>
    <w:rsid w:val="21037983"/>
    <w:rsid w:val="21136F26"/>
    <w:rsid w:val="21180E4C"/>
    <w:rsid w:val="212006CC"/>
    <w:rsid w:val="2126012C"/>
    <w:rsid w:val="212743F0"/>
    <w:rsid w:val="212A359B"/>
    <w:rsid w:val="212F5D8B"/>
    <w:rsid w:val="213415D7"/>
    <w:rsid w:val="213579BB"/>
    <w:rsid w:val="21372919"/>
    <w:rsid w:val="21375B33"/>
    <w:rsid w:val="214335DB"/>
    <w:rsid w:val="214614BA"/>
    <w:rsid w:val="215249CE"/>
    <w:rsid w:val="21580E21"/>
    <w:rsid w:val="215B3D0B"/>
    <w:rsid w:val="215F68E7"/>
    <w:rsid w:val="216C77B5"/>
    <w:rsid w:val="21753122"/>
    <w:rsid w:val="2175558B"/>
    <w:rsid w:val="21823B75"/>
    <w:rsid w:val="218A4923"/>
    <w:rsid w:val="218E64F7"/>
    <w:rsid w:val="219F0C24"/>
    <w:rsid w:val="21A41442"/>
    <w:rsid w:val="21BA7EF3"/>
    <w:rsid w:val="21BB4E9C"/>
    <w:rsid w:val="21C27CD8"/>
    <w:rsid w:val="21C51740"/>
    <w:rsid w:val="21D1195D"/>
    <w:rsid w:val="21D97EF5"/>
    <w:rsid w:val="21F17F25"/>
    <w:rsid w:val="21FA31C4"/>
    <w:rsid w:val="21FB5B35"/>
    <w:rsid w:val="220458BB"/>
    <w:rsid w:val="220E374A"/>
    <w:rsid w:val="221025A9"/>
    <w:rsid w:val="22120B19"/>
    <w:rsid w:val="22267DD1"/>
    <w:rsid w:val="222B5F67"/>
    <w:rsid w:val="222C327E"/>
    <w:rsid w:val="22315B7D"/>
    <w:rsid w:val="22372C06"/>
    <w:rsid w:val="223A7666"/>
    <w:rsid w:val="22461D6B"/>
    <w:rsid w:val="224D6976"/>
    <w:rsid w:val="2250390A"/>
    <w:rsid w:val="225811B0"/>
    <w:rsid w:val="22684633"/>
    <w:rsid w:val="226B0362"/>
    <w:rsid w:val="226E5C69"/>
    <w:rsid w:val="227829F6"/>
    <w:rsid w:val="228B4F01"/>
    <w:rsid w:val="228E733B"/>
    <w:rsid w:val="22A26377"/>
    <w:rsid w:val="22AE714E"/>
    <w:rsid w:val="22B339A3"/>
    <w:rsid w:val="22C0032F"/>
    <w:rsid w:val="22C671DA"/>
    <w:rsid w:val="22CA2F4C"/>
    <w:rsid w:val="22CB6B6C"/>
    <w:rsid w:val="22CC42B4"/>
    <w:rsid w:val="22CD2707"/>
    <w:rsid w:val="22CE3AEC"/>
    <w:rsid w:val="22D07886"/>
    <w:rsid w:val="22D56464"/>
    <w:rsid w:val="22D61C8B"/>
    <w:rsid w:val="22D8119B"/>
    <w:rsid w:val="22DC50F5"/>
    <w:rsid w:val="22E95038"/>
    <w:rsid w:val="22ED4423"/>
    <w:rsid w:val="22F34F73"/>
    <w:rsid w:val="230062E2"/>
    <w:rsid w:val="2303387B"/>
    <w:rsid w:val="230A1802"/>
    <w:rsid w:val="230A735D"/>
    <w:rsid w:val="231A7817"/>
    <w:rsid w:val="232607CB"/>
    <w:rsid w:val="2335528A"/>
    <w:rsid w:val="23485813"/>
    <w:rsid w:val="234D416B"/>
    <w:rsid w:val="23540D02"/>
    <w:rsid w:val="23564D1F"/>
    <w:rsid w:val="23642FEA"/>
    <w:rsid w:val="237A0AE2"/>
    <w:rsid w:val="237D134C"/>
    <w:rsid w:val="23805C5A"/>
    <w:rsid w:val="23864803"/>
    <w:rsid w:val="2396172C"/>
    <w:rsid w:val="23962E55"/>
    <w:rsid w:val="239A3140"/>
    <w:rsid w:val="239E2B29"/>
    <w:rsid w:val="23A97A30"/>
    <w:rsid w:val="23B4017A"/>
    <w:rsid w:val="23B479A8"/>
    <w:rsid w:val="23B65888"/>
    <w:rsid w:val="23BF3AC2"/>
    <w:rsid w:val="23C10676"/>
    <w:rsid w:val="23C23D9B"/>
    <w:rsid w:val="23C95DE6"/>
    <w:rsid w:val="23D75C6D"/>
    <w:rsid w:val="23D824C7"/>
    <w:rsid w:val="23DB5744"/>
    <w:rsid w:val="23F05D27"/>
    <w:rsid w:val="23F0720B"/>
    <w:rsid w:val="23F52067"/>
    <w:rsid w:val="23FB0E03"/>
    <w:rsid w:val="23FC26B2"/>
    <w:rsid w:val="24007708"/>
    <w:rsid w:val="24026008"/>
    <w:rsid w:val="24085476"/>
    <w:rsid w:val="241D0A7B"/>
    <w:rsid w:val="24216AF7"/>
    <w:rsid w:val="24311D06"/>
    <w:rsid w:val="2433296E"/>
    <w:rsid w:val="24382677"/>
    <w:rsid w:val="243B40B5"/>
    <w:rsid w:val="24407D5B"/>
    <w:rsid w:val="24473951"/>
    <w:rsid w:val="245322F9"/>
    <w:rsid w:val="246D7539"/>
    <w:rsid w:val="246E3AB3"/>
    <w:rsid w:val="24773311"/>
    <w:rsid w:val="248174CE"/>
    <w:rsid w:val="24883A87"/>
    <w:rsid w:val="24991E31"/>
    <w:rsid w:val="249A3F96"/>
    <w:rsid w:val="249E0DC7"/>
    <w:rsid w:val="249F1AE3"/>
    <w:rsid w:val="24AE4038"/>
    <w:rsid w:val="24B66F96"/>
    <w:rsid w:val="24B954B7"/>
    <w:rsid w:val="24B97B5D"/>
    <w:rsid w:val="24BB7AA6"/>
    <w:rsid w:val="24C53974"/>
    <w:rsid w:val="24C75B0E"/>
    <w:rsid w:val="24D40850"/>
    <w:rsid w:val="24D45050"/>
    <w:rsid w:val="24D935B9"/>
    <w:rsid w:val="24DC780A"/>
    <w:rsid w:val="24E60F0A"/>
    <w:rsid w:val="24E632D5"/>
    <w:rsid w:val="24EF36BF"/>
    <w:rsid w:val="24F66750"/>
    <w:rsid w:val="24FB2BC9"/>
    <w:rsid w:val="25066EF4"/>
    <w:rsid w:val="250A1077"/>
    <w:rsid w:val="250E14A5"/>
    <w:rsid w:val="25113D41"/>
    <w:rsid w:val="25130D11"/>
    <w:rsid w:val="2526531C"/>
    <w:rsid w:val="252A0F84"/>
    <w:rsid w:val="252B7244"/>
    <w:rsid w:val="253751E7"/>
    <w:rsid w:val="2540467E"/>
    <w:rsid w:val="25580C17"/>
    <w:rsid w:val="25610D4E"/>
    <w:rsid w:val="25631541"/>
    <w:rsid w:val="257F5FAE"/>
    <w:rsid w:val="25806CC6"/>
    <w:rsid w:val="258A785E"/>
    <w:rsid w:val="25AF2DD9"/>
    <w:rsid w:val="25B062F7"/>
    <w:rsid w:val="25CD162D"/>
    <w:rsid w:val="25D4113F"/>
    <w:rsid w:val="25DA31FE"/>
    <w:rsid w:val="25E60A21"/>
    <w:rsid w:val="25EC1517"/>
    <w:rsid w:val="26022B1B"/>
    <w:rsid w:val="260421DA"/>
    <w:rsid w:val="26065614"/>
    <w:rsid w:val="260B58A5"/>
    <w:rsid w:val="260C4B2B"/>
    <w:rsid w:val="2610554F"/>
    <w:rsid w:val="26157970"/>
    <w:rsid w:val="261B76A5"/>
    <w:rsid w:val="26220C88"/>
    <w:rsid w:val="262345FB"/>
    <w:rsid w:val="26281D12"/>
    <w:rsid w:val="262F69A3"/>
    <w:rsid w:val="263328E2"/>
    <w:rsid w:val="263F2963"/>
    <w:rsid w:val="26455520"/>
    <w:rsid w:val="26463197"/>
    <w:rsid w:val="265400BE"/>
    <w:rsid w:val="265F0689"/>
    <w:rsid w:val="265F1B67"/>
    <w:rsid w:val="267D36AF"/>
    <w:rsid w:val="267F32AE"/>
    <w:rsid w:val="2689587D"/>
    <w:rsid w:val="268D00E9"/>
    <w:rsid w:val="2690500A"/>
    <w:rsid w:val="26926AA2"/>
    <w:rsid w:val="26AB3D50"/>
    <w:rsid w:val="26B4118F"/>
    <w:rsid w:val="26B418EE"/>
    <w:rsid w:val="26C52025"/>
    <w:rsid w:val="26CC70CA"/>
    <w:rsid w:val="26DB7615"/>
    <w:rsid w:val="26ED5BD2"/>
    <w:rsid w:val="26F90E09"/>
    <w:rsid w:val="27001733"/>
    <w:rsid w:val="270A358A"/>
    <w:rsid w:val="270D2CA4"/>
    <w:rsid w:val="270E5DC7"/>
    <w:rsid w:val="271E0A57"/>
    <w:rsid w:val="272140CA"/>
    <w:rsid w:val="272F4BB3"/>
    <w:rsid w:val="27341962"/>
    <w:rsid w:val="273710B3"/>
    <w:rsid w:val="274E6701"/>
    <w:rsid w:val="275362A9"/>
    <w:rsid w:val="27661951"/>
    <w:rsid w:val="277239CD"/>
    <w:rsid w:val="27744A1A"/>
    <w:rsid w:val="27757557"/>
    <w:rsid w:val="27915DC2"/>
    <w:rsid w:val="279215C9"/>
    <w:rsid w:val="27940EE8"/>
    <w:rsid w:val="2798472E"/>
    <w:rsid w:val="27990859"/>
    <w:rsid w:val="27AE418F"/>
    <w:rsid w:val="27B506E3"/>
    <w:rsid w:val="27BC7D96"/>
    <w:rsid w:val="27C02298"/>
    <w:rsid w:val="27D1176C"/>
    <w:rsid w:val="27E17FBF"/>
    <w:rsid w:val="27EB1FE2"/>
    <w:rsid w:val="27F03FDB"/>
    <w:rsid w:val="27F46839"/>
    <w:rsid w:val="27F86EF3"/>
    <w:rsid w:val="27FA0A65"/>
    <w:rsid w:val="27FC0092"/>
    <w:rsid w:val="27FF03C4"/>
    <w:rsid w:val="27FF158E"/>
    <w:rsid w:val="27FF3555"/>
    <w:rsid w:val="28010CB1"/>
    <w:rsid w:val="280721D6"/>
    <w:rsid w:val="28101691"/>
    <w:rsid w:val="28143339"/>
    <w:rsid w:val="2824475C"/>
    <w:rsid w:val="282908CA"/>
    <w:rsid w:val="283532E8"/>
    <w:rsid w:val="2838141A"/>
    <w:rsid w:val="284D78FC"/>
    <w:rsid w:val="284D79EC"/>
    <w:rsid w:val="284E3428"/>
    <w:rsid w:val="28534970"/>
    <w:rsid w:val="286C639A"/>
    <w:rsid w:val="28837EE2"/>
    <w:rsid w:val="28892AD0"/>
    <w:rsid w:val="288A6D03"/>
    <w:rsid w:val="289703F8"/>
    <w:rsid w:val="289D58A2"/>
    <w:rsid w:val="28A1047B"/>
    <w:rsid w:val="28A160FD"/>
    <w:rsid w:val="28A41B17"/>
    <w:rsid w:val="28A820ED"/>
    <w:rsid w:val="28A86A4A"/>
    <w:rsid w:val="28BB127D"/>
    <w:rsid w:val="28C43E58"/>
    <w:rsid w:val="28C84139"/>
    <w:rsid w:val="28CB432D"/>
    <w:rsid w:val="28FC29B0"/>
    <w:rsid w:val="28FF66C4"/>
    <w:rsid w:val="290E5CF0"/>
    <w:rsid w:val="291027C9"/>
    <w:rsid w:val="29171157"/>
    <w:rsid w:val="291D0BF6"/>
    <w:rsid w:val="293519DA"/>
    <w:rsid w:val="293732FF"/>
    <w:rsid w:val="29462081"/>
    <w:rsid w:val="295727A4"/>
    <w:rsid w:val="295C1B92"/>
    <w:rsid w:val="295C6873"/>
    <w:rsid w:val="2960167E"/>
    <w:rsid w:val="29602727"/>
    <w:rsid w:val="296F788F"/>
    <w:rsid w:val="29712120"/>
    <w:rsid w:val="2978131E"/>
    <w:rsid w:val="297919C1"/>
    <w:rsid w:val="297B55A1"/>
    <w:rsid w:val="298D631C"/>
    <w:rsid w:val="29914EB3"/>
    <w:rsid w:val="29923EF7"/>
    <w:rsid w:val="29936800"/>
    <w:rsid w:val="29965AED"/>
    <w:rsid w:val="29A171BB"/>
    <w:rsid w:val="29A85770"/>
    <w:rsid w:val="29B31EE7"/>
    <w:rsid w:val="29B532AC"/>
    <w:rsid w:val="29BE49F5"/>
    <w:rsid w:val="29C77DE2"/>
    <w:rsid w:val="29E02F4C"/>
    <w:rsid w:val="29E970BA"/>
    <w:rsid w:val="29EA6B27"/>
    <w:rsid w:val="29ED7E6A"/>
    <w:rsid w:val="29F1078B"/>
    <w:rsid w:val="29F90838"/>
    <w:rsid w:val="2A02496B"/>
    <w:rsid w:val="2A057382"/>
    <w:rsid w:val="2A070C94"/>
    <w:rsid w:val="2A093193"/>
    <w:rsid w:val="2A1354E9"/>
    <w:rsid w:val="2A1F7D01"/>
    <w:rsid w:val="2A21572A"/>
    <w:rsid w:val="2A235C74"/>
    <w:rsid w:val="2A29565E"/>
    <w:rsid w:val="2A304518"/>
    <w:rsid w:val="2A380DC7"/>
    <w:rsid w:val="2A3B25F7"/>
    <w:rsid w:val="2A3C1ACD"/>
    <w:rsid w:val="2A415A3C"/>
    <w:rsid w:val="2A422603"/>
    <w:rsid w:val="2A500BAB"/>
    <w:rsid w:val="2A614A70"/>
    <w:rsid w:val="2A7241B0"/>
    <w:rsid w:val="2A725B42"/>
    <w:rsid w:val="2A771589"/>
    <w:rsid w:val="2A852985"/>
    <w:rsid w:val="2A874F2B"/>
    <w:rsid w:val="2A922D59"/>
    <w:rsid w:val="2A9B36A9"/>
    <w:rsid w:val="2A9D65B6"/>
    <w:rsid w:val="2A9D6BDA"/>
    <w:rsid w:val="2A9E6B8C"/>
    <w:rsid w:val="2AA665DD"/>
    <w:rsid w:val="2AB256F9"/>
    <w:rsid w:val="2AB436B9"/>
    <w:rsid w:val="2AB5724B"/>
    <w:rsid w:val="2AB96EF3"/>
    <w:rsid w:val="2AC06DEC"/>
    <w:rsid w:val="2AC141FA"/>
    <w:rsid w:val="2AC75CB2"/>
    <w:rsid w:val="2ACE08B8"/>
    <w:rsid w:val="2AD61A54"/>
    <w:rsid w:val="2AE10D2E"/>
    <w:rsid w:val="2AE12F27"/>
    <w:rsid w:val="2AE822A9"/>
    <w:rsid w:val="2AEC73C6"/>
    <w:rsid w:val="2AF31B8C"/>
    <w:rsid w:val="2AF40DAD"/>
    <w:rsid w:val="2AF76FC0"/>
    <w:rsid w:val="2AFC6881"/>
    <w:rsid w:val="2B0543E2"/>
    <w:rsid w:val="2B0B4A5F"/>
    <w:rsid w:val="2B124DD5"/>
    <w:rsid w:val="2B152267"/>
    <w:rsid w:val="2B156047"/>
    <w:rsid w:val="2B235D8C"/>
    <w:rsid w:val="2B2445EF"/>
    <w:rsid w:val="2B274697"/>
    <w:rsid w:val="2B2D3330"/>
    <w:rsid w:val="2B2F4289"/>
    <w:rsid w:val="2B3C07D8"/>
    <w:rsid w:val="2B3E7F4C"/>
    <w:rsid w:val="2B413AD4"/>
    <w:rsid w:val="2B467949"/>
    <w:rsid w:val="2B522206"/>
    <w:rsid w:val="2B5B7863"/>
    <w:rsid w:val="2B5E28FC"/>
    <w:rsid w:val="2B693129"/>
    <w:rsid w:val="2B6D4BA7"/>
    <w:rsid w:val="2B6F6319"/>
    <w:rsid w:val="2B756BCD"/>
    <w:rsid w:val="2B80588A"/>
    <w:rsid w:val="2B887796"/>
    <w:rsid w:val="2B894677"/>
    <w:rsid w:val="2B8B61E5"/>
    <w:rsid w:val="2B8F6A38"/>
    <w:rsid w:val="2B9338FB"/>
    <w:rsid w:val="2B997C10"/>
    <w:rsid w:val="2BA46837"/>
    <w:rsid w:val="2BAA08E0"/>
    <w:rsid w:val="2BAA7CFC"/>
    <w:rsid w:val="2BB005CD"/>
    <w:rsid w:val="2BB423EA"/>
    <w:rsid w:val="2BB70D34"/>
    <w:rsid w:val="2BBD5CB1"/>
    <w:rsid w:val="2BCC6BE7"/>
    <w:rsid w:val="2BCF5A43"/>
    <w:rsid w:val="2BE07BD6"/>
    <w:rsid w:val="2BE64668"/>
    <w:rsid w:val="2BF543CC"/>
    <w:rsid w:val="2BF60E49"/>
    <w:rsid w:val="2BF8713F"/>
    <w:rsid w:val="2BFB64DD"/>
    <w:rsid w:val="2BFD3FF9"/>
    <w:rsid w:val="2C086EAE"/>
    <w:rsid w:val="2C1040E1"/>
    <w:rsid w:val="2C1058A9"/>
    <w:rsid w:val="2C111EFD"/>
    <w:rsid w:val="2C1321AF"/>
    <w:rsid w:val="2C145293"/>
    <w:rsid w:val="2C152CC5"/>
    <w:rsid w:val="2C1C245E"/>
    <w:rsid w:val="2C1C5C70"/>
    <w:rsid w:val="2C2244B7"/>
    <w:rsid w:val="2C240224"/>
    <w:rsid w:val="2C280C2D"/>
    <w:rsid w:val="2C281163"/>
    <w:rsid w:val="2C334418"/>
    <w:rsid w:val="2C337233"/>
    <w:rsid w:val="2C384091"/>
    <w:rsid w:val="2C3A0327"/>
    <w:rsid w:val="2C3B6B6B"/>
    <w:rsid w:val="2C427B85"/>
    <w:rsid w:val="2C43232E"/>
    <w:rsid w:val="2C490DF9"/>
    <w:rsid w:val="2C4E1121"/>
    <w:rsid w:val="2C4E7C7E"/>
    <w:rsid w:val="2C524C2B"/>
    <w:rsid w:val="2C58733A"/>
    <w:rsid w:val="2C5E5955"/>
    <w:rsid w:val="2C606860"/>
    <w:rsid w:val="2C6F1FE3"/>
    <w:rsid w:val="2C730913"/>
    <w:rsid w:val="2C7B4493"/>
    <w:rsid w:val="2C7E31A8"/>
    <w:rsid w:val="2C8D7B88"/>
    <w:rsid w:val="2C97050A"/>
    <w:rsid w:val="2C975991"/>
    <w:rsid w:val="2C9868DA"/>
    <w:rsid w:val="2C9F795C"/>
    <w:rsid w:val="2CA46058"/>
    <w:rsid w:val="2CA52DC4"/>
    <w:rsid w:val="2CA907CA"/>
    <w:rsid w:val="2CB1401D"/>
    <w:rsid w:val="2CBE0856"/>
    <w:rsid w:val="2CBE1890"/>
    <w:rsid w:val="2CC116F5"/>
    <w:rsid w:val="2CC147A4"/>
    <w:rsid w:val="2CC41A35"/>
    <w:rsid w:val="2CC44CEF"/>
    <w:rsid w:val="2CC45FC4"/>
    <w:rsid w:val="2CCD09DB"/>
    <w:rsid w:val="2CCE12AF"/>
    <w:rsid w:val="2CD74E73"/>
    <w:rsid w:val="2CDA0655"/>
    <w:rsid w:val="2CE40880"/>
    <w:rsid w:val="2CE95804"/>
    <w:rsid w:val="2CEA198D"/>
    <w:rsid w:val="2CED765B"/>
    <w:rsid w:val="2CEF16FC"/>
    <w:rsid w:val="2D003CC6"/>
    <w:rsid w:val="2D16167E"/>
    <w:rsid w:val="2D1C41BA"/>
    <w:rsid w:val="2D267FB6"/>
    <w:rsid w:val="2D28244B"/>
    <w:rsid w:val="2D371107"/>
    <w:rsid w:val="2D407CC9"/>
    <w:rsid w:val="2D4C697B"/>
    <w:rsid w:val="2D57074C"/>
    <w:rsid w:val="2D5818A7"/>
    <w:rsid w:val="2D5908E0"/>
    <w:rsid w:val="2D5B2025"/>
    <w:rsid w:val="2D5B4652"/>
    <w:rsid w:val="2D5F3EBC"/>
    <w:rsid w:val="2D6008D1"/>
    <w:rsid w:val="2D67254A"/>
    <w:rsid w:val="2D71093B"/>
    <w:rsid w:val="2D711905"/>
    <w:rsid w:val="2D72409E"/>
    <w:rsid w:val="2D7246B4"/>
    <w:rsid w:val="2D743D07"/>
    <w:rsid w:val="2D77173F"/>
    <w:rsid w:val="2D947703"/>
    <w:rsid w:val="2D9D1E95"/>
    <w:rsid w:val="2DA50DC3"/>
    <w:rsid w:val="2DA53EEE"/>
    <w:rsid w:val="2DB33D28"/>
    <w:rsid w:val="2DB87FF9"/>
    <w:rsid w:val="2DD16AD4"/>
    <w:rsid w:val="2DD60BCA"/>
    <w:rsid w:val="2DD73C40"/>
    <w:rsid w:val="2DD92EA2"/>
    <w:rsid w:val="2DE336E4"/>
    <w:rsid w:val="2DE55F2F"/>
    <w:rsid w:val="2DEB75DE"/>
    <w:rsid w:val="2DEC41D0"/>
    <w:rsid w:val="2DEE2ED9"/>
    <w:rsid w:val="2DF814CE"/>
    <w:rsid w:val="2E037E53"/>
    <w:rsid w:val="2E0B205D"/>
    <w:rsid w:val="2E256B87"/>
    <w:rsid w:val="2E2F1CB7"/>
    <w:rsid w:val="2E324572"/>
    <w:rsid w:val="2E34201B"/>
    <w:rsid w:val="2E3B7799"/>
    <w:rsid w:val="2E3B79E8"/>
    <w:rsid w:val="2E3D01DB"/>
    <w:rsid w:val="2E42231E"/>
    <w:rsid w:val="2E44628F"/>
    <w:rsid w:val="2E4F181A"/>
    <w:rsid w:val="2E535294"/>
    <w:rsid w:val="2E542B92"/>
    <w:rsid w:val="2E5B4441"/>
    <w:rsid w:val="2E6648C0"/>
    <w:rsid w:val="2E713908"/>
    <w:rsid w:val="2E736A3D"/>
    <w:rsid w:val="2E7501D7"/>
    <w:rsid w:val="2E757A38"/>
    <w:rsid w:val="2E785F64"/>
    <w:rsid w:val="2E847529"/>
    <w:rsid w:val="2E857914"/>
    <w:rsid w:val="2E864012"/>
    <w:rsid w:val="2E8A1924"/>
    <w:rsid w:val="2E8A54ED"/>
    <w:rsid w:val="2E8E41EC"/>
    <w:rsid w:val="2E8F0FD1"/>
    <w:rsid w:val="2E953965"/>
    <w:rsid w:val="2E954820"/>
    <w:rsid w:val="2E9937CE"/>
    <w:rsid w:val="2EA20B13"/>
    <w:rsid w:val="2EA56D9B"/>
    <w:rsid w:val="2EA7125E"/>
    <w:rsid w:val="2EA87A44"/>
    <w:rsid w:val="2EBD540D"/>
    <w:rsid w:val="2EBF6D16"/>
    <w:rsid w:val="2EC513AB"/>
    <w:rsid w:val="2ECA2E86"/>
    <w:rsid w:val="2ED32FB0"/>
    <w:rsid w:val="2EE00208"/>
    <w:rsid w:val="2EEA3829"/>
    <w:rsid w:val="2EF73A6B"/>
    <w:rsid w:val="2EFC7225"/>
    <w:rsid w:val="2F0562F9"/>
    <w:rsid w:val="2F06396C"/>
    <w:rsid w:val="2F0A3ADE"/>
    <w:rsid w:val="2F0E71DC"/>
    <w:rsid w:val="2F183D5A"/>
    <w:rsid w:val="2F213F42"/>
    <w:rsid w:val="2F287BBC"/>
    <w:rsid w:val="2F355B88"/>
    <w:rsid w:val="2F407EDE"/>
    <w:rsid w:val="2F454996"/>
    <w:rsid w:val="2F4B4DA5"/>
    <w:rsid w:val="2F5C365B"/>
    <w:rsid w:val="2F5D5790"/>
    <w:rsid w:val="2F602459"/>
    <w:rsid w:val="2F6B31E1"/>
    <w:rsid w:val="2F7A4BC8"/>
    <w:rsid w:val="2F800BAD"/>
    <w:rsid w:val="2F8A435C"/>
    <w:rsid w:val="2F941628"/>
    <w:rsid w:val="2F9851B6"/>
    <w:rsid w:val="2FB07854"/>
    <w:rsid w:val="2FC825AA"/>
    <w:rsid w:val="2FC954A0"/>
    <w:rsid w:val="2FCA36CC"/>
    <w:rsid w:val="2FF03F86"/>
    <w:rsid w:val="2FF056C1"/>
    <w:rsid w:val="2FF2735D"/>
    <w:rsid w:val="30023B66"/>
    <w:rsid w:val="30064313"/>
    <w:rsid w:val="300835FE"/>
    <w:rsid w:val="300C17E3"/>
    <w:rsid w:val="300E56F9"/>
    <w:rsid w:val="3010050D"/>
    <w:rsid w:val="301D1423"/>
    <w:rsid w:val="302149F0"/>
    <w:rsid w:val="302369F3"/>
    <w:rsid w:val="30282E8D"/>
    <w:rsid w:val="302C25BA"/>
    <w:rsid w:val="303032C1"/>
    <w:rsid w:val="30360227"/>
    <w:rsid w:val="30421C01"/>
    <w:rsid w:val="3057482F"/>
    <w:rsid w:val="30646D71"/>
    <w:rsid w:val="306869AD"/>
    <w:rsid w:val="306C123E"/>
    <w:rsid w:val="3071215E"/>
    <w:rsid w:val="307257D9"/>
    <w:rsid w:val="3078789F"/>
    <w:rsid w:val="30787CA5"/>
    <w:rsid w:val="3080408C"/>
    <w:rsid w:val="308323C1"/>
    <w:rsid w:val="30837CB7"/>
    <w:rsid w:val="3084221A"/>
    <w:rsid w:val="30866BFD"/>
    <w:rsid w:val="308768E5"/>
    <w:rsid w:val="308C0C6D"/>
    <w:rsid w:val="308E333D"/>
    <w:rsid w:val="3091204E"/>
    <w:rsid w:val="30941651"/>
    <w:rsid w:val="30960A19"/>
    <w:rsid w:val="30AF16A2"/>
    <w:rsid w:val="30B47B3A"/>
    <w:rsid w:val="30C0758B"/>
    <w:rsid w:val="30C37C9E"/>
    <w:rsid w:val="30C8072B"/>
    <w:rsid w:val="30C82D9F"/>
    <w:rsid w:val="30C937E6"/>
    <w:rsid w:val="30CD01A2"/>
    <w:rsid w:val="30D11165"/>
    <w:rsid w:val="30D543BD"/>
    <w:rsid w:val="30D93D7C"/>
    <w:rsid w:val="30DA76CC"/>
    <w:rsid w:val="30DB1AFB"/>
    <w:rsid w:val="30E14E80"/>
    <w:rsid w:val="30E61629"/>
    <w:rsid w:val="30EB1DCE"/>
    <w:rsid w:val="30F005E0"/>
    <w:rsid w:val="30F229B7"/>
    <w:rsid w:val="30FC30A4"/>
    <w:rsid w:val="30FC428C"/>
    <w:rsid w:val="310039C8"/>
    <w:rsid w:val="31081D8D"/>
    <w:rsid w:val="310B7424"/>
    <w:rsid w:val="310F72C6"/>
    <w:rsid w:val="310F7FAE"/>
    <w:rsid w:val="3110498B"/>
    <w:rsid w:val="31116EA3"/>
    <w:rsid w:val="31142F96"/>
    <w:rsid w:val="311C35F6"/>
    <w:rsid w:val="311D05B9"/>
    <w:rsid w:val="311E1AB9"/>
    <w:rsid w:val="3122447E"/>
    <w:rsid w:val="31251817"/>
    <w:rsid w:val="3143592C"/>
    <w:rsid w:val="31444B72"/>
    <w:rsid w:val="31602CE4"/>
    <w:rsid w:val="3161638B"/>
    <w:rsid w:val="31617E54"/>
    <w:rsid w:val="31654801"/>
    <w:rsid w:val="316809E4"/>
    <w:rsid w:val="31733219"/>
    <w:rsid w:val="31815AF6"/>
    <w:rsid w:val="31834D5B"/>
    <w:rsid w:val="318B6C85"/>
    <w:rsid w:val="3190372D"/>
    <w:rsid w:val="319A7DCB"/>
    <w:rsid w:val="31A12720"/>
    <w:rsid w:val="31A427E9"/>
    <w:rsid w:val="31BD0D83"/>
    <w:rsid w:val="31C03FE7"/>
    <w:rsid w:val="31CA4579"/>
    <w:rsid w:val="31DA3BFE"/>
    <w:rsid w:val="31E1102E"/>
    <w:rsid w:val="31E471EE"/>
    <w:rsid w:val="31E532E2"/>
    <w:rsid w:val="31F02512"/>
    <w:rsid w:val="31F04189"/>
    <w:rsid w:val="31FB3D3B"/>
    <w:rsid w:val="31FD11E7"/>
    <w:rsid w:val="31FF4889"/>
    <w:rsid w:val="320A3B9D"/>
    <w:rsid w:val="32152F7B"/>
    <w:rsid w:val="321B2025"/>
    <w:rsid w:val="321B422A"/>
    <w:rsid w:val="321D5398"/>
    <w:rsid w:val="322005D9"/>
    <w:rsid w:val="3223378F"/>
    <w:rsid w:val="322544E2"/>
    <w:rsid w:val="322C7B9B"/>
    <w:rsid w:val="322D2EAA"/>
    <w:rsid w:val="323148EA"/>
    <w:rsid w:val="323734E7"/>
    <w:rsid w:val="323C44EA"/>
    <w:rsid w:val="32452157"/>
    <w:rsid w:val="32514A61"/>
    <w:rsid w:val="32521CDF"/>
    <w:rsid w:val="326E07DA"/>
    <w:rsid w:val="32736F54"/>
    <w:rsid w:val="32747B82"/>
    <w:rsid w:val="328C51F3"/>
    <w:rsid w:val="328D28E3"/>
    <w:rsid w:val="329678B4"/>
    <w:rsid w:val="32977B97"/>
    <w:rsid w:val="32992A70"/>
    <w:rsid w:val="329C65AF"/>
    <w:rsid w:val="32C9517C"/>
    <w:rsid w:val="32CB683D"/>
    <w:rsid w:val="32CF25DA"/>
    <w:rsid w:val="32D210D3"/>
    <w:rsid w:val="32DE4778"/>
    <w:rsid w:val="32DF7ACC"/>
    <w:rsid w:val="32E8397C"/>
    <w:rsid w:val="32ED7756"/>
    <w:rsid w:val="32F72C4C"/>
    <w:rsid w:val="32F87350"/>
    <w:rsid w:val="33060315"/>
    <w:rsid w:val="330935B1"/>
    <w:rsid w:val="33125C2F"/>
    <w:rsid w:val="331458E5"/>
    <w:rsid w:val="33170F98"/>
    <w:rsid w:val="331B6AE8"/>
    <w:rsid w:val="331F7D06"/>
    <w:rsid w:val="33260802"/>
    <w:rsid w:val="332D2B00"/>
    <w:rsid w:val="333351BD"/>
    <w:rsid w:val="33342BF9"/>
    <w:rsid w:val="3338795E"/>
    <w:rsid w:val="333B39D3"/>
    <w:rsid w:val="33423294"/>
    <w:rsid w:val="3343444A"/>
    <w:rsid w:val="3345752D"/>
    <w:rsid w:val="33460A91"/>
    <w:rsid w:val="334873D2"/>
    <w:rsid w:val="334E0029"/>
    <w:rsid w:val="3352337E"/>
    <w:rsid w:val="335523BF"/>
    <w:rsid w:val="33552B2D"/>
    <w:rsid w:val="335D0F8A"/>
    <w:rsid w:val="335E5263"/>
    <w:rsid w:val="336A673D"/>
    <w:rsid w:val="3377748F"/>
    <w:rsid w:val="337A45BA"/>
    <w:rsid w:val="33811909"/>
    <w:rsid w:val="33856D1D"/>
    <w:rsid w:val="33876164"/>
    <w:rsid w:val="338D0EC1"/>
    <w:rsid w:val="33943409"/>
    <w:rsid w:val="339815E8"/>
    <w:rsid w:val="33AA601A"/>
    <w:rsid w:val="33B81229"/>
    <w:rsid w:val="33C665AD"/>
    <w:rsid w:val="33CC0848"/>
    <w:rsid w:val="33D17865"/>
    <w:rsid w:val="33D51C3F"/>
    <w:rsid w:val="33D72504"/>
    <w:rsid w:val="33EB792E"/>
    <w:rsid w:val="33EC50FE"/>
    <w:rsid w:val="33FD0C84"/>
    <w:rsid w:val="340008B5"/>
    <w:rsid w:val="340558A3"/>
    <w:rsid w:val="340A3A56"/>
    <w:rsid w:val="3419384A"/>
    <w:rsid w:val="34246237"/>
    <w:rsid w:val="34363110"/>
    <w:rsid w:val="34380C8E"/>
    <w:rsid w:val="343A40C7"/>
    <w:rsid w:val="343D588A"/>
    <w:rsid w:val="34401DAD"/>
    <w:rsid w:val="34485F87"/>
    <w:rsid w:val="34486972"/>
    <w:rsid w:val="344D2441"/>
    <w:rsid w:val="34546AFA"/>
    <w:rsid w:val="345830D1"/>
    <w:rsid w:val="34615A06"/>
    <w:rsid w:val="34635E95"/>
    <w:rsid w:val="34643CAA"/>
    <w:rsid w:val="346F6F37"/>
    <w:rsid w:val="348533D6"/>
    <w:rsid w:val="348808D6"/>
    <w:rsid w:val="348E3E42"/>
    <w:rsid w:val="34906C73"/>
    <w:rsid w:val="34967E9D"/>
    <w:rsid w:val="34970C9A"/>
    <w:rsid w:val="34A37E94"/>
    <w:rsid w:val="34A50D4B"/>
    <w:rsid w:val="34B015EF"/>
    <w:rsid w:val="34B300BC"/>
    <w:rsid w:val="34B343A3"/>
    <w:rsid w:val="34B60245"/>
    <w:rsid w:val="34B6237A"/>
    <w:rsid w:val="34B84729"/>
    <w:rsid w:val="34BE2823"/>
    <w:rsid w:val="34BF0D44"/>
    <w:rsid w:val="34C018A3"/>
    <w:rsid w:val="34C2335F"/>
    <w:rsid w:val="34C63ABB"/>
    <w:rsid w:val="34CB2F56"/>
    <w:rsid w:val="34CD2B42"/>
    <w:rsid w:val="34D61CC9"/>
    <w:rsid w:val="34E16FEF"/>
    <w:rsid w:val="34F30B75"/>
    <w:rsid w:val="34F84347"/>
    <w:rsid w:val="34FF388B"/>
    <w:rsid w:val="35063DC4"/>
    <w:rsid w:val="350A2E9C"/>
    <w:rsid w:val="350B139B"/>
    <w:rsid w:val="35105760"/>
    <w:rsid w:val="35183A08"/>
    <w:rsid w:val="351D224C"/>
    <w:rsid w:val="351F262B"/>
    <w:rsid w:val="353149C1"/>
    <w:rsid w:val="35353C6B"/>
    <w:rsid w:val="353B77BA"/>
    <w:rsid w:val="353D61A9"/>
    <w:rsid w:val="35436812"/>
    <w:rsid w:val="35512D40"/>
    <w:rsid w:val="355B019D"/>
    <w:rsid w:val="355B1119"/>
    <w:rsid w:val="3568080A"/>
    <w:rsid w:val="35683DD9"/>
    <w:rsid w:val="356B669D"/>
    <w:rsid w:val="35724A7A"/>
    <w:rsid w:val="357C4513"/>
    <w:rsid w:val="359B63F5"/>
    <w:rsid w:val="359D4218"/>
    <w:rsid w:val="35A54FBE"/>
    <w:rsid w:val="35A91EE3"/>
    <w:rsid w:val="35AC4A8B"/>
    <w:rsid w:val="35AC78DA"/>
    <w:rsid w:val="35AE0962"/>
    <w:rsid w:val="35B44DB0"/>
    <w:rsid w:val="35B635A8"/>
    <w:rsid w:val="35B735FC"/>
    <w:rsid w:val="35C17EEC"/>
    <w:rsid w:val="35C32CB2"/>
    <w:rsid w:val="35C70D26"/>
    <w:rsid w:val="35D12BBB"/>
    <w:rsid w:val="35D71CCD"/>
    <w:rsid w:val="35D75781"/>
    <w:rsid w:val="35DB4C01"/>
    <w:rsid w:val="35DC24B8"/>
    <w:rsid w:val="35DD4A13"/>
    <w:rsid w:val="35E04AFE"/>
    <w:rsid w:val="35E21809"/>
    <w:rsid w:val="35E51B74"/>
    <w:rsid w:val="35F23C4D"/>
    <w:rsid w:val="35F56B71"/>
    <w:rsid w:val="35FC1476"/>
    <w:rsid w:val="3601314B"/>
    <w:rsid w:val="36151FDA"/>
    <w:rsid w:val="362170C8"/>
    <w:rsid w:val="36223AAC"/>
    <w:rsid w:val="36225EDE"/>
    <w:rsid w:val="36475871"/>
    <w:rsid w:val="36533C7A"/>
    <w:rsid w:val="365C4870"/>
    <w:rsid w:val="366322C7"/>
    <w:rsid w:val="36632FCC"/>
    <w:rsid w:val="3674669B"/>
    <w:rsid w:val="367B6136"/>
    <w:rsid w:val="36802552"/>
    <w:rsid w:val="368A5BBE"/>
    <w:rsid w:val="368A5FF2"/>
    <w:rsid w:val="368E7D88"/>
    <w:rsid w:val="36944827"/>
    <w:rsid w:val="36966826"/>
    <w:rsid w:val="369A7FEB"/>
    <w:rsid w:val="369B1096"/>
    <w:rsid w:val="36AE6C8E"/>
    <w:rsid w:val="36B37548"/>
    <w:rsid w:val="36BC0F97"/>
    <w:rsid w:val="36CB1EFA"/>
    <w:rsid w:val="36CD7604"/>
    <w:rsid w:val="36D320BB"/>
    <w:rsid w:val="36DA1F3C"/>
    <w:rsid w:val="36DC10D7"/>
    <w:rsid w:val="36DD41B6"/>
    <w:rsid w:val="36F70177"/>
    <w:rsid w:val="36F851DA"/>
    <w:rsid w:val="37070E20"/>
    <w:rsid w:val="37124E0C"/>
    <w:rsid w:val="37135E83"/>
    <w:rsid w:val="37157A6D"/>
    <w:rsid w:val="371D5919"/>
    <w:rsid w:val="371F7B6D"/>
    <w:rsid w:val="37214FB6"/>
    <w:rsid w:val="372607CB"/>
    <w:rsid w:val="37291B7D"/>
    <w:rsid w:val="3732525D"/>
    <w:rsid w:val="37332485"/>
    <w:rsid w:val="37347BE1"/>
    <w:rsid w:val="3738289D"/>
    <w:rsid w:val="373D106E"/>
    <w:rsid w:val="37427438"/>
    <w:rsid w:val="37446DAC"/>
    <w:rsid w:val="374C1B95"/>
    <w:rsid w:val="37542173"/>
    <w:rsid w:val="3758307B"/>
    <w:rsid w:val="375D1807"/>
    <w:rsid w:val="37654367"/>
    <w:rsid w:val="37690F4A"/>
    <w:rsid w:val="376A5BA7"/>
    <w:rsid w:val="376F0093"/>
    <w:rsid w:val="376F15AD"/>
    <w:rsid w:val="37786D5D"/>
    <w:rsid w:val="377B3BE7"/>
    <w:rsid w:val="37897FE9"/>
    <w:rsid w:val="378C415C"/>
    <w:rsid w:val="378F6305"/>
    <w:rsid w:val="379416B1"/>
    <w:rsid w:val="37966DD2"/>
    <w:rsid w:val="3797120D"/>
    <w:rsid w:val="37976C27"/>
    <w:rsid w:val="379A7CD8"/>
    <w:rsid w:val="379E1922"/>
    <w:rsid w:val="379F2786"/>
    <w:rsid w:val="37A04C78"/>
    <w:rsid w:val="37A56A96"/>
    <w:rsid w:val="37A7111A"/>
    <w:rsid w:val="37AF143D"/>
    <w:rsid w:val="37BE115B"/>
    <w:rsid w:val="37BF35AB"/>
    <w:rsid w:val="37C27E4B"/>
    <w:rsid w:val="37C56AFE"/>
    <w:rsid w:val="37D234A9"/>
    <w:rsid w:val="37D72903"/>
    <w:rsid w:val="37D87383"/>
    <w:rsid w:val="37DD4CB3"/>
    <w:rsid w:val="37DD4D42"/>
    <w:rsid w:val="37E50645"/>
    <w:rsid w:val="37EB03F9"/>
    <w:rsid w:val="37EB466F"/>
    <w:rsid w:val="380408E1"/>
    <w:rsid w:val="380A0975"/>
    <w:rsid w:val="381469BB"/>
    <w:rsid w:val="38147C5A"/>
    <w:rsid w:val="38187489"/>
    <w:rsid w:val="381931A0"/>
    <w:rsid w:val="38194546"/>
    <w:rsid w:val="381F061B"/>
    <w:rsid w:val="38214FAB"/>
    <w:rsid w:val="383C5A88"/>
    <w:rsid w:val="384703F0"/>
    <w:rsid w:val="38515508"/>
    <w:rsid w:val="38546031"/>
    <w:rsid w:val="385D63F4"/>
    <w:rsid w:val="38654B3D"/>
    <w:rsid w:val="386E42A3"/>
    <w:rsid w:val="38746899"/>
    <w:rsid w:val="387568B6"/>
    <w:rsid w:val="387E4057"/>
    <w:rsid w:val="38802AD4"/>
    <w:rsid w:val="38A173BC"/>
    <w:rsid w:val="38A26319"/>
    <w:rsid w:val="38B058E2"/>
    <w:rsid w:val="38BC212C"/>
    <w:rsid w:val="38BE5DE5"/>
    <w:rsid w:val="38C356A8"/>
    <w:rsid w:val="38C91061"/>
    <w:rsid w:val="38CF765E"/>
    <w:rsid w:val="38D011F8"/>
    <w:rsid w:val="38D64E88"/>
    <w:rsid w:val="38E7597B"/>
    <w:rsid w:val="38EB6187"/>
    <w:rsid w:val="38F24B76"/>
    <w:rsid w:val="38F54E6F"/>
    <w:rsid w:val="38F955E8"/>
    <w:rsid w:val="38FA7EB5"/>
    <w:rsid w:val="39037CC1"/>
    <w:rsid w:val="39063FEB"/>
    <w:rsid w:val="39163ED4"/>
    <w:rsid w:val="39167F63"/>
    <w:rsid w:val="3918606E"/>
    <w:rsid w:val="3923003E"/>
    <w:rsid w:val="392F1EC9"/>
    <w:rsid w:val="393A08DA"/>
    <w:rsid w:val="393F796F"/>
    <w:rsid w:val="39503C1D"/>
    <w:rsid w:val="39523FE8"/>
    <w:rsid w:val="39536F7B"/>
    <w:rsid w:val="395456F7"/>
    <w:rsid w:val="39557897"/>
    <w:rsid w:val="3958556C"/>
    <w:rsid w:val="395A2EAF"/>
    <w:rsid w:val="39605765"/>
    <w:rsid w:val="39653F51"/>
    <w:rsid w:val="3987388E"/>
    <w:rsid w:val="39882321"/>
    <w:rsid w:val="39936AB6"/>
    <w:rsid w:val="399A758D"/>
    <w:rsid w:val="39A953D2"/>
    <w:rsid w:val="39AD25EC"/>
    <w:rsid w:val="39B44A5E"/>
    <w:rsid w:val="39B9329F"/>
    <w:rsid w:val="39BC5BC5"/>
    <w:rsid w:val="39C309EA"/>
    <w:rsid w:val="39C46687"/>
    <w:rsid w:val="39C95A01"/>
    <w:rsid w:val="39C97597"/>
    <w:rsid w:val="39ED0F31"/>
    <w:rsid w:val="39F01098"/>
    <w:rsid w:val="39F101C2"/>
    <w:rsid w:val="3A023F04"/>
    <w:rsid w:val="3A046D60"/>
    <w:rsid w:val="3A0A5292"/>
    <w:rsid w:val="3A0F729D"/>
    <w:rsid w:val="3A133C01"/>
    <w:rsid w:val="3A153BD9"/>
    <w:rsid w:val="3A1E00EB"/>
    <w:rsid w:val="3A305885"/>
    <w:rsid w:val="3A31343A"/>
    <w:rsid w:val="3A3907B2"/>
    <w:rsid w:val="3A423DF8"/>
    <w:rsid w:val="3A4A238F"/>
    <w:rsid w:val="3A4C5B1A"/>
    <w:rsid w:val="3A590346"/>
    <w:rsid w:val="3A5A5D48"/>
    <w:rsid w:val="3A5B34EE"/>
    <w:rsid w:val="3A5C36B3"/>
    <w:rsid w:val="3A5D5391"/>
    <w:rsid w:val="3A630204"/>
    <w:rsid w:val="3A690FAE"/>
    <w:rsid w:val="3A6B74DC"/>
    <w:rsid w:val="3A7430D0"/>
    <w:rsid w:val="3A796034"/>
    <w:rsid w:val="3A7F493C"/>
    <w:rsid w:val="3A821625"/>
    <w:rsid w:val="3A8872C1"/>
    <w:rsid w:val="3A8B6728"/>
    <w:rsid w:val="3A8D0AFE"/>
    <w:rsid w:val="3A9340B6"/>
    <w:rsid w:val="3A9B650F"/>
    <w:rsid w:val="3AA123C3"/>
    <w:rsid w:val="3AAA022C"/>
    <w:rsid w:val="3AB374FD"/>
    <w:rsid w:val="3AB71B2A"/>
    <w:rsid w:val="3AC77C4D"/>
    <w:rsid w:val="3ACB4352"/>
    <w:rsid w:val="3ACE232F"/>
    <w:rsid w:val="3AEE028C"/>
    <w:rsid w:val="3AEF6040"/>
    <w:rsid w:val="3AF249DD"/>
    <w:rsid w:val="3AFF5888"/>
    <w:rsid w:val="3B0E0185"/>
    <w:rsid w:val="3B122C7B"/>
    <w:rsid w:val="3B1756D6"/>
    <w:rsid w:val="3B2F0C83"/>
    <w:rsid w:val="3B350F26"/>
    <w:rsid w:val="3B386660"/>
    <w:rsid w:val="3B3B74D6"/>
    <w:rsid w:val="3B40549B"/>
    <w:rsid w:val="3B41751C"/>
    <w:rsid w:val="3B462FC0"/>
    <w:rsid w:val="3B474A2E"/>
    <w:rsid w:val="3B6053EA"/>
    <w:rsid w:val="3B60583A"/>
    <w:rsid w:val="3B68596A"/>
    <w:rsid w:val="3B761A5F"/>
    <w:rsid w:val="3B77447F"/>
    <w:rsid w:val="3B7C07C8"/>
    <w:rsid w:val="3B8605E7"/>
    <w:rsid w:val="3B8A78E1"/>
    <w:rsid w:val="3B90169E"/>
    <w:rsid w:val="3B905B12"/>
    <w:rsid w:val="3B9F46D7"/>
    <w:rsid w:val="3BA55377"/>
    <w:rsid w:val="3BAC2A70"/>
    <w:rsid w:val="3BAF39FB"/>
    <w:rsid w:val="3BB7218D"/>
    <w:rsid w:val="3BB77675"/>
    <w:rsid w:val="3BB94CB3"/>
    <w:rsid w:val="3BBF4895"/>
    <w:rsid w:val="3BBF6504"/>
    <w:rsid w:val="3BC14695"/>
    <w:rsid w:val="3BC669AF"/>
    <w:rsid w:val="3BCB1055"/>
    <w:rsid w:val="3BD117BB"/>
    <w:rsid w:val="3BDB2EAA"/>
    <w:rsid w:val="3BE046EF"/>
    <w:rsid w:val="3BE7091B"/>
    <w:rsid w:val="3BE809E2"/>
    <w:rsid w:val="3BF83FF9"/>
    <w:rsid w:val="3BF97C2A"/>
    <w:rsid w:val="3C001809"/>
    <w:rsid w:val="3C016DD8"/>
    <w:rsid w:val="3C077B90"/>
    <w:rsid w:val="3C0A0BCE"/>
    <w:rsid w:val="3C0D01DA"/>
    <w:rsid w:val="3C0E17C2"/>
    <w:rsid w:val="3C1121F7"/>
    <w:rsid w:val="3C133996"/>
    <w:rsid w:val="3C1344D3"/>
    <w:rsid w:val="3C200545"/>
    <w:rsid w:val="3C3C6626"/>
    <w:rsid w:val="3C3C7672"/>
    <w:rsid w:val="3C3E58CA"/>
    <w:rsid w:val="3C413EA2"/>
    <w:rsid w:val="3C4A0271"/>
    <w:rsid w:val="3C4D4AE9"/>
    <w:rsid w:val="3C635C86"/>
    <w:rsid w:val="3C6836E0"/>
    <w:rsid w:val="3C713E44"/>
    <w:rsid w:val="3C7255A1"/>
    <w:rsid w:val="3C74441B"/>
    <w:rsid w:val="3C8D69EA"/>
    <w:rsid w:val="3C925604"/>
    <w:rsid w:val="3C9A1577"/>
    <w:rsid w:val="3CA47BD7"/>
    <w:rsid w:val="3CA562A4"/>
    <w:rsid w:val="3CBD7D87"/>
    <w:rsid w:val="3CBE42C3"/>
    <w:rsid w:val="3CC71D57"/>
    <w:rsid w:val="3CC825FE"/>
    <w:rsid w:val="3CCB2582"/>
    <w:rsid w:val="3CE000DB"/>
    <w:rsid w:val="3CE7133F"/>
    <w:rsid w:val="3CE80D4C"/>
    <w:rsid w:val="3CE91794"/>
    <w:rsid w:val="3CEA4D4D"/>
    <w:rsid w:val="3CF97C13"/>
    <w:rsid w:val="3D0801D8"/>
    <w:rsid w:val="3D150D2B"/>
    <w:rsid w:val="3D1A7DD9"/>
    <w:rsid w:val="3D28055B"/>
    <w:rsid w:val="3D2B0ECA"/>
    <w:rsid w:val="3D2C25B7"/>
    <w:rsid w:val="3D3370D1"/>
    <w:rsid w:val="3D3420F0"/>
    <w:rsid w:val="3D395AB3"/>
    <w:rsid w:val="3D395FEF"/>
    <w:rsid w:val="3D437AED"/>
    <w:rsid w:val="3D444EF2"/>
    <w:rsid w:val="3D452526"/>
    <w:rsid w:val="3D466B4D"/>
    <w:rsid w:val="3D4D11C9"/>
    <w:rsid w:val="3D5028A5"/>
    <w:rsid w:val="3D51013D"/>
    <w:rsid w:val="3D565D47"/>
    <w:rsid w:val="3D612E6C"/>
    <w:rsid w:val="3D8164EF"/>
    <w:rsid w:val="3D860E5F"/>
    <w:rsid w:val="3D8B5CFB"/>
    <w:rsid w:val="3D8C6114"/>
    <w:rsid w:val="3D8E7E8E"/>
    <w:rsid w:val="3DA11146"/>
    <w:rsid w:val="3DA133BA"/>
    <w:rsid w:val="3DA4276B"/>
    <w:rsid w:val="3DB40856"/>
    <w:rsid w:val="3DB97A52"/>
    <w:rsid w:val="3DD8699C"/>
    <w:rsid w:val="3DDA40C2"/>
    <w:rsid w:val="3DDC5612"/>
    <w:rsid w:val="3DDF75B4"/>
    <w:rsid w:val="3DE00D19"/>
    <w:rsid w:val="3DE4597D"/>
    <w:rsid w:val="3DE93111"/>
    <w:rsid w:val="3DF2441D"/>
    <w:rsid w:val="3DF259C4"/>
    <w:rsid w:val="3DF612C9"/>
    <w:rsid w:val="3DF8558D"/>
    <w:rsid w:val="3E0B0B11"/>
    <w:rsid w:val="3E1D5E31"/>
    <w:rsid w:val="3E2929D9"/>
    <w:rsid w:val="3E2A065B"/>
    <w:rsid w:val="3E2A44E6"/>
    <w:rsid w:val="3E323005"/>
    <w:rsid w:val="3E3701C9"/>
    <w:rsid w:val="3E4160CE"/>
    <w:rsid w:val="3E42295E"/>
    <w:rsid w:val="3E432CB5"/>
    <w:rsid w:val="3E6A116A"/>
    <w:rsid w:val="3E72094D"/>
    <w:rsid w:val="3E7524A4"/>
    <w:rsid w:val="3E801B35"/>
    <w:rsid w:val="3E9269D8"/>
    <w:rsid w:val="3E941A78"/>
    <w:rsid w:val="3E9D053F"/>
    <w:rsid w:val="3EA75C81"/>
    <w:rsid w:val="3EAB3340"/>
    <w:rsid w:val="3EB46144"/>
    <w:rsid w:val="3EBA4695"/>
    <w:rsid w:val="3EBC2690"/>
    <w:rsid w:val="3EC05E48"/>
    <w:rsid w:val="3EC27A88"/>
    <w:rsid w:val="3EDB60C8"/>
    <w:rsid w:val="3EDD3E0B"/>
    <w:rsid w:val="3EDF42EB"/>
    <w:rsid w:val="3EE27329"/>
    <w:rsid w:val="3EE956AE"/>
    <w:rsid w:val="3EEB6AA8"/>
    <w:rsid w:val="3EFE788B"/>
    <w:rsid w:val="3F0000AC"/>
    <w:rsid w:val="3F04667C"/>
    <w:rsid w:val="3F1413F8"/>
    <w:rsid w:val="3F1A18C2"/>
    <w:rsid w:val="3F1B72DB"/>
    <w:rsid w:val="3F3A2AE6"/>
    <w:rsid w:val="3F3A42E2"/>
    <w:rsid w:val="3F4018CA"/>
    <w:rsid w:val="3F466251"/>
    <w:rsid w:val="3F4D1A66"/>
    <w:rsid w:val="3F4D677A"/>
    <w:rsid w:val="3F4E4652"/>
    <w:rsid w:val="3F4F5D3C"/>
    <w:rsid w:val="3F524657"/>
    <w:rsid w:val="3F53191C"/>
    <w:rsid w:val="3F546DDE"/>
    <w:rsid w:val="3F634DDA"/>
    <w:rsid w:val="3F644F59"/>
    <w:rsid w:val="3F667AA1"/>
    <w:rsid w:val="3F6F627D"/>
    <w:rsid w:val="3F823BEF"/>
    <w:rsid w:val="3F952773"/>
    <w:rsid w:val="3FA75B84"/>
    <w:rsid w:val="3FAA10CC"/>
    <w:rsid w:val="3FAD0C89"/>
    <w:rsid w:val="3FB50AC7"/>
    <w:rsid w:val="3FBF31FE"/>
    <w:rsid w:val="3FC14309"/>
    <w:rsid w:val="3FC413F0"/>
    <w:rsid w:val="3FC84B51"/>
    <w:rsid w:val="3FC97F96"/>
    <w:rsid w:val="3FE207D6"/>
    <w:rsid w:val="3FE85636"/>
    <w:rsid w:val="3FE9177D"/>
    <w:rsid w:val="3FF342DF"/>
    <w:rsid w:val="3FF4575E"/>
    <w:rsid w:val="3FF656E3"/>
    <w:rsid w:val="3FFB2755"/>
    <w:rsid w:val="3FFB5226"/>
    <w:rsid w:val="3FFF7C33"/>
    <w:rsid w:val="40035FE3"/>
    <w:rsid w:val="40072332"/>
    <w:rsid w:val="400C61E2"/>
    <w:rsid w:val="400F5775"/>
    <w:rsid w:val="40201723"/>
    <w:rsid w:val="402654EF"/>
    <w:rsid w:val="402A3968"/>
    <w:rsid w:val="403A3AEF"/>
    <w:rsid w:val="403A7E6E"/>
    <w:rsid w:val="403F4DC3"/>
    <w:rsid w:val="4044232B"/>
    <w:rsid w:val="4044494F"/>
    <w:rsid w:val="4048562F"/>
    <w:rsid w:val="404B4D63"/>
    <w:rsid w:val="405255A2"/>
    <w:rsid w:val="4053034D"/>
    <w:rsid w:val="40645F1B"/>
    <w:rsid w:val="407B34FD"/>
    <w:rsid w:val="407E4866"/>
    <w:rsid w:val="408367A5"/>
    <w:rsid w:val="408926FF"/>
    <w:rsid w:val="408B2615"/>
    <w:rsid w:val="408C39F9"/>
    <w:rsid w:val="40956E5C"/>
    <w:rsid w:val="409C090D"/>
    <w:rsid w:val="409F0090"/>
    <w:rsid w:val="409F3E6D"/>
    <w:rsid w:val="40A0244A"/>
    <w:rsid w:val="40A209CA"/>
    <w:rsid w:val="40AD0B77"/>
    <w:rsid w:val="40C06999"/>
    <w:rsid w:val="40C27863"/>
    <w:rsid w:val="40D45E6F"/>
    <w:rsid w:val="40DB5E70"/>
    <w:rsid w:val="40DE38FA"/>
    <w:rsid w:val="40F22137"/>
    <w:rsid w:val="40F750F0"/>
    <w:rsid w:val="4108635F"/>
    <w:rsid w:val="411032EC"/>
    <w:rsid w:val="41112955"/>
    <w:rsid w:val="41130D11"/>
    <w:rsid w:val="412764B4"/>
    <w:rsid w:val="41297B7A"/>
    <w:rsid w:val="413474F7"/>
    <w:rsid w:val="413C1CEF"/>
    <w:rsid w:val="41493A13"/>
    <w:rsid w:val="415409C1"/>
    <w:rsid w:val="4156505B"/>
    <w:rsid w:val="415D6DD1"/>
    <w:rsid w:val="41620B04"/>
    <w:rsid w:val="416E267B"/>
    <w:rsid w:val="4170137F"/>
    <w:rsid w:val="417D0F86"/>
    <w:rsid w:val="418876C4"/>
    <w:rsid w:val="41897509"/>
    <w:rsid w:val="418B1D61"/>
    <w:rsid w:val="41905DB4"/>
    <w:rsid w:val="41990A07"/>
    <w:rsid w:val="41A04027"/>
    <w:rsid w:val="41A07A24"/>
    <w:rsid w:val="41AD4B9A"/>
    <w:rsid w:val="41B23787"/>
    <w:rsid w:val="41B4654B"/>
    <w:rsid w:val="41B779A8"/>
    <w:rsid w:val="41C349DD"/>
    <w:rsid w:val="41CC50DF"/>
    <w:rsid w:val="41CF3377"/>
    <w:rsid w:val="41D67DCD"/>
    <w:rsid w:val="41D85A15"/>
    <w:rsid w:val="41E34C13"/>
    <w:rsid w:val="41E83EC5"/>
    <w:rsid w:val="41EE3A1D"/>
    <w:rsid w:val="4200746D"/>
    <w:rsid w:val="42015FEC"/>
    <w:rsid w:val="420823C4"/>
    <w:rsid w:val="42093E35"/>
    <w:rsid w:val="42096AC2"/>
    <w:rsid w:val="420A66D0"/>
    <w:rsid w:val="420B04FA"/>
    <w:rsid w:val="420D0A42"/>
    <w:rsid w:val="42127D93"/>
    <w:rsid w:val="421610F1"/>
    <w:rsid w:val="421A1EBB"/>
    <w:rsid w:val="421A38A1"/>
    <w:rsid w:val="421B2E05"/>
    <w:rsid w:val="422306F1"/>
    <w:rsid w:val="422918A6"/>
    <w:rsid w:val="42375169"/>
    <w:rsid w:val="42437812"/>
    <w:rsid w:val="424D0397"/>
    <w:rsid w:val="424F1572"/>
    <w:rsid w:val="42512540"/>
    <w:rsid w:val="425F1FAE"/>
    <w:rsid w:val="42786DCE"/>
    <w:rsid w:val="42795153"/>
    <w:rsid w:val="42804269"/>
    <w:rsid w:val="42961335"/>
    <w:rsid w:val="429C0FC9"/>
    <w:rsid w:val="429C1E4A"/>
    <w:rsid w:val="42A52055"/>
    <w:rsid w:val="42AD0CAC"/>
    <w:rsid w:val="42AE6295"/>
    <w:rsid w:val="42B07201"/>
    <w:rsid w:val="42B24711"/>
    <w:rsid w:val="42C138A0"/>
    <w:rsid w:val="42C814A1"/>
    <w:rsid w:val="42CC5ABF"/>
    <w:rsid w:val="42CD34E7"/>
    <w:rsid w:val="42DF401B"/>
    <w:rsid w:val="42E165AC"/>
    <w:rsid w:val="42E7720E"/>
    <w:rsid w:val="42F20EC6"/>
    <w:rsid w:val="42F77D99"/>
    <w:rsid w:val="42FF1D1E"/>
    <w:rsid w:val="43037B1F"/>
    <w:rsid w:val="43054A38"/>
    <w:rsid w:val="430D2306"/>
    <w:rsid w:val="430D5AEB"/>
    <w:rsid w:val="430E31F1"/>
    <w:rsid w:val="43112B8E"/>
    <w:rsid w:val="43112BA5"/>
    <w:rsid w:val="431E6958"/>
    <w:rsid w:val="432F1B85"/>
    <w:rsid w:val="432F4447"/>
    <w:rsid w:val="433224CD"/>
    <w:rsid w:val="43335A10"/>
    <w:rsid w:val="433B3112"/>
    <w:rsid w:val="433B552A"/>
    <w:rsid w:val="433C7B6C"/>
    <w:rsid w:val="43433C08"/>
    <w:rsid w:val="43452006"/>
    <w:rsid w:val="43502F31"/>
    <w:rsid w:val="43541214"/>
    <w:rsid w:val="435D5C90"/>
    <w:rsid w:val="43605E08"/>
    <w:rsid w:val="43624DC8"/>
    <w:rsid w:val="436504F9"/>
    <w:rsid w:val="43677A72"/>
    <w:rsid w:val="436E5F19"/>
    <w:rsid w:val="436F6E29"/>
    <w:rsid w:val="437B48F3"/>
    <w:rsid w:val="437E16CB"/>
    <w:rsid w:val="437F1885"/>
    <w:rsid w:val="43845C81"/>
    <w:rsid w:val="438C1AB1"/>
    <w:rsid w:val="438E6CDE"/>
    <w:rsid w:val="43A40E06"/>
    <w:rsid w:val="43A43625"/>
    <w:rsid w:val="43A97B42"/>
    <w:rsid w:val="43AB0D21"/>
    <w:rsid w:val="43B2036D"/>
    <w:rsid w:val="43BD4468"/>
    <w:rsid w:val="43CC1FCA"/>
    <w:rsid w:val="43CF5552"/>
    <w:rsid w:val="43D02AFF"/>
    <w:rsid w:val="43D061AF"/>
    <w:rsid w:val="43E46E72"/>
    <w:rsid w:val="43F61B66"/>
    <w:rsid w:val="43F921A4"/>
    <w:rsid w:val="440E1823"/>
    <w:rsid w:val="440F3964"/>
    <w:rsid w:val="44137D5E"/>
    <w:rsid w:val="441440C9"/>
    <w:rsid w:val="441809A3"/>
    <w:rsid w:val="441E778E"/>
    <w:rsid w:val="4422090E"/>
    <w:rsid w:val="442A4A23"/>
    <w:rsid w:val="442F3BF5"/>
    <w:rsid w:val="44303CFF"/>
    <w:rsid w:val="44397BA2"/>
    <w:rsid w:val="444235C5"/>
    <w:rsid w:val="445A088E"/>
    <w:rsid w:val="445C4E18"/>
    <w:rsid w:val="446443D7"/>
    <w:rsid w:val="44647215"/>
    <w:rsid w:val="44671CD0"/>
    <w:rsid w:val="446C3C33"/>
    <w:rsid w:val="446E1343"/>
    <w:rsid w:val="447A14C7"/>
    <w:rsid w:val="448343A1"/>
    <w:rsid w:val="448501CD"/>
    <w:rsid w:val="449877EB"/>
    <w:rsid w:val="44991045"/>
    <w:rsid w:val="44A36A32"/>
    <w:rsid w:val="44AC6278"/>
    <w:rsid w:val="44AC665E"/>
    <w:rsid w:val="44AD2CEF"/>
    <w:rsid w:val="44BF0A3F"/>
    <w:rsid w:val="44D1266E"/>
    <w:rsid w:val="44D66253"/>
    <w:rsid w:val="44D94C19"/>
    <w:rsid w:val="44DA3243"/>
    <w:rsid w:val="44DA3ACB"/>
    <w:rsid w:val="44EC0EC0"/>
    <w:rsid w:val="44EC4719"/>
    <w:rsid w:val="44EE72BD"/>
    <w:rsid w:val="44EF74C3"/>
    <w:rsid w:val="44FB61EE"/>
    <w:rsid w:val="44FE2B3F"/>
    <w:rsid w:val="45005FF4"/>
    <w:rsid w:val="45013F08"/>
    <w:rsid w:val="450272F0"/>
    <w:rsid w:val="45095CD7"/>
    <w:rsid w:val="450E01BF"/>
    <w:rsid w:val="45110C33"/>
    <w:rsid w:val="452A3BA9"/>
    <w:rsid w:val="452E2CCB"/>
    <w:rsid w:val="452E41EF"/>
    <w:rsid w:val="453650D7"/>
    <w:rsid w:val="453E7575"/>
    <w:rsid w:val="454478DB"/>
    <w:rsid w:val="45494F65"/>
    <w:rsid w:val="455301A4"/>
    <w:rsid w:val="455F0A64"/>
    <w:rsid w:val="456C0363"/>
    <w:rsid w:val="456C7142"/>
    <w:rsid w:val="456F54A3"/>
    <w:rsid w:val="45721878"/>
    <w:rsid w:val="457A097B"/>
    <w:rsid w:val="45815C58"/>
    <w:rsid w:val="45840C92"/>
    <w:rsid w:val="458D5C11"/>
    <w:rsid w:val="458E5424"/>
    <w:rsid w:val="45900A4F"/>
    <w:rsid w:val="45932270"/>
    <w:rsid w:val="4595170C"/>
    <w:rsid w:val="45955245"/>
    <w:rsid w:val="45974D86"/>
    <w:rsid w:val="45A27E50"/>
    <w:rsid w:val="45A43E8E"/>
    <w:rsid w:val="45A576B6"/>
    <w:rsid w:val="45BA4F6E"/>
    <w:rsid w:val="45D115E0"/>
    <w:rsid w:val="45D163C6"/>
    <w:rsid w:val="45DD08CF"/>
    <w:rsid w:val="45E106C1"/>
    <w:rsid w:val="45E76339"/>
    <w:rsid w:val="45EA1E76"/>
    <w:rsid w:val="45F1683E"/>
    <w:rsid w:val="45F3409B"/>
    <w:rsid w:val="45F4056D"/>
    <w:rsid w:val="46027911"/>
    <w:rsid w:val="46073753"/>
    <w:rsid w:val="46161E9E"/>
    <w:rsid w:val="46193FED"/>
    <w:rsid w:val="461E16F2"/>
    <w:rsid w:val="46297E8A"/>
    <w:rsid w:val="462D68F8"/>
    <w:rsid w:val="46365171"/>
    <w:rsid w:val="463910FE"/>
    <w:rsid w:val="463D635F"/>
    <w:rsid w:val="463E3955"/>
    <w:rsid w:val="464C401C"/>
    <w:rsid w:val="465462AC"/>
    <w:rsid w:val="4656481A"/>
    <w:rsid w:val="4657569D"/>
    <w:rsid w:val="465E3B66"/>
    <w:rsid w:val="4660637A"/>
    <w:rsid w:val="46626B54"/>
    <w:rsid w:val="4662722E"/>
    <w:rsid w:val="46634FB4"/>
    <w:rsid w:val="466C7967"/>
    <w:rsid w:val="467713D8"/>
    <w:rsid w:val="46810CF3"/>
    <w:rsid w:val="468329EC"/>
    <w:rsid w:val="469262E0"/>
    <w:rsid w:val="469578DB"/>
    <w:rsid w:val="469666BE"/>
    <w:rsid w:val="469E2742"/>
    <w:rsid w:val="46B14895"/>
    <w:rsid w:val="46B2303B"/>
    <w:rsid w:val="46BB61B2"/>
    <w:rsid w:val="46BF2938"/>
    <w:rsid w:val="46D656D2"/>
    <w:rsid w:val="46D9768F"/>
    <w:rsid w:val="46DB3BD8"/>
    <w:rsid w:val="46ED7793"/>
    <w:rsid w:val="46F252A5"/>
    <w:rsid w:val="46FB25E3"/>
    <w:rsid w:val="47051665"/>
    <w:rsid w:val="470D43E4"/>
    <w:rsid w:val="47193784"/>
    <w:rsid w:val="471F4881"/>
    <w:rsid w:val="47320DAF"/>
    <w:rsid w:val="473B38DE"/>
    <w:rsid w:val="473D3548"/>
    <w:rsid w:val="473E5372"/>
    <w:rsid w:val="47415077"/>
    <w:rsid w:val="474666F4"/>
    <w:rsid w:val="4751091F"/>
    <w:rsid w:val="47516ECC"/>
    <w:rsid w:val="475C457B"/>
    <w:rsid w:val="475D4193"/>
    <w:rsid w:val="476E1494"/>
    <w:rsid w:val="47753C5F"/>
    <w:rsid w:val="477E16DF"/>
    <w:rsid w:val="478420C7"/>
    <w:rsid w:val="47887CFA"/>
    <w:rsid w:val="478F2738"/>
    <w:rsid w:val="47941CB3"/>
    <w:rsid w:val="479619AF"/>
    <w:rsid w:val="479706AB"/>
    <w:rsid w:val="479C5F87"/>
    <w:rsid w:val="47A16850"/>
    <w:rsid w:val="47A230DD"/>
    <w:rsid w:val="47A67CEB"/>
    <w:rsid w:val="47B36588"/>
    <w:rsid w:val="47B77E98"/>
    <w:rsid w:val="47BA35DA"/>
    <w:rsid w:val="47BD6696"/>
    <w:rsid w:val="47C33E29"/>
    <w:rsid w:val="47C4399F"/>
    <w:rsid w:val="47CF22E3"/>
    <w:rsid w:val="47D50AAD"/>
    <w:rsid w:val="47E11D76"/>
    <w:rsid w:val="47E61DA0"/>
    <w:rsid w:val="47E718ED"/>
    <w:rsid w:val="47EE64D8"/>
    <w:rsid w:val="47FD1D71"/>
    <w:rsid w:val="480030F7"/>
    <w:rsid w:val="480A25DA"/>
    <w:rsid w:val="480B0939"/>
    <w:rsid w:val="480B7362"/>
    <w:rsid w:val="480C4D5D"/>
    <w:rsid w:val="480D24CB"/>
    <w:rsid w:val="480E59DF"/>
    <w:rsid w:val="48145750"/>
    <w:rsid w:val="48192193"/>
    <w:rsid w:val="4827629C"/>
    <w:rsid w:val="483574D5"/>
    <w:rsid w:val="483916A1"/>
    <w:rsid w:val="483A7D2A"/>
    <w:rsid w:val="483F35B6"/>
    <w:rsid w:val="48450FFC"/>
    <w:rsid w:val="48462AF3"/>
    <w:rsid w:val="48497833"/>
    <w:rsid w:val="484B4716"/>
    <w:rsid w:val="484E12FB"/>
    <w:rsid w:val="48522084"/>
    <w:rsid w:val="485A63F0"/>
    <w:rsid w:val="48612F64"/>
    <w:rsid w:val="486A3A30"/>
    <w:rsid w:val="48724C40"/>
    <w:rsid w:val="48746C25"/>
    <w:rsid w:val="487D1E4D"/>
    <w:rsid w:val="48861367"/>
    <w:rsid w:val="488A2FFB"/>
    <w:rsid w:val="488D2604"/>
    <w:rsid w:val="489A754F"/>
    <w:rsid w:val="489C79A6"/>
    <w:rsid w:val="48A064EE"/>
    <w:rsid w:val="48A34757"/>
    <w:rsid w:val="48AB3B38"/>
    <w:rsid w:val="48B14CE8"/>
    <w:rsid w:val="48B231E0"/>
    <w:rsid w:val="48B947C1"/>
    <w:rsid w:val="48BA2BEE"/>
    <w:rsid w:val="48BC19AD"/>
    <w:rsid w:val="48BE7DAB"/>
    <w:rsid w:val="48C3303A"/>
    <w:rsid w:val="48C76302"/>
    <w:rsid w:val="48D11305"/>
    <w:rsid w:val="48D46AB7"/>
    <w:rsid w:val="48DA49B6"/>
    <w:rsid w:val="48E40949"/>
    <w:rsid w:val="48E620EC"/>
    <w:rsid w:val="48EA4613"/>
    <w:rsid w:val="48EC5DFC"/>
    <w:rsid w:val="48EE4AB7"/>
    <w:rsid w:val="48F239D7"/>
    <w:rsid w:val="48FF32D3"/>
    <w:rsid w:val="48FF634B"/>
    <w:rsid w:val="49027FF5"/>
    <w:rsid w:val="490A0B34"/>
    <w:rsid w:val="49196BCD"/>
    <w:rsid w:val="491B6396"/>
    <w:rsid w:val="492D2EE7"/>
    <w:rsid w:val="49366354"/>
    <w:rsid w:val="49382127"/>
    <w:rsid w:val="493F59B4"/>
    <w:rsid w:val="49406D31"/>
    <w:rsid w:val="49432AEE"/>
    <w:rsid w:val="494601DF"/>
    <w:rsid w:val="494778F7"/>
    <w:rsid w:val="494873E8"/>
    <w:rsid w:val="494E4690"/>
    <w:rsid w:val="49505903"/>
    <w:rsid w:val="495B5162"/>
    <w:rsid w:val="495C3803"/>
    <w:rsid w:val="49671D9E"/>
    <w:rsid w:val="49681A6E"/>
    <w:rsid w:val="49704FE8"/>
    <w:rsid w:val="49751FCC"/>
    <w:rsid w:val="497572F3"/>
    <w:rsid w:val="49827FDF"/>
    <w:rsid w:val="498371AB"/>
    <w:rsid w:val="498A4512"/>
    <w:rsid w:val="498A7519"/>
    <w:rsid w:val="498C3C4E"/>
    <w:rsid w:val="498E2DBF"/>
    <w:rsid w:val="498E7B58"/>
    <w:rsid w:val="498F75E3"/>
    <w:rsid w:val="499750EE"/>
    <w:rsid w:val="4998025D"/>
    <w:rsid w:val="49A6121C"/>
    <w:rsid w:val="49B762B8"/>
    <w:rsid w:val="49B81400"/>
    <w:rsid w:val="49B945E3"/>
    <w:rsid w:val="49BC1A8A"/>
    <w:rsid w:val="49C72678"/>
    <w:rsid w:val="49D07780"/>
    <w:rsid w:val="49D2570C"/>
    <w:rsid w:val="49D92FD4"/>
    <w:rsid w:val="49F811E8"/>
    <w:rsid w:val="49FC3970"/>
    <w:rsid w:val="49FC66EF"/>
    <w:rsid w:val="49FD7FE6"/>
    <w:rsid w:val="4A056E8D"/>
    <w:rsid w:val="4A091B18"/>
    <w:rsid w:val="4A0F566D"/>
    <w:rsid w:val="4A120064"/>
    <w:rsid w:val="4A132DA0"/>
    <w:rsid w:val="4A1504A7"/>
    <w:rsid w:val="4A154DE4"/>
    <w:rsid w:val="4A1A45C6"/>
    <w:rsid w:val="4A1E34F9"/>
    <w:rsid w:val="4A1F1476"/>
    <w:rsid w:val="4A1F4B37"/>
    <w:rsid w:val="4A2101C3"/>
    <w:rsid w:val="4A23752F"/>
    <w:rsid w:val="4A283685"/>
    <w:rsid w:val="4A2F36D4"/>
    <w:rsid w:val="4A334790"/>
    <w:rsid w:val="4A363211"/>
    <w:rsid w:val="4A3E6EB2"/>
    <w:rsid w:val="4A3F4FF1"/>
    <w:rsid w:val="4A3F6C42"/>
    <w:rsid w:val="4A493DC7"/>
    <w:rsid w:val="4A5B7B91"/>
    <w:rsid w:val="4A63514F"/>
    <w:rsid w:val="4A74188F"/>
    <w:rsid w:val="4A804E08"/>
    <w:rsid w:val="4A816EFA"/>
    <w:rsid w:val="4A8D1F9A"/>
    <w:rsid w:val="4A974973"/>
    <w:rsid w:val="4A9A1ED4"/>
    <w:rsid w:val="4A9F1FDB"/>
    <w:rsid w:val="4AA03F84"/>
    <w:rsid w:val="4AA21142"/>
    <w:rsid w:val="4AA758E7"/>
    <w:rsid w:val="4AB1615E"/>
    <w:rsid w:val="4AB57399"/>
    <w:rsid w:val="4AB84FCE"/>
    <w:rsid w:val="4ABD2107"/>
    <w:rsid w:val="4AC07542"/>
    <w:rsid w:val="4ACD549C"/>
    <w:rsid w:val="4ADA3FD3"/>
    <w:rsid w:val="4AE30413"/>
    <w:rsid w:val="4AE40392"/>
    <w:rsid w:val="4AF20360"/>
    <w:rsid w:val="4B0730F5"/>
    <w:rsid w:val="4B176194"/>
    <w:rsid w:val="4B2C6918"/>
    <w:rsid w:val="4B2D3375"/>
    <w:rsid w:val="4B2E5D7B"/>
    <w:rsid w:val="4B3C1A03"/>
    <w:rsid w:val="4B3D5A60"/>
    <w:rsid w:val="4B491DF4"/>
    <w:rsid w:val="4B4F27DC"/>
    <w:rsid w:val="4B4F3C6D"/>
    <w:rsid w:val="4B504523"/>
    <w:rsid w:val="4B587D74"/>
    <w:rsid w:val="4B6313C1"/>
    <w:rsid w:val="4B675D57"/>
    <w:rsid w:val="4B6B7E2A"/>
    <w:rsid w:val="4B6E1DF9"/>
    <w:rsid w:val="4B707079"/>
    <w:rsid w:val="4B727C33"/>
    <w:rsid w:val="4B75353E"/>
    <w:rsid w:val="4B7555FB"/>
    <w:rsid w:val="4B7F36A9"/>
    <w:rsid w:val="4B833CE0"/>
    <w:rsid w:val="4B907142"/>
    <w:rsid w:val="4B96004A"/>
    <w:rsid w:val="4B9A4251"/>
    <w:rsid w:val="4B9A5D3D"/>
    <w:rsid w:val="4B9D67DD"/>
    <w:rsid w:val="4BA2077F"/>
    <w:rsid w:val="4BA27384"/>
    <w:rsid w:val="4BA91104"/>
    <w:rsid w:val="4BB367BD"/>
    <w:rsid w:val="4BBA72F2"/>
    <w:rsid w:val="4BBB57D7"/>
    <w:rsid w:val="4BBD34A5"/>
    <w:rsid w:val="4BBF5F67"/>
    <w:rsid w:val="4BC45C25"/>
    <w:rsid w:val="4BC52CFC"/>
    <w:rsid w:val="4BCF027F"/>
    <w:rsid w:val="4BEA4B08"/>
    <w:rsid w:val="4BF078DC"/>
    <w:rsid w:val="4BF91590"/>
    <w:rsid w:val="4C023DEB"/>
    <w:rsid w:val="4C0D1C0D"/>
    <w:rsid w:val="4C1C7358"/>
    <w:rsid w:val="4C2222A3"/>
    <w:rsid w:val="4C2666C9"/>
    <w:rsid w:val="4C274CCF"/>
    <w:rsid w:val="4C2F2D72"/>
    <w:rsid w:val="4C3907B8"/>
    <w:rsid w:val="4C3F532E"/>
    <w:rsid w:val="4C413437"/>
    <w:rsid w:val="4C4F3829"/>
    <w:rsid w:val="4C514AB0"/>
    <w:rsid w:val="4C515175"/>
    <w:rsid w:val="4C5F4F76"/>
    <w:rsid w:val="4C673AE9"/>
    <w:rsid w:val="4C6A30EE"/>
    <w:rsid w:val="4C7703F1"/>
    <w:rsid w:val="4C7B3532"/>
    <w:rsid w:val="4C7D0D26"/>
    <w:rsid w:val="4C803365"/>
    <w:rsid w:val="4C9017BB"/>
    <w:rsid w:val="4C9524B2"/>
    <w:rsid w:val="4C9F05C9"/>
    <w:rsid w:val="4CB25925"/>
    <w:rsid w:val="4CB65DDE"/>
    <w:rsid w:val="4CBA65F5"/>
    <w:rsid w:val="4CC13CD4"/>
    <w:rsid w:val="4CC17777"/>
    <w:rsid w:val="4CC96EFC"/>
    <w:rsid w:val="4CCA6965"/>
    <w:rsid w:val="4CE47B90"/>
    <w:rsid w:val="4CE76CAF"/>
    <w:rsid w:val="4CEA7517"/>
    <w:rsid w:val="4CF2471A"/>
    <w:rsid w:val="4CF43B3E"/>
    <w:rsid w:val="4CF53FE9"/>
    <w:rsid w:val="4D022FD4"/>
    <w:rsid w:val="4D030FDC"/>
    <w:rsid w:val="4D0A4F45"/>
    <w:rsid w:val="4D0B42E6"/>
    <w:rsid w:val="4D0D20FB"/>
    <w:rsid w:val="4D173836"/>
    <w:rsid w:val="4D1C712C"/>
    <w:rsid w:val="4D2E22CD"/>
    <w:rsid w:val="4D342E18"/>
    <w:rsid w:val="4D342F11"/>
    <w:rsid w:val="4D390529"/>
    <w:rsid w:val="4D3F07B3"/>
    <w:rsid w:val="4D464BEC"/>
    <w:rsid w:val="4D464C85"/>
    <w:rsid w:val="4D4E1974"/>
    <w:rsid w:val="4D5358C0"/>
    <w:rsid w:val="4D602512"/>
    <w:rsid w:val="4D773A21"/>
    <w:rsid w:val="4D7B6425"/>
    <w:rsid w:val="4D893E42"/>
    <w:rsid w:val="4D8B2F3F"/>
    <w:rsid w:val="4D8D2A95"/>
    <w:rsid w:val="4D931991"/>
    <w:rsid w:val="4D9F1C23"/>
    <w:rsid w:val="4DA6098E"/>
    <w:rsid w:val="4DA96E0E"/>
    <w:rsid w:val="4DAD4929"/>
    <w:rsid w:val="4DB43883"/>
    <w:rsid w:val="4DB94B53"/>
    <w:rsid w:val="4DD10B7D"/>
    <w:rsid w:val="4DD23619"/>
    <w:rsid w:val="4DD26C5C"/>
    <w:rsid w:val="4DD43B9B"/>
    <w:rsid w:val="4DD52263"/>
    <w:rsid w:val="4DD84CD9"/>
    <w:rsid w:val="4DE562E7"/>
    <w:rsid w:val="4DEA54F5"/>
    <w:rsid w:val="4DFF2F3D"/>
    <w:rsid w:val="4E023A47"/>
    <w:rsid w:val="4E06404A"/>
    <w:rsid w:val="4E0F6566"/>
    <w:rsid w:val="4E141D51"/>
    <w:rsid w:val="4E2B67E6"/>
    <w:rsid w:val="4E2B7C03"/>
    <w:rsid w:val="4E3721D1"/>
    <w:rsid w:val="4E3730EB"/>
    <w:rsid w:val="4E376E28"/>
    <w:rsid w:val="4E3C36DC"/>
    <w:rsid w:val="4E3E6838"/>
    <w:rsid w:val="4E4C6AAF"/>
    <w:rsid w:val="4E4D3E92"/>
    <w:rsid w:val="4E625320"/>
    <w:rsid w:val="4E65636C"/>
    <w:rsid w:val="4E76218C"/>
    <w:rsid w:val="4E7B3C92"/>
    <w:rsid w:val="4E7E0E9C"/>
    <w:rsid w:val="4E8D0AF9"/>
    <w:rsid w:val="4E8E5EC5"/>
    <w:rsid w:val="4E911A65"/>
    <w:rsid w:val="4EA32200"/>
    <w:rsid w:val="4EB213EC"/>
    <w:rsid w:val="4ECF2D40"/>
    <w:rsid w:val="4ED77048"/>
    <w:rsid w:val="4EED3276"/>
    <w:rsid w:val="4EEF688D"/>
    <w:rsid w:val="4EF33944"/>
    <w:rsid w:val="4EF67B98"/>
    <w:rsid w:val="4EFD709B"/>
    <w:rsid w:val="4F03129B"/>
    <w:rsid w:val="4F03428B"/>
    <w:rsid w:val="4F12621E"/>
    <w:rsid w:val="4F134C20"/>
    <w:rsid w:val="4F161898"/>
    <w:rsid w:val="4F165040"/>
    <w:rsid w:val="4F1B70AF"/>
    <w:rsid w:val="4F1C75FD"/>
    <w:rsid w:val="4F2F6A7D"/>
    <w:rsid w:val="4F312CC2"/>
    <w:rsid w:val="4F325A22"/>
    <w:rsid w:val="4F3E1C46"/>
    <w:rsid w:val="4F4228C5"/>
    <w:rsid w:val="4F43376F"/>
    <w:rsid w:val="4F474D68"/>
    <w:rsid w:val="4F4A4F03"/>
    <w:rsid w:val="4F4A7266"/>
    <w:rsid w:val="4F510301"/>
    <w:rsid w:val="4F574E4D"/>
    <w:rsid w:val="4F5A109B"/>
    <w:rsid w:val="4F657C40"/>
    <w:rsid w:val="4F684736"/>
    <w:rsid w:val="4F6D4457"/>
    <w:rsid w:val="4F6F56E9"/>
    <w:rsid w:val="4F7A6DE5"/>
    <w:rsid w:val="4F8646AF"/>
    <w:rsid w:val="4F904AC4"/>
    <w:rsid w:val="4F905828"/>
    <w:rsid w:val="4F9B7335"/>
    <w:rsid w:val="4FA93305"/>
    <w:rsid w:val="4FAC35B1"/>
    <w:rsid w:val="4FB93028"/>
    <w:rsid w:val="4FBE14A7"/>
    <w:rsid w:val="4FBF7A5A"/>
    <w:rsid w:val="4FD61342"/>
    <w:rsid w:val="4FE15A89"/>
    <w:rsid w:val="4FF315D0"/>
    <w:rsid w:val="4FF61796"/>
    <w:rsid w:val="4FF816D8"/>
    <w:rsid w:val="4FFC6D59"/>
    <w:rsid w:val="50036B93"/>
    <w:rsid w:val="500540C8"/>
    <w:rsid w:val="501224B5"/>
    <w:rsid w:val="5015165A"/>
    <w:rsid w:val="50180014"/>
    <w:rsid w:val="501970EE"/>
    <w:rsid w:val="501A5599"/>
    <w:rsid w:val="50336911"/>
    <w:rsid w:val="50396341"/>
    <w:rsid w:val="5049020D"/>
    <w:rsid w:val="504A1EEF"/>
    <w:rsid w:val="504B0E66"/>
    <w:rsid w:val="505A5391"/>
    <w:rsid w:val="50601A53"/>
    <w:rsid w:val="506C1817"/>
    <w:rsid w:val="507170C0"/>
    <w:rsid w:val="50733E5C"/>
    <w:rsid w:val="50776739"/>
    <w:rsid w:val="50796E38"/>
    <w:rsid w:val="508351E5"/>
    <w:rsid w:val="508442AC"/>
    <w:rsid w:val="50880A32"/>
    <w:rsid w:val="508B7002"/>
    <w:rsid w:val="508C00AE"/>
    <w:rsid w:val="509147AC"/>
    <w:rsid w:val="50950B05"/>
    <w:rsid w:val="50975898"/>
    <w:rsid w:val="50A2452B"/>
    <w:rsid w:val="50A27DAE"/>
    <w:rsid w:val="50B82B08"/>
    <w:rsid w:val="50B90725"/>
    <w:rsid w:val="50C51FC8"/>
    <w:rsid w:val="50E92B2D"/>
    <w:rsid w:val="50EA76E8"/>
    <w:rsid w:val="50F86A25"/>
    <w:rsid w:val="510551BD"/>
    <w:rsid w:val="510E48ED"/>
    <w:rsid w:val="511834DD"/>
    <w:rsid w:val="51194BBB"/>
    <w:rsid w:val="51197BF2"/>
    <w:rsid w:val="512C05B2"/>
    <w:rsid w:val="51393891"/>
    <w:rsid w:val="513D4102"/>
    <w:rsid w:val="5143490B"/>
    <w:rsid w:val="51442261"/>
    <w:rsid w:val="51444B57"/>
    <w:rsid w:val="514F71EF"/>
    <w:rsid w:val="5158693D"/>
    <w:rsid w:val="515A5150"/>
    <w:rsid w:val="516373D3"/>
    <w:rsid w:val="51673A50"/>
    <w:rsid w:val="516A6581"/>
    <w:rsid w:val="516F0133"/>
    <w:rsid w:val="517650C4"/>
    <w:rsid w:val="51785652"/>
    <w:rsid w:val="518400BA"/>
    <w:rsid w:val="51843E07"/>
    <w:rsid w:val="519527C9"/>
    <w:rsid w:val="5197761E"/>
    <w:rsid w:val="519779CB"/>
    <w:rsid w:val="519F65F5"/>
    <w:rsid w:val="51A70691"/>
    <w:rsid w:val="51AE5A89"/>
    <w:rsid w:val="51B43158"/>
    <w:rsid w:val="51B90325"/>
    <w:rsid w:val="51BA09AC"/>
    <w:rsid w:val="51BB3319"/>
    <w:rsid w:val="51BC697E"/>
    <w:rsid w:val="51BD7B94"/>
    <w:rsid w:val="51BF3B53"/>
    <w:rsid w:val="51C71464"/>
    <w:rsid w:val="51CE6781"/>
    <w:rsid w:val="51E31709"/>
    <w:rsid w:val="51EF0143"/>
    <w:rsid w:val="51F17B51"/>
    <w:rsid w:val="51F20A37"/>
    <w:rsid w:val="51F749B8"/>
    <w:rsid w:val="51F85CA4"/>
    <w:rsid w:val="51F97728"/>
    <w:rsid w:val="51FF0F6A"/>
    <w:rsid w:val="5201391C"/>
    <w:rsid w:val="52015853"/>
    <w:rsid w:val="5205311E"/>
    <w:rsid w:val="52063A13"/>
    <w:rsid w:val="520F6737"/>
    <w:rsid w:val="5211506E"/>
    <w:rsid w:val="52136B69"/>
    <w:rsid w:val="521439B0"/>
    <w:rsid w:val="52224815"/>
    <w:rsid w:val="522803BE"/>
    <w:rsid w:val="52297756"/>
    <w:rsid w:val="522A5BC8"/>
    <w:rsid w:val="522C21A6"/>
    <w:rsid w:val="52385635"/>
    <w:rsid w:val="523A21A1"/>
    <w:rsid w:val="52457098"/>
    <w:rsid w:val="52460EBE"/>
    <w:rsid w:val="5246583C"/>
    <w:rsid w:val="52494A39"/>
    <w:rsid w:val="52496E92"/>
    <w:rsid w:val="524A5A67"/>
    <w:rsid w:val="52512987"/>
    <w:rsid w:val="52647B1D"/>
    <w:rsid w:val="52671A80"/>
    <w:rsid w:val="526928F5"/>
    <w:rsid w:val="526F3FF9"/>
    <w:rsid w:val="526F481C"/>
    <w:rsid w:val="52717899"/>
    <w:rsid w:val="527F003C"/>
    <w:rsid w:val="528B318C"/>
    <w:rsid w:val="528E71C5"/>
    <w:rsid w:val="52A40721"/>
    <w:rsid w:val="52A61DE3"/>
    <w:rsid w:val="52B23D43"/>
    <w:rsid w:val="52B372CB"/>
    <w:rsid w:val="52B5390B"/>
    <w:rsid w:val="52C05F62"/>
    <w:rsid w:val="52C12A59"/>
    <w:rsid w:val="52C51C33"/>
    <w:rsid w:val="52CA7D94"/>
    <w:rsid w:val="52D96076"/>
    <w:rsid w:val="52DB1021"/>
    <w:rsid w:val="52E14433"/>
    <w:rsid w:val="52E56BE6"/>
    <w:rsid w:val="52FA3B09"/>
    <w:rsid w:val="53012BC3"/>
    <w:rsid w:val="530307D3"/>
    <w:rsid w:val="53104949"/>
    <w:rsid w:val="5316136A"/>
    <w:rsid w:val="531D0CE6"/>
    <w:rsid w:val="531E2462"/>
    <w:rsid w:val="53216876"/>
    <w:rsid w:val="53255B38"/>
    <w:rsid w:val="53276B9F"/>
    <w:rsid w:val="53320F3F"/>
    <w:rsid w:val="533D006E"/>
    <w:rsid w:val="533D2145"/>
    <w:rsid w:val="533D65A0"/>
    <w:rsid w:val="53533C52"/>
    <w:rsid w:val="535457C5"/>
    <w:rsid w:val="535640D4"/>
    <w:rsid w:val="53571C34"/>
    <w:rsid w:val="53586FBE"/>
    <w:rsid w:val="53593C37"/>
    <w:rsid w:val="536A08BF"/>
    <w:rsid w:val="537422DB"/>
    <w:rsid w:val="53762FCF"/>
    <w:rsid w:val="53786A33"/>
    <w:rsid w:val="537A5699"/>
    <w:rsid w:val="537A5C15"/>
    <w:rsid w:val="537D18EE"/>
    <w:rsid w:val="537F181E"/>
    <w:rsid w:val="53803E36"/>
    <w:rsid w:val="538527D2"/>
    <w:rsid w:val="538C092B"/>
    <w:rsid w:val="53900404"/>
    <w:rsid w:val="53907F06"/>
    <w:rsid w:val="53991930"/>
    <w:rsid w:val="539E0EFF"/>
    <w:rsid w:val="53A0696A"/>
    <w:rsid w:val="53A71C1E"/>
    <w:rsid w:val="53AE5DAB"/>
    <w:rsid w:val="53B64364"/>
    <w:rsid w:val="53BA775D"/>
    <w:rsid w:val="53BE1251"/>
    <w:rsid w:val="53C61EB7"/>
    <w:rsid w:val="53C71A57"/>
    <w:rsid w:val="53C932E7"/>
    <w:rsid w:val="53CA4B05"/>
    <w:rsid w:val="53E44931"/>
    <w:rsid w:val="53E81A58"/>
    <w:rsid w:val="540B2357"/>
    <w:rsid w:val="540B6D84"/>
    <w:rsid w:val="542124C6"/>
    <w:rsid w:val="542A7364"/>
    <w:rsid w:val="54344287"/>
    <w:rsid w:val="543573E3"/>
    <w:rsid w:val="54362B86"/>
    <w:rsid w:val="543E2B1F"/>
    <w:rsid w:val="544E621D"/>
    <w:rsid w:val="54561479"/>
    <w:rsid w:val="545C0F2B"/>
    <w:rsid w:val="545D78AC"/>
    <w:rsid w:val="546306FF"/>
    <w:rsid w:val="54675ED0"/>
    <w:rsid w:val="547024FD"/>
    <w:rsid w:val="547F09E4"/>
    <w:rsid w:val="548B271E"/>
    <w:rsid w:val="548C648B"/>
    <w:rsid w:val="549F119E"/>
    <w:rsid w:val="54A56AD1"/>
    <w:rsid w:val="54AB02F0"/>
    <w:rsid w:val="54AE3AE4"/>
    <w:rsid w:val="54B54AF1"/>
    <w:rsid w:val="54BB7B40"/>
    <w:rsid w:val="54C627F7"/>
    <w:rsid w:val="54C90A6E"/>
    <w:rsid w:val="54D15F9C"/>
    <w:rsid w:val="54E261AE"/>
    <w:rsid w:val="54E84AE2"/>
    <w:rsid w:val="54E96A05"/>
    <w:rsid w:val="54EF0E63"/>
    <w:rsid w:val="54F36D1E"/>
    <w:rsid w:val="54FB6BB9"/>
    <w:rsid w:val="54FD705C"/>
    <w:rsid w:val="55114735"/>
    <w:rsid w:val="551156A7"/>
    <w:rsid w:val="55175E42"/>
    <w:rsid w:val="551D63C6"/>
    <w:rsid w:val="551D6BB2"/>
    <w:rsid w:val="55235DF0"/>
    <w:rsid w:val="552A03F7"/>
    <w:rsid w:val="552F3D8F"/>
    <w:rsid w:val="55397E30"/>
    <w:rsid w:val="5550758B"/>
    <w:rsid w:val="555663F6"/>
    <w:rsid w:val="556224F9"/>
    <w:rsid w:val="55646F27"/>
    <w:rsid w:val="556F556B"/>
    <w:rsid w:val="55716CB8"/>
    <w:rsid w:val="55722223"/>
    <w:rsid w:val="55722CBC"/>
    <w:rsid w:val="557B43D7"/>
    <w:rsid w:val="557E4B6C"/>
    <w:rsid w:val="55840CA9"/>
    <w:rsid w:val="55861217"/>
    <w:rsid w:val="5589463C"/>
    <w:rsid w:val="558A42D2"/>
    <w:rsid w:val="558A495E"/>
    <w:rsid w:val="55915C8A"/>
    <w:rsid w:val="55955FFA"/>
    <w:rsid w:val="559F20B1"/>
    <w:rsid w:val="55A23057"/>
    <w:rsid w:val="55A41A14"/>
    <w:rsid w:val="55B0570B"/>
    <w:rsid w:val="55BB627C"/>
    <w:rsid w:val="55C30F63"/>
    <w:rsid w:val="55CC6D5C"/>
    <w:rsid w:val="55CD3D4A"/>
    <w:rsid w:val="55CD6B3A"/>
    <w:rsid w:val="55CF39A6"/>
    <w:rsid w:val="55D71CBA"/>
    <w:rsid w:val="55D90C92"/>
    <w:rsid w:val="55DC535C"/>
    <w:rsid w:val="55EA3C40"/>
    <w:rsid w:val="55EC1B07"/>
    <w:rsid w:val="55F41709"/>
    <w:rsid w:val="56020448"/>
    <w:rsid w:val="561077B7"/>
    <w:rsid w:val="56172E35"/>
    <w:rsid w:val="561A7CFD"/>
    <w:rsid w:val="561B1DA2"/>
    <w:rsid w:val="56242BC1"/>
    <w:rsid w:val="563109EB"/>
    <w:rsid w:val="563372C2"/>
    <w:rsid w:val="5637118D"/>
    <w:rsid w:val="56415169"/>
    <w:rsid w:val="56453627"/>
    <w:rsid w:val="56523225"/>
    <w:rsid w:val="56534B39"/>
    <w:rsid w:val="56565224"/>
    <w:rsid w:val="565D028E"/>
    <w:rsid w:val="56611FDE"/>
    <w:rsid w:val="5661206A"/>
    <w:rsid w:val="5665010B"/>
    <w:rsid w:val="566C6E2C"/>
    <w:rsid w:val="56724C6A"/>
    <w:rsid w:val="56760DC5"/>
    <w:rsid w:val="568A7CB8"/>
    <w:rsid w:val="569D44AF"/>
    <w:rsid w:val="56A250E2"/>
    <w:rsid w:val="56A803BD"/>
    <w:rsid w:val="56BB68C6"/>
    <w:rsid w:val="56BF0DC6"/>
    <w:rsid w:val="56CE7EC3"/>
    <w:rsid w:val="56D309C8"/>
    <w:rsid w:val="56D7206E"/>
    <w:rsid w:val="56E06AE2"/>
    <w:rsid w:val="56F3769D"/>
    <w:rsid w:val="56FA1552"/>
    <w:rsid w:val="57002D7E"/>
    <w:rsid w:val="57050DF4"/>
    <w:rsid w:val="570741E0"/>
    <w:rsid w:val="570C6368"/>
    <w:rsid w:val="57185C2D"/>
    <w:rsid w:val="571F7152"/>
    <w:rsid w:val="57210516"/>
    <w:rsid w:val="572F0DE3"/>
    <w:rsid w:val="572F3899"/>
    <w:rsid w:val="573758F9"/>
    <w:rsid w:val="5738684C"/>
    <w:rsid w:val="573949D9"/>
    <w:rsid w:val="5740344E"/>
    <w:rsid w:val="57443FBB"/>
    <w:rsid w:val="57482502"/>
    <w:rsid w:val="5748605A"/>
    <w:rsid w:val="575164F2"/>
    <w:rsid w:val="575914B0"/>
    <w:rsid w:val="575A6EB9"/>
    <w:rsid w:val="575F1464"/>
    <w:rsid w:val="576342DE"/>
    <w:rsid w:val="576962B6"/>
    <w:rsid w:val="576C7ECD"/>
    <w:rsid w:val="577E1637"/>
    <w:rsid w:val="57804FC4"/>
    <w:rsid w:val="578349AB"/>
    <w:rsid w:val="578C14D6"/>
    <w:rsid w:val="578D578A"/>
    <w:rsid w:val="578E54B2"/>
    <w:rsid w:val="579A6B05"/>
    <w:rsid w:val="579B4880"/>
    <w:rsid w:val="579D59A9"/>
    <w:rsid w:val="579F2944"/>
    <w:rsid w:val="57A351F2"/>
    <w:rsid w:val="57B0513B"/>
    <w:rsid w:val="57B41BCD"/>
    <w:rsid w:val="57C05E3C"/>
    <w:rsid w:val="57C21E00"/>
    <w:rsid w:val="57C27CF4"/>
    <w:rsid w:val="57DB6C29"/>
    <w:rsid w:val="57DC422A"/>
    <w:rsid w:val="57E14772"/>
    <w:rsid w:val="57E319A7"/>
    <w:rsid w:val="57EA022C"/>
    <w:rsid w:val="57EF2B21"/>
    <w:rsid w:val="57FE716D"/>
    <w:rsid w:val="58003A97"/>
    <w:rsid w:val="5806750B"/>
    <w:rsid w:val="580904A1"/>
    <w:rsid w:val="580B13C0"/>
    <w:rsid w:val="580C7B7F"/>
    <w:rsid w:val="5816674F"/>
    <w:rsid w:val="582203DB"/>
    <w:rsid w:val="582227FA"/>
    <w:rsid w:val="582E4239"/>
    <w:rsid w:val="582F5A7B"/>
    <w:rsid w:val="58301C2B"/>
    <w:rsid w:val="58314726"/>
    <w:rsid w:val="583A7BDA"/>
    <w:rsid w:val="585544FC"/>
    <w:rsid w:val="585B53FD"/>
    <w:rsid w:val="585D7CAB"/>
    <w:rsid w:val="585E543E"/>
    <w:rsid w:val="5861579E"/>
    <w:rsid w:val="58643C4C"/>
    <w:rsid w:val="58645812"/>
    <w:rsid w:val="58836118"/>
    <w:rsid w:val="58897900"/>
    <w:rsid w:val="58980733"/>
    <w:rsid w:val="58A71C3C"/>
    <w:rsid w:val="58A75710"/>
    <w:rsid w:val="58A92667"/>
    <w:rsid w:val="58AE65A8"/>
    <w:rsid w:val="58B645D1"/>
    <w:rsid w:val="58B767B1"/>
    <w:rsid w:val="58BA1F0A"/>
    <w:rsid w:val="58BC5986"/>
    <w:rsid w:val="58BF178B"/>
    <w:rsid w:val="58C62F4E"/>
    <w:rsid w:val="58CA132A"/>
    <w:rsid w:val="58D060B6"/>
    <w:rsid w:val="58D77A00"/>
    <w:rsid w:val="58E1122D"/>
    <w:rsid w:val="58E81FCB"/>
    <w:rsid w:val="58F34826"/>
    <w:rsid w:val="58F83FFC"/>
    <w:rsid w:val="58FB222B"/>
    <w:rsid w:val="590D077D"/>
    <w:rsid w:val="591A19A8"/>
    <w:rsid w:val="591C0CF3"/>
    <w:rsid w:val="59222001"/>
    <w:rsid w:val="59246E7D"/>
    <w:rsid w:val="59285D61"/>
    <w:rsid w:val="592B3C43"/>
    <w:rsid w:val="592F1B41"/>
    <w:rsid w:val="59325D58"/>
    <w:rsid w:val="593A428E"/>
    <w:rsid w:val="593B26DA"/>
    <w:rsid w:val="5958110C"/>
    <w:rsid w:val="59583018"/>
    <w:rsid w:val="595D0899"/>
    <w:rsid w:val="5962251B"/>
    <w:rsid w:val="59666958"/>
    <w:rsid w:val="59677FEA"/>
    <w:rsid w:val="59684DE1"/>
    <w:rsid w:val="596A090C"/>
    <w:rsid w:val="596F017F"/>
    <w:rsid w:val="59810A7A"/>
    <w:rsid w:val="598E65ED"/>
    <w:rsid w:val="598F1FBF"/>
    <w:rsid w:val="59931EE2"/>
    <w:rsid w:val="59935AF1"/>
    <w:rsid w:val="59984CAD"/>
    <w:rsid w:val="599E3FB0"/>
    <w:rsid w:val="59A2004F"/>
    <w:rsid w:val="59B050F5"/>
    <w:rsid w:val="59B43EA0"/>
    <w:rsid w:val="59B70E2D"/>
    <w:rsid w:val="59B9383C"/>
    <w:rsid w:val="59C05EF6"/>
    <w:rsid w:val="59C2180C"/>
    <w:rsid w:val="59C855B8"/>
    <w:rsid w:val="59C97B29"/>
    <w:rsid w:val="59D05143"/>
    <w:rsid w:val="59D06600"/>
    <w:rsid w:val="59D30EF8"/>
    <w:rsid w:val="59DC3B8B"/>
    <w:rsid w:val="59EC235D"/>
    <w:rsid w:val="59F15B2A"/>
    <w:rsid w:val="59F60DFA"/>
    <w:rsid w:val="59FC3690"/>
    <w:rsid w:val="5A015A2B"/>
    <w:rsid w:val="5A051148"/>
    <w:rsid w:val="5A182C3F"/>
    <w:rsid w:val="5A1A481E"/>
    <w:rsid w:val="5A210D67"/>
    <w:rsid w:val="5A343CD6"/>
    <w:rsid w:val="5A374CE9"/>
    <w:rsid w:val="5A3B6E44"/>
    <w:rsid w:val="5A432AF9"/>
    <w:rsid w:val="5A492E66"/>
    <w:rsid w:val="5A520DCF"/>
    <w:rsid w:val="5A5E4867"/>
    <w:rsid w:val="5A602CAA"/>
    <w:rsid w:val="5A6142AA"/>
    <w:rsid w:val="5A6409ED"/>
    <w:rsid w:val="5A6660F9"/>
    <w:rsid w:val="5A6F6867"/>
    <w:rsid w:val="5A723A12"/>
    <w:rsid w:val="5A75664B"/>
    <w:rsid w:val="5A7C7B7F"/>
    <w:rsid w:val="5A910135"/>
    <w:rsid w:val="5A92673A"/>
    <w:rsid w:val="5A943D66"/>
    <w:rsid w:val="5A951669"/>
    <w:rsid w:val="5A9A2CF0"/>
    <w:rsid w:val="5A9E7129"/>
    <w:rsid w:val="5AA35733"/>
    <w:rsid w:val="5AA77730"/>
    <w:rsid w:val="5AAF491E"/>
    <w:rsid w:val="5AB0432D"/>
    <w:rsid w:val="5ABA5509"/>
    <w:rsid w:val="5ABB70D7"/>
    <w:rsid w:val="5ACC134B"/>
    <w:rsid w:val="5AD455EA"/>
    <w:rsid w:val="5AD55498"/>
    <w:rsid w:val="5AE46B19"/>
    <w:rsid w:val="5AEB3890"/>
    <w:rsid w:val="5AF1270E"/>
    <w:rsid w:val="5AFC450D"/>
    <w:rsid w:val="5AFF3951"/>
    <w:rsid w:val="5B022E3B"/>
    <w:rsid w:val="5B0D0F43"/>
    <w:rsid w:val="5B127ADF"/>
    <w:rsid w:val="5B130EC7"/>
    <w:rsid w:val="5B1B6BE0"/>
    <w:rsid w:val="5B1F20E4"/>
    <w:rsid w:val="5B2771F1"/>
    <w:rsid w:val="5B2C647E"/>
    <w:rsid w:val="5B3104AA"/>
    <w:rsid w:val="5B317F1E"/>
    <w:rsid w:val="5B325957"/>
    <w:rsid w:val="5B45082F"/>
    <w:rsid w:val="5B472D4A"/>
    <w:rsid w:val="5B5D1BC3"/>
    <w:rsid w:val="5B621D34"/>
    <w:rsid w:val="5B684DD2"/>
    <w:rsid w:val="5B6E019A"/>
    <w:rsid w:val="5B6F0D87"/>
    <w:rsid w:val="5B746209"/>
    <w:rsid w:val="5B757887"/>
    <w:rsid w:val="5B815F5A"/>
    <w:rsid w:val="5B8367CD"/>
    <w:rsid w:val="5B847F65"/>
    <w:rsid w:val="5B8741E6"/>
    <w:rsid w:val="5B8C5773"/>
    <w:rsid w:val="5B92799F"/>
    <w:rsid w:val="5B945285"/>
    <w:rsid w:val="5B9A48F4"/>
    <w:rsid w:val="5BA20C13"/>
    <w:rsid w:val="5BA50EC6"/>
    <w:rsid w:val="5BA54550"/>
    <w:rsid w:val="5BA65B72"/>
    <w:rsid w:val="5BAC741B"/>
    <w:rsid w:val="5BB30E54"/>
    <w:rsid w:val="5BB63FEF"/>
    <w:rsid w:val="5BB95461"/>
    <w:rsid w:val="5BBC12D7"/>
    <w:rsid w:val="5BBD0C46"/>
    <w:rsid w:val="5BC0479D"/>
    <w:rsid w:val="5BC72186"/>
    <w:rsid w:val="5BCC3063"/>
    <w:rsid w:val="5BD4158B"/>
    <w:rsid w:val="5BDA416B"/>
    <w:rsid w:val="5BE225BA"/>
    <w:rsid w:val="5BE54584"/>
    <w:rsid w:val="5BE6140C"/>
    <w:rsid w:val="5BE819F1"/>
    <w:rsid w:val="5BE86500"/>
    <w:rsid w:val="5BE96D0D"/>
    <w:rsid w:val="5BF17C3E"/>
    <w:rsid w:val="5BF37BDD"/>
    <w:rsid w:val="5BF37F43"/>
    <w:rsid w:val="5BF91B39"/>
    <w:rsid w:val="5BFB6668"/>
    <w:rsid w:val="5C07435F"/>
    <w:rsid w:val="5C14382A"/>
    <w:rsid w:val="5C1E1C75"/>
    <w:rsid w:val="5C293625"/>
    <w:rsid w:val="5C315D2A"/>
    <w:rsid w:val="5C402293"/>
    <w:rsid w:val="5C417C44"/>
    <w:rsid w:val="5C4321EF"/>
    <w:rsid w:val="5C4417D5"/>
    <w:rsid w:val="5C455339"/>
    <w:rsid w:val="5C491D05"/>
    <w:rsid w:val="5C4F38A5"/>
    <w:rsid w:val="5C500B9A"/>
    <w:rsid w:val="5C5279D2"/>
    <w:rsid w:val="5C5960E5"/>
    <w:rsid w:val="5C727ACE"/>
    <w:rsid w:val="5C753F28"/>
    <w:rsid w:val="5C9B5E29"/>
    <w:rsid w:val="5CA83807"/>
    <w:rsid w:val="5CB16C78"/>
    <w:rsid w:val="5CB411E3"/>
    <w:rsid w:val="5CB55E76"/>
    <w:rsid w:val="5CBA3CF8"/>
    <w:rsid w:val="5CBA7639"/>
    <w:rsid w:val="5CBB560D"/>
    <w:rsid w:val="5CC85936"/>
    <w:rsid w:val="5CD173EE"/>
    <w:rsid w:val="5CDB0A35"/>
    <w:rsid w:val="5CDF0C9A"/>
    <w:rsid w:val="5CEA0326"/>
    <w:rsid w:val="5CEF05CF"/>
    <w:rsid w:val="5CF51476"/>
    <w:rsid w:val="5D057DC0"/>
    <w:rsid w:val="5D0A2C47"/>
    <w:rsid w:val="5D0F0847"/>
    <w:rsid w:val="5D145576"/>
    <w:rsid w:val="5D1B0AA8"/>
    <w:rsid w:val="5D20475E"/>
    <w:rsid w:val="5D243FE2"/>
    <w:rsid w:val="5D2F5E48"/>
    <w:rsid w:val="5D3114AF"/>
    <w:rsid w:val="5D3A2A4B"/>
    <w:rsid w:val="5D3C5AA3"/>
    <w:rsid w:val="5D422E06"/>
    <w:rsid w:val="5D44476D"/>
    <w:rsid w:val="5D500812"/>
    <w:rsid w:val="5D582E62"/>
    <w:rsid w:val="5D5F56E9"/>
    <w:rsid w:val="5D65193E"/>
    <w:rsid w:val="5D7647F1"/>
    <w:rsid w:val="5D78126D"/>
    <w:rsid w:val="5D7B6F53"/>
    <w:rsid w:val="5D8F4551"/>
    <w:rsid w:val="5D945FA3"/>
    <w:rsid w:val="5D9548B3"/>
    <w:rsid w:val="5D9B186F"/>
    <w:rsid w:val="5D9E23B9"/>
    <w:rsid w:val="5DA24354"/>
    <w:rsid w:val="5DA2608D"/>
    <w:rsid w:val="5DAD0593"/>
    <w:rsid w:val="5DB17476"/>
    <w:rsid w:val="5DB7085A"/>
    <w:rsid w:val="5DBB6514"/>
    <w:rsid w:val="5DC01B4D"/>
    <w:rsid w:val="5DCE615B"/>
    <w:rsid w:val="5DDE16F3"/>
    <w:rsid w:val="5DDF00C9"/>
    <w:rsid w:val="5DE00B37"/>
    <w:rsid w:val="5DE66F16"/>
    <w:rsid w:val="5DEF7A47"/>
    <w:rsid w:val="5DF17F4E"/>
    <w:rsid w:val="5DF42138"/>
    <w:rsid w:val="5E026FA2"/>
    <w:rsid w:val="5E090EB7"/>
    <w:rsid w:val="5E0D021B"/>
    <w:rsid w:val="5E0F40DD"/>
    <w:rsid w:val="5E232DA3"/>
    <w:rsid w:val="5E276724"/>
    <w:rsid w:val="5E2A6DCD"/>
    <w:rsid w:val="5E2F3915"/>
    <w:rsid w:val="5E312183"/>
    <w:rsid w:val="5E332E23"/>
    <w:rsid w:val="5E340FDA"/>
    <w:rsid w:val="5E393DEB"/>
    <w:rsid w:val="5E3E3CD0"/>
    <w:rsid w:val="5E4A7BE2"/>
    <w:rsid w:val="5E5B053D"/>
    <w:rsid w:val="5E5E2FF0"/>
    <w:rsid w:val="5E647489"/>
    <w:rsid w:val="5E6A6B03"/>
    <w:rsid w:val="5E722A02"/>
    <w:rsid w:val="5E7C45B8"/>
    <w:rsid w:val="5E7E7013"/>
    <w:rsid w:val="5E86607C"/>
    <w:rsid w:val="5E871D48"/>
    <w:rsid w:val="5E8C5324"/>
    <w:rsid w:val="5E8E25F9"/>
    <w:rsid w:val="5E916619"/>
    <w:rsid w:val="5E927582"/>
    <w:rsid w:val="5E9A1AEB"/>
    <w:rsid w:val="5EA12F31"/>
    <w:rsid w:val="5EC561F9"/>
    <w:rsid w:val="5EC833BE"/>
    <w:rsid w:val="5ECA1408"/>
    <w:rsid w:val="5ECC54F0"/>
    <w:rsid w:val="5ED375C3"/>
    <w:rsid w:val="5ED37BB8"/>
    <w:rsid w:val="5ED607F4"/>
    <w:rsid w:val="5EE0461C"/>
    <w:rsid w:val="5EE119BD"/>
    <w:rsid w:val="5EE40825"/>
    <w:rsid w:val="5EE5169D"/>
    <w:rsid w:val="5EE83DA1"/>
    <w:rsid w:val="5EEA0E5C"/>
    <w:rsid w:val="5EED301A"/>
    <w:rsid w:val="5EED7FA8"/>
    <w:rsid w:val="5F010F00"/>
    <w:rsid w:val="5F051032"/>
    <w:rsid w:val="5F055271"/>
    <w:rsid w:val="5F0D12D1"/>
    <w:rsid w:val="5F1678E8"/>
    <w:rsid w:val="5F17185A"/>
    <w:rsid w:val="5F2748FC"/>
    <w:rsid w:val="5F2E7638"/>
    <w:rsid w:val="5F384E0B"/>
    <w:rsid w:val="5F3B1FCC"/>
    <w:rsid w:val="5F3E2B4F"/>
    <w:rsid w:val="5F4331C6"/>
    <w:rsid w:val="5F51149E"/>
    <w:rsid w:val="5F556983"/>
    <w:rsid w:val="5F5B10EB"/>
    <w:rsid w:val="5F600973"/>
    <w:rsid w:val="5F612AC7"/>
    <w:rsid w:val="5F7E0C56"/>
    <w:rsid w:val="5F7E532C"/>
    <w:rsid w:val="5FA309D5"/>
    <w:rsid w:val="5FAB70AF"/>
    <w:rsid w:val="5FAD2176"/>
    <w:rsid w:val="5FAE3FC7"/>
    <w:rsid w:val="5FB521E8"/>
    <w:rsid w:val="5FBE673E"/>
    <w:rsid w:val="5FCC6C47"/>
    <w:rsid w:val="5FCF2CAB"/>
    <w:rsid w:val="5FDD56BB"/>
    <w:rsid w:val="5FE37857"/>
    <w:rsid w:val="5FE45035"/>
    <w:rsid w:val="5FE910B6"/>
    <w:rsid w:val="600502D4"/>
    <w:rsid w:val="6006462F"/>
    <w:rsid w:val="600E0E50"/>
    <w:rsid w:val="600F17EA"/>
    <w:rsid w:val="60166209"/>
    <w:rsid w:val="601A19BB"/>
    <w:rsid w:val="602040E1"/>
    <w:rsid w:val="60215543"/>
    <w:rsid w:val="60226D62"/>
    <w:rsid w:val="602A1FAD"/>
    <w:rsid w:val="604152C1"/>
    <w:rsid w:val="60417542"/>
    <w:rsid w:val="605D5163"/>
    <w:rsid w:val="605F0872"/>
    <w:rsid w:val="60696CEE"/>
    <w:rsid w:val="606D0064"/>
    <w:rsid w:val="607367EA"/>
    <w:rsid w:val="60752ADD"/>
    <w:rsid w:val="607C4AF0"/>
    <w:rsid w:val="608D76F8"/>
    <w:rsid w:val="60945DDE"/>
    <w:rsid w:val="6098615B"/>
    <w:rsid w:val="609C385C"/>
    <w:rsid w:val="609E3EBC"/>
    <w:rsid w:val="609E7A1B"/>
    <w:rsid w:val="609F6FE7"/>
    <w:rsid w:val="60A73A0F"/>
    <w:rsid w:val="60BE60D6"/>
    <w:rsid w:val="60BF0A47"/>
    <w:rsid w:val="60C54F97"/>
    <w:rsid w:val="60CB7944"/>
    <w:rsid w:val="60CF31FC"/>
    <w:rsid w:val="60D2742C"/>
    <w:rsid w:val="60D35FB9"/>
    <w:rsid w:val="60D722A0"/>
    <w:rsid w:val="60DA5EA2"/>
    <w:rsid w:val="60DE78BE"/>
    <w:rsid w:val="60F645A0"/>
    <w:rsid w:val="60FB7DA9"/>
    <w:rsid w:val="610C20B6"/>
    <w:rsid w:val="6111707E"/>
    <w:rsid w:val="611467DA"/>
    <w:rsid w:val="61181B78"/>
    <w:rsid w:val="61193E1A"/>
    <w:rsid w:val="61213A48"/>
    <w:rsid w:val="61353CEC"/>
    <w:rsid w:val="613D66C9"/>
    <w:rsid w:val="614700C6"/>
    <w:rsid w:val="614D595B"/>
    <w:rsid w:val="614E6F3D"/>
    <w:rsid w:val="6153299D"/>
    <w:rsid w:val="615A3394"/>
    <w:rsid w:val="615E010B"/>
    <w:rsid w:val="616517DB"/>
    <w:rsid w:val="616714D1"/>
    <w:rsid w:val="616C5672"/>
    <w:rsid w:val="616F2879"/>
    <w:rsid w:val="618B62C3"/>
    <w:rsid w:val="61921D11"/>
    <w:rsid w:val="61960678"/>
    <w:rsid w:val="619728A7"/>
    <w:rsid w:val="61973742"/>
    <w:rsid w:val="619C3A62"/>
    <w:rsid w:val="61A00317"/>
    <w:rsid w:val="61A060B5"/>
    <w:rsid w:val="61AE17F9"/>
    <w:rsid w:val="61C83708"/>
    <w:rsid w:val="61C96276"/>
    <w:rsid w:val="61D458EE"/>
    <w:rsid w:val="61DA2FE0"/>
    <w:rsid w:val="61DC5004"/>
    <w:rsid w:val="61DD139E"/>
    <w:rsid w:val="61DD1647"/>
    <w:rsid w:val="61E036C3"/>
    <w:rsid w:val="61E77631"/>
    <w:rsid w:val="61ED3CFC"/>
    <w:rsid w:val="61F61F46"/>
    <w:rsid w:val="61F72DE3"/>
    <w:rsid w:val="6202416A"/>
    <w:rsid w:val="62071CEE"/>
    <w:rsid w:val="620D6948"/>
    <w:rsid w:val="62177E37"/>
    <w:rsid w:val="622548AD"/>
    <w:rsid w:val="62276196"/>
    <w:rsid w:val="622C2549"/>
    <w:rsid w:val="622D58CC"/>
    <w:rsid w:val="622F5071"/>
    <w:rsid w:val="62343A91"/>
    <w:rsid w:val="62350778"/>
    <w:rsid w:val="623E1811"/>
    <w:rsid w:val="62495F45"/>
    <w:rsid w:val="624B76D6"/>
    <w:rsid w:val="62526319"/>
    <w:rsid w:val="62551C11"/>
    <w:rsid w:val="62566D33"/>
    <w:rsid w:val="625671D2"/>
    <w:rsid w:val="625F443F"/>
    <w:rsid w:val="626251E6"/>
    <w:rsid w:val="626C5CFB"/>
    <w:rsid w:val="627035AB"/>
    <w:rsid w:val="62704876"/>
    <w:rsid w:val="62714502"/>
    <w:rsid w:val="627714D5"/>
    <w:rsid w:val="6278470F"/>
    <w:rsid w:val="627C3EC3"/>
    <w:rsid w:val="627D64BE"/>
    <w:rsid w:val="62820879"/>
    <w:rsid w:val="628A0FE8"/>
    <w:rsid w:val="628A2CF6"/>
    <w:rsid w:val="629E01C3"/>
    <w:rsid w:val="62A61C04"/>
    <w:rsid w:val="62AD2B43"/>
    <w:rsid w:val="62B426E6"/>
    <w:rsid w:val="62B47B96"/>
    <w:rsid w:val="62B6385A"/>
    <w:rsid w:val="62B97374"/>
    <w:rsid w:val="62C27158"/>
    <w:rsid w:val="62CC3620"/>
    <w:rsid w:val="62D05A46"/>
    <w:rsid w:val="62D234E9"/>
    <w:rsid w:val="62D47CF5"/>
    <w:rsid w:val="62D62749"/>
    <w:rsid w:val="62DA2D08"/>
    <w:rsid w:val="62E809D3"/>
    <w:rsid w:val="62E80C92"/>
    <w:rsid w:val="62EA3710"/>
    <w:rsid w:val="63053183"/>
    <w:rsid w:val="631632C2"/>
    <w:rsid w:val="631C5219"/>
    <w:rsid w:val="631F6A6B"/>
    <w:rsid w:val="632006A7"/>
    <w:rsid w:val="63200FDD"/>
    <w:rsid w:val="632C1863"/>
    <w:rsid w:val="632C7197"/>
    <w:rsid w:val="63307395"/>
    <w:rsid w:val="633626FC"/>
    <w:rsid w:val="634011F1"/>
    <w:rsid w:val="63571E72"/>
    <w:rsid w:val="63576D60"/>
    <w:rsid w:val="637C355B"/>
    <w:rsid w:val="637C4361"/>
    <w:rsid w:val="638035E9"/>
    <w:rsid w:val="63835A0C"/>
    <w:rsid w:val="63896D09"/>
    <w:rsid w:val="638A65B6"/>
    <w:rsid w:val="63935BEC"/>
    <w:rsid w:val="639E517B"/>
    <w:rsid w:val="63A5361B"/>
    <w:rsid w:val="63B5691E"/>
    <w:rsid w:val="63C06BBA"/>
    <w:rsid w:val="63C75B1F"/>
    <w:rsid w:val="63C81F26"/>
    <w:rsid w:val="63C854BC"/>
    <w:rsid w:val="63CB0857"/>
    <w:rsid w:val="63CF0C54"/>
    <w:rsid w:val="63CF7A16"/>
    <w:rsid w:val="63D17ED9"/>
    <w:rsid w:val="63D853D8"/>
    <w:rsid w:val="63E75498"/>
    <w:rsid w:val="63F02CCB"/>
    <w:rsid w:val="63F6161E"/>
    <w:rsid w:val="63F74C1B"/>
    <w:rsid w:val="63FD0374"/>
    <w:rsid w:val="640444DA"/>
    <w:rsid w:val="64055316"/>
    <w:rsid w:val="64056C7C"/>
    <w:rsid w:val="64077F90"/>
    <w:rsid w:val="64080231"/>
    <w:rsid w:val="640E6E6C"/>
    <w:rsid w:val="641000E9"/>
    <w:rsid w:val="641D59BB"/>
    <w:rsid w:val="641E3A9B"/>
    <w:rsid w:val="64256398"/>
    <w:rsid w:val="64277D4D"/>
    <w:rsid w:val="642A6A11"/>
    <w:rsid w:val="643B12B7"/>
    <w:rsid w:val="643E0CE2"/>
    <w:rsid w:val="64464DEB"/>
    <w:rsid w:val="644E78C7"/>
    <w:rsid w:val="645B2D09"/>
    <w:rsid w:val="646243A3"/>
    <w:rsid w:val="64630846"/>
    <w:rsid w:val="6464331D"/>
    <w:rsid w:val="646670FB"/>
    <w:rsid w:val="64674C20"/>
    <w:rsid w:val="646B4A6A"/>
    <w:rsid w:val="646C4A80"/>
    <w:rsid w:val="647008CD"/>
    <w:rsid w:val="647423BC"/>
    <w:rsid w:val="647517EE"/>
    <w:rsid w:val="647920E1"/>
    <w:rsid w:val="647B0558"/>
    <w:rsid w:val="647F56DF"/>
    <w:rsid w:val="64805504"/>
    <w:rsid w:val="648063F3"/>
    <w:rsid w:val="648828B4"/>
    <w:rsid w:val="648D2E7E"/>
    <w:rsid w:val="648D5CE0"/>
    <w:rsid w:val="649662C6"/>
    <w:rsid w:val="649F2AA8"/>
    <w:rsid w:val="64B30A7C"/>
    <w:rsid w:val="64B76B7D"/>
    <w:rsid w:val="64BB765C"/>
    <w:rsid w:val="64C06CB1"/>
    <w:rsid w:val="64C63007"/>
    <w:rsid w:val="64C83556"/>
    <w:rsid w:val="64D5296A"/>
    <w:rsid w:val="64E04BB2"/>
    <w:rsid w:val="64EF5843"/>
    <w:rsid w:val="64EF6CED"/>
    <w:rsid w:val="64F05DB4"/>
    <w:rsid w:val="64F22520"/>
    <w:rsid w:val="64FE2C3E"/>
    <w:rsid w:val="64FE77F8"/>
    <w:rsid w:val="65025933"/>
    <w:rsid w:val="650B1CE7"/>
    <w:rsid w:val="651066C9"/>
    <w:rsid w:val="651765B5"/>
    <w:rsid w:val="651A29B5"/>
    <w:rsid w:val="651A73BA"/>
    <w:rsid w:val="65331970"/>
    <w:rsid w:val="65392BD2"/>
    <w:rsid w:val="6542012A"/>
    <w:rsid w:val="654819D1"/>
    <w:rsid w:val="654C7EB7"/>
    <w:rsid w:val="654E484C"/>
    <w:rsid w:val="655128BB"/>
    <w:rsid w:val="65540A21"/>
    <w:rsid w:val="65581658"/>
    <w:rsid w:val="6559478F"/>
    <w:rsid w:val="656268D3"/>
    <w:rsid w:val="65716926"/>
    <w:rsid w:val="658239DE"/>
    <w:rsid w:val="658C5EEC"/>
    <w:rsid w:val="65925E95"/>
    <w:rsid w:val="659B4FA4"/>
    <w:rsid w:val="65A126ED"/>
    <w:rsid w:val="65A374AC"/>
    <w:rsid w:val="65AA0B46"/>
    <w:rsid w:val="65AB3D32"/>
    <w:rsid w:val="65B07C0D"/>
    <w:rsid w:val="65B36CC5"/>
    <w:rsid w:val="65B452AD"/>
    <w:rsid w:val="65BA7131"/>
    <w:rsid w:val="65BE354E"/>
    <w:rsid w:val="65C01A8F"/>
    <w:rsid w:val="65C558DA"/>
    <w:rsid w:val="65D62855"/>
    <w:rsid w:val="65E83B00"/>
    <w:rsid w:val="65EB3FFB"/>
    <w:rsid w:val="65EE1D67"/>
    <w:rsid w:val="65F477AE"/>
    <w:rsid w:val="65F479C1"/>
    <w:rsid w:val="65F91C6B"/>
    <w:rsid w:val="65F93EA3"/>
    <w:rsid w:val="65F959C9"/>
    <w:rsid w:val="65FB44BF"/>
    <w:rsid w:val="66067706"/>
    <w:rsid w:val="66100E20"/>
    <w:rsid w:val="6614255D"/>
    <w:rsid w:val="6620261E"/>
    <w:rsid w:val="662A2F37"/>
    <w:rsid w:val="66311E8D"/>
    <w:rsid w:val="663846D9"/>
    <w:rsid w:val="663B7E94"/>
    <w:rsid w:val="663C7059"/>
    <w:rsid w:val="663D69E5"/>
    <w:rsid w:val="663D78BA"/>
    <w:rsid w:val="663F6A46"/>
    <w:rsid w:val="6640116F"/>
    <w:rsid w:val="6645265E"/>
    <w:rsid w:val="664C0C72"/>
    <w:rsid w:val="664D32F7"/>
    <w:rsid w:val="66527E82"/>
    <w:rsid w:val="665E5AFB"/>
    <w:rsid w:val="66634DE4"/>
    <w:rsid w:val="66705B6C"/>
    <w:rsid w:val="66756553"/>
    <w:rsid w:val="66786C8E"/>
    <w:rsid w:val="6688567A"/>
    <w:rsid w:val="668D406F"/>
    <w:rsid w:val="669062B3"/>
    <w:rsid w:val="66916A7D"/>
    <w:rsid w:val="66A40F43"/>
    <w:rsid w:val="66A60BDC"/>
    <w:rsid w:val="66B4606D"/>
    <w:rsid w:val="66BC7CFF"/>
    <w:rsid w:val="66C34350"/>
    <w:rsid w:val="66C3750B"/>
    <w:rsid w:val="66CF4D01"/>
    <w:rsid w:val="66CF64CC"/>
    <w:rsid w:val="66DB38DE"/>
    <w:rsid w:val="66E06518"/>
    <w:rsid w:val="66E15289"/>
    <w:rsid w:val="66EC7BD2"/>
    <w:rsid w:val="66FA2186"/>
    <w:rsid w:val="66FE369A"/>
    <w:rsid w:val="66FF27D4"/>
    <w:rsid w:val="67032C54"/>
    <w:rsid w:val="670F4520"/>
    <w:rsid w:val="67101023"/>
    <w:rsid w:val="67231D57"/>
    <w:rsid w:val="67243296"/>
    <w:rsid w:val="6727588B"/>
    <w:rsid w:val="67285AB6"/>
    <w:rsid w:val="67377DBA"/>
    <w:rsid w:val="67392DC2"/>
    <w:rsid w:val="67420858"/>
    <w:rsid w:val="674F2A8C"/>
    <w:rsid w:val="67531AF2"/>
    <w:rsid w:val="675808AE"/>
    <w:rsid w:val="67662C48"/>
    <w:rsid w:val="676A073D"/>
    <w:rsid w:val="67735A3D"/>
    <w:rsid w:val="67813322"/>
    <w:rsid w:val="67816B4A"/>
    <w:rsid w:val="678B0F3D"/>
    <w:rsid w:val="67923F94"/>
    <w:rsid w:val="6796536C"/>
    <w:rsid w:val="679719B0"/>
    <w:rsid w:val="67994C61"/>
    <w:rsid w:val="67997238"/>
    <w:rsid w:val="679F4497"/>
    <w:rsid w:val="67AB771C"/>
    <w:rsid w:val="67AD4C75"/>
    <w:rsid w:val="67B64D28"/>
    <w:rsid w:val="67E41E25"/>
    <w:rsid w:val="67E81EA8"/>
    <w:rsid w:val="67EB5072"/>
    <w:rsid w:val="67EE5FE7"/>
    <w:rsid w:val="67F00C00"/>
    <w:rsid w:val="67F1302C"/>
    <w:rsid w:val="67F92B29"/>
    <w:rsid w:val="67F951C7"/>
    <w:rsid w:val="680E69DB"/>
    <w:rsid w:val="6812118E"/>
    <w:rsid w:val="681220DF"/>
    <w:rsid w:val="681F7525"/>
    <w:rsid w:val="682142E5"/>
    <w:rsid w:val="68322A93"/>
    <w:rsid w:val="68354465"/>
    <w:rsid w:val="683D1E30"/>
    <w:rsid w:val="683E1CC4"/>
    <w:rsid w:val="68475B79"/>
    <w:rsid w:val="68521E9C"/>
    <w:rsid w:val="685D5CA3"/>
    <w:rsid w:val="685F5107"/>
    <w:rsid w:val="68607C47"/>
    <w:rsid w:val="68690E1C"/>
    <w:rsid w:val="686B4051"/>
    <w:rsid w:val="686C6303"/>
    <w:rsid w:val="687B37AA"/>
    <w:rsid w:val="687C340E"/>
    <w:rsid w:val="68885A1E"/>
    <w:rsid w:val="688D3C8E"/>
    <w:rsid w:val="6892074D"/>
    <w:rsid w:val="68937B95"/>
    <w:rsid w:val="68996D96"/>
    <w:rsid w:val="68996E39"/>
    <w:rsid w:val="689A4814"/>
    <w:rsid w:val="689D35F9"/>
    <w:rsid w:val="68A00B36"/>
    <w:rsid w:val="68A67CF9"/>
    <w:rsid w:val="68A74BBB"/>
    <w:rsid w:val="68A94BD3"/>
    <w:rsid w:val="68AD3A85"/>
    <w:rsid w:val="68B345E5"/>
    <w:rsid w:val="68B539C1"/>
    <w:rsid w:val="68B73260"/>
    <w:rsid w:val="68B82185"/>
    <w:rsid w:val="68BE4024"/>
    <w:rsid w:val="68CC3BBC"/>
    <w:rsid w:val="68DF5D80"/>
    <w:rsid w:val="68E22EDC"/>
    <w:rsid w:val="690A0F3E"/>
    <w:rsid w:val="690E4663"/>
    <w:rsid w:val="690F0257"/>
    <w:rsid w:val="691B17ED"/>
    <w:rsid w:val="691D4F90"/>
    <w:rsid w:val="692E3BD1"/>
    <w:rsid w:val="692E44DF"/>
    <w:rsid w:val="69320FBB"/>
    <w:rsid w:val="6937593A"/>
    <w:rsid w:val="693A6C28"/>
    <w:rsid w:val="693B7C14"/>
    <w:rsid w:val="694B2EDD"/>
    <w:rsid w:val="695D45EA"/>
    <w:rsid w:val="6964722B"/>
    <w:rsid w:val="69762B8D"/>
    <w:rsid w:val="69763C6B"/>
    <w:rsid w:val="697833F7"/>
    <w:rsid w:val="69785FD1"/>
    <w:rsid w:val="697C55AC"/>
    <w:rsid w:val="697E240F"/>
    <w:rsid w:val="69850B0F"/>
    <w:rsid w:val="69917F96"/>
    <w:rsid w:val="69961DCD"/>
    <w:rsid w:val="69A338FC"/>
    <w:rsid w:val="69A679A7"/>
    <w:rsid w:val="69A74ACD"/>
    <w:rsid w:val="69BC6314"/>
    <w:rsid w:val="69BF2C83"/>
    <w:rsid w:val="69C30CBD"/>
    <w:rsid w:val="69C50623"/>
    <w:rsid w:val="69CD7762"/>
    <w:rsid w:val="69D73583"/>
    <w:rsid w:val="69DA34F6"/>
    <w:rsid w:val="69DE65AF"/>
    <w:rsid w:val="69E67AAD"/>
    <w:rsid w:val="69E7589F"/>
    <w:rsid w:val="69ED136A"/>
    <w:rsid w:val="69FC1DCE"/>
    <w:rsid w:val="69FD6A00"/>
    <w:rsid w:val="69FF5230"/>
    <w:rsid w:val="69FF5634"/>
    <w:rsid w:val="6A0A4EE2"/>
    <w:rsid w:val="6A171738"/>
    <w:rsid w:val="6A1A5618"/>
    <w:rsid w:val="6A1F4459"/>
    <w:rsid w:val="6A2635B0"/>
    <w:rsid w:val="6A36668C"/>
    <w:rsid w:val="6A3B0C03"/>
    <w:rsid w:val="6A4536B7"/>
    <w:rsid w:val="6A4B0E06"/>
    <w:rsid w:val="6A4D6833"/>
    <w:rsid w:val="6A5416EA"/>
    <w:rsid w:val="6A616383"/>
    <w:rsid w:val="6A62661E"/>
    <w:rsid w:val="6A650B07"/>
    <w:rsid w:val="6A783867"/>
    <w:rsid w:val="6A7F394D"/>
    <w:rsid w:val="6A8414EA"/>
    <w:rsid w:val="6A947113"/>
    <w:rsid w:val="6AA07D93"/>
    <w:rsid w:val="6AA36D8E"/>
    <w:rsid w:val="6AA95B89"/>
    <w:rsid w:val="6AAB2CEA"/>
    <w:rsid w:val="6AAF4BC1"/>
    <w:rsid w:val="6AB52E62"/>
    <w:rsid w:val="6ABD20A0"/>
    <w:rsid w:val="6AC132D6"/>
    <w:rsid w:val="6AC51F44"/>
    <w:rsid w:val="6AC63B26"/>
    <w:rsid w:val="6AD26B60"/>
    <w:rsid w:val="6AD2765F"/>
    <w:rsid w:val="6AD7016B"/>
    <w:rsid w:val="6ADB34FA"/>
    <w:rsid w:val="6AE117DB"/>
    <w:rsid w:val="6AE578F4"/>
    <w:rsid w:val="6AEC0F15"/>
    <w:rsid w:val="6AED51E6"/>
    <w:rsid w:val="6AEF36C9"/>
    <w:rsid w:val="6AF00720"/>
    <w:rsid w:val="6AFE7795"/>
    <w:rsid w:val="6AFF0FDC"/>
    <w:rsid w:val="6AFF787D"/>
    <w:rsid w:val="6B0172E3"/>
    <w:rsid w:val="6B052D07"/>
    <w:rsid w:val="6B1468CA"/>
    <w:rsid w:val="6B171540"/>
    <w:rsid w:val="6B1E4BBB"/>
    <w:rsid w:val="6B32731C"/>
    <w:rsid w:val="6B36610C"/>
    <w:rsid w:val="6B4630A0"/>
    <w:rsid w:val="6B4E0F5D"/>
    <w:rsid w:val="6B524CF0"/>
    <w:rsid w:val="6B5253A7"/>
    <w:rsid w:val="6B5A1F84"/>
    <w:rsid w:val="6B5D4028"/>
    <w:rsid w:val="6B644FC1"/>
    <w:rsid w:val="6B736A03"/>
    <w:rsid w:val="6B796F48"/>
    <w:rsid w:val="6B7B41AE"/>
    <w:rsid w:val="6B856C57"/>
    <w:rsid w:val="6B885467"/>
    <w:rsid w:val="6B8E384D"/>
    <w:rsid w:val="6B9035C5"/>
    <w:rsid w:val="6BA218DF"/>
    <w:rsid w:val="6BA50B8B"/>
    <w:rsid w:val="6BB02905"/>
    <w:rsid w:val="6BB942CC"/>
    <w:rsid w:val="6BB9575A"/>
    <w:rsid w:val="6BC31060"/>
    <w:rsid w:val="6BC446DA"/>
    <w:rsid w:val="6BC75CD1"/>
    <w:rsid w:val="6BCD5554"/>
    <w:rsid w:val="6BD172DA"/>
    <w:rsid w:val="6BD4668A"/>
    <w:rsid w:val="6BD62597"/>
    <w:rsid w:val="6BD734FB"/>
    <w:rsid w:val="6BE17C45"/>
    <w:rsid w:val="6BE31F44"/>
    <w:rsid w:val="6BE37129"/>
    <w:rsid w:val="6BEC29D8"/>
    <w:rsid w:val="6BEF4E00"/>
    <w:rsid w:val="6BF64946"/>
    <w:rsid w:val="6BFB5B7D"/>
    <w:rsid w:val="6BFD176D"/>
    <w:rsid w:val="6C0F0E36"/>
    <w:rsid w:val="6C147407"/>
    <w:rsid w:val="6C1B2C26"/>
    <w:rsid w:val="6C1E53DC"/>
    <w:rsid w:val="6C2531B8"/>
    <w:rsid w:val="6C2F5EA5"/>
    <w:rsid w:val="6C300F82"/>
    <w:rsid w:val="6C3648ED"/>
    <w:rsid w:val="6C3B78E9"/>
    <w:rsid w:val="6C467814"/>
    <w:rsid w:val="6C4938DD"/>
    <w:rsid w:val="6C5079A3"/>
    <w:rsid w:val="6C555717"/>
    <w:rsid w:val="6C5B7B03"/>
    <w:rsid w:val="6C745682"/>
    <w:rsid w:val="6C7A2417"/>
    <w:rsid w:val="6C7B3DDE"/>
    <w:rsid w:val="6C7C3044"/>
    <w:rsid w:val="6C852D3E"/>
    <w:rsid w:val="6C8F5E0D"/>
    <w:rsid w:val="6C9F4530"/>
    <w:rsid w:val="6CA17479"/>
    <w:rsid w:val="6CA24B6A"/>
    <w:rsid w:val="6CA50294"/>
    <w:rsid w:val="6CC4768A"/>
    <w:rsid w:val="6CCD5605"/>
    <w:rsid w:val="6CCF2BFB"/>
    <w:rsid w:val="6CD16A7B"/>
    <w:rsid w:val="6CD93047"/>
    <w:rsid w:val="6CDE0624"/>
    <w:rsid w:val="6CE422BB"/>
    <w:rsid w:val="6CFB22F5"/>
    <w:rsid w:val="6CFD60D1"/>
    <w:rsid w:val="6D027A51"/>
    <w:rsid w:val="6D15515A"/>
    <w:rsid w:val="6D161A59"/>
    <w:rsid w:val="6D1964A0"/>
    <w:rsid w:val="6D1E6AD1"/>
    <w:rsid w:val="6D206AB0"/>
    <w:rsid w:val="6D2C1EE0"/>
    <w:rsid w:val="6D2E2E6A"/>
    <w:rsid w:val="6D3B56AF"/>
    <w:rsid w:val="6D3D72BB"/>
    <w:rsid w:val="6D404378"/>
    <w:rsid w:val="6D422858"/>
    <w:rsid w:val="6D423538"/>
    <w:rsid w:val="6D464E84"/>
    <w:rsid w:val="6D560AFC"/>
    <w:rsid w:val="6D594C1B"/>
    <w:rsid w:val="6D6B3CF3"/>
    <w:rsid w:val="6D780840"/>
    <w:rsid w:val="6D7E5D44"/>
    <w:rsid w:val="6D8F6D9D"/>
    <w:rsid w:val="6D910C0E"/>
    <w:rsid w:val="6D9B7B40"/>
    <w:rsid w:val="6DA66AF1"/>
    <w:rsid w:val="6DB1718E"/>
    <w:rsid w:val="6DB17A6C"/>
    <w:rsid w:val="6DB64E42"/>
    <w:rsid w:val="6DBE0EB5"/>
    <w:rsid w:val="6DC016DA"/>
    <w:rsid w:val="6DC565CF"/>
    <w:rsid w:val="6DC72F6E"/>
    <w:rsid w:val="6DC97D97"/>
    <w:rsid w:val="6DCB52D3"/>
    <w:rsid w:val="6DCF361D"/>
    <w:rsid w:val="6DD23EEA"/>
    <w:rsid w:val="6DDB03C5"/>
    <w:rsid w:val="6DDC29F3"/>
    <w:rsid w:val="6DED19D6"/>
    <w:rsid w:val="6DF71D82"/>
    <w:rsid w:val="6DF961DB"/>
    <w:rsid w:val="6E0159A5"/>
    <w:rsid w:val="6E025015"/>
    <w:rsid w:val="6E0542D9"/>
    <w:rsid w:val="6E0D1914"/>
    <w:rsid w:val="6E117693"/>
    <w:rsid w:val="6E1B4F87"/>
    <w:rsid w:val="6E294DF0"/>
    <w:rsid w:val="6E2B6E75"/>
    <w:rsid w:val="6E2D2656"/>
    <w:rsid w:val="6E2D35A4"/>
    <w:rsid w:val="6E3C1515"/>
    <w:rsid w:val="6E3C3DF7"/>
    <w:rsid w:val="6E48043E"/>
    <w:rsid w:val="6E4A309E"/>
    <w:rsid w:val="6E4B2CC2"/>
    <w:rsid w:val="6E522E1B"/>
    <w:rsid w:val="6E626702"/>
    <w:rsid w:val="6E7207ED"/>
    <w:rsid w:val="6E747BA8"/>
    <w:rsid w:val="6E783096"/>
    <w:rsid w:val="6E7C49AF"/>
    <w:rsid w:val="6E8F5DE6"/>
    <w:rsid w:val="6E9D2D72"/>
    <w:rsid w:val="6E9F5ED2"/>
    <w:rsid w:val="6EAF77E2"/>
    <w:rsid w:val="6EB84005"/>
    <w:rsid w:val="6EBA08B2"/>
    <w:rsid w:val="6EBF758F"/>
    <w:rsid w:val="6ED43C2D"/>
    <w:rsid w:val="6EDB13E4"/>
    <w:rsid w:val="6EDD426D"/>
    <w:rsid w:val="6EDD5BF7"/>
    <w:rsid w:val="6EE23274"/>
    <w:rsid w:val="6EF0309D"/>
    <w:rsid w:val="6EF25B6E"/>
    <w:rsid w:val="6EF44119"/>
    <w:rsid w:val="6EF92B44"/>
    <w:rsid w:val="6EFB65F6"/>
    <w:rsid w:val="6F056E9B"/>
    <w:rsid w:val="6F0A35CC"/>
    <w:rsid w:val="6F0E099C"/>
    <w:rsid w:val="6F0F120F"/>
    <w:rsid w:val="6F132997"/>
    <w:rsid w:val="6F1B1E4B"/>
    <w:rsid w:val="6F303443"/>
    <w:rsid w:val="6F3F16C4"/>
    <w:rsid w:val="6F477AB3"/>
    <w:rsid w:val="6F4A5525"/>
    <w:rsid w:val="6F51179C"/>
    <w:rsid w:val="6F577849"/>
    <w:rsid w:val="6F5A1D5A"/>
    <w:rsid w:val="6F5E5A86"/>
    <w:rsid w:val="6F713576"/>
    <w:rsid w:val="6F7235FA"/>
    <w:rsid w:val="6F7A36E6"/>
    <w:rsid w:val="6F7B1E90"/>
    <w:rsid w:val="6F7D0D50"/>
    <w:rsid w:val="6F8C170A"/>
    <w:rsid w:val="6F944952"/>
    <w:rsid w:val="6FA02480"/>
    <w:rsid w:val="6FA17380"/>
    <w:rsid w:val="6FB7520B"/>
    <w:rsid w:val="6FC0098D"/>
    <w:rsid w:val="6FC90102"/>
    <w:rsid w:val="6FCE6E50"/>
    <w:rsid w:val="6FE15439"/>
    <w:rsid w:val="6FFB7923"/>
    <w:rsid w:val="6FFF51DA"/>
    <w:rsid w:val="70081D06"/>
    <w:rsid w:val="700C1F73"/>
    <w:rsid w:val="701116B1"/>
    <w:rsid w:val="701363BC"/>
    <w:rsid w:val="70154B48"/>
    <w:rsid w:val="70176CAE"/>
    <w:rsid w:val="701C683C"/>
    <w:rsid w:val="70295659"/>
    <w:rsid w:val="702F1F03"/>
    <w:rsid w:val="702F4E24"/>
    <w:rsid w:val="703C3947"/>
    <w:rsid w:val="704A6BC5"/>
    <w:rsid w:val="704F55B9"/>
    <w:rsid w:val="7053600C"/>
    <w:rsid w:val="705728E3"/>
    <w:rsid w:val="705A2375"/>
    <w:rsid w:val="705B6069"/>
    <w:rsid w:val="705B6DCA"/>
    <w:rsid w:val="705D2880"/>
    <w:rsid w:val="706773FA"/>
    <w:rsid w:val="706865C2"/>
    <w:rsid w:val="706B1978"/>
    <w:rsid w:val="706D70A8"/>
    <w:rsid w:val="70721701"/>
    <w:rsid w:val="70731E2C"/>
    <w:rsid w:val="707C734C"/>
    <w:rsid w:val="70832F74"/>
    <w:rsid w:val="70957B00"/>
    <w:rsid w:val="70961E7D"/>
    <w:rsid w:val="709916CC"/>
    <w:rsid w:val="70A26DAF"/>
    <w:rsid w:val="70A50245"/>
    <w:rsid w:val="70AC384F"/>
    <w:rsid w:val="70B062B8"/>
    <w:rsid w:val="70C70E91"/>
    <w:rsid w:val="70C8097C"/>
    <w:rsid w:val="70C815D3"/>
    <w:rsid w:val="70C94669"/>
    <w:rsid w:val="70D16438"/>
    <w:rsid w:val="70D42B97"/>
    <w:rsid w:val="70D42E68"/>
    <w:rsid w:val="70DB6E88"/>
    <w:rsid w:val="70E11B97"/>
    <w:rsid w:val="70E70BC2"/>
    <w:rsid w:val="70EB5C07"/>
    <w:rsid w:val="70EC3ECA"/>
    <w:rsid w:val="70F02D7B"/>
    <w:rsid w:val="70F6237C"/>
    <w:rsid w:val="70F77985"/>
    <w:rsid w:val="71077624"/>
    <w:rsid w:val="7109045D"/>
    <w:rsid w:val="71095AEC"/>
    <w:rsid w:val="710C670D"/>
    <w:rsid w:val="71124917"/>
    <w:rsid w:val="711402FC"/>
    <w:rsid w:val="71226B7E"/>
    <w:rsid w:val="71247594"/>
    <w:rsid w:val="71272918"/>
    <w:rsid w:val="712E246C"/>
    <w:rsid w:val="71371755"/>
    <w:rsid w:val="71454133"/>
    <w:rsid w:val="714C54AE"/>
    <w:rsid w:val="714E5BA0"/>
    <w:rsid w:val="71554A07"/>
    <w:rsid w:val="71597204"/>
    <w:rsid w:val="716138D1"/>
    <w:rsid w:val="71664A81"/>
    <w:rsid w:val="71827AE9"/>
    <w:rsid w:val="718F0DD1"/>
    <w:rsid w:val="719F0D27"/>
    <w:rsid w:val="71A16CD3"/>
    <w:rsid w:val="71A273F4"/>
    <w:rsid w:val="71A27486"/>
    <w:rsid w:val="71A507F1"/>
    <w:rsid w:val="71A75CC7"/>
    <w:rsid w:val="71B406A1"/>
    <w:rsid w:val="71B61628"/>
    <w:rsid w:val="71BF532A"/>
    <w:rsid w:val="71C14D15"/>
    <w:rsid w:val="71CA4171"/>
    <w:rsid w:val="71D84BE0"/>
    <w:rsid w:val="71DD76D0"/>
    <w:rsid w:val="71DF3C94"/>
    <w:rsid w:val="71E2138E"/>
    <w:rsid w:val="71E730AD"/>
    <w:rsid w:val="71EE038B"/>
    <w:rsid w:val="71FF5512"/>
    <w:rsid w:val="72051BB8"/>
    <w:rsid w:val="720A428C"/>
    <w:rsid w:val="720B17E5"/>
    <w:rsid w:val="721E6FC5"/>
    <w:rsid w:val="7221511A"/>
    <w:rsid w:val="72236E64"/>
    <w:rsid w:val="7228164D"/>
    <w:rsid w:val="72283442"/>
    <w:rsid w:val="723014EC"/>
    <w:rsid w:val="72327564"/>
    <w:rsid w:val="7240187D"/>
    <w:rsid w:val="72403EC0"/>
    <w:rsid w:val="72404A54"/>
    <w:rsid w:val="72471F6E"/>
    <w:rsid w:val="724A52A0"/>
    <w:rsid w:val="724F4440"/>
    <w:rsid w:val="72537CDA"/>
    <w:rsid w:val="7259218C"/>
    <w:rsid w:val="725E0A02"/>
    <w:rsid w:val="72684E30"/>
    <w:rsid w:val="726D37A5"/>
    <w:rsid w:val="727A6CA9"/>
    <w:rsid w:val="728A15C1"/>
    <w:rsid w:val="72936260"/>
    <w:rsid w:val="7297417C"/>
    <w:rsid w:val="72B82123"/>
    <w:rsid w:val="72C17CAD"/>
    <w:rsid w:val="72C6506E"/>
    <w:rsid w:val="72C81DAC"/>
    <w:rsid w:val="72CB3509"/>
    <w:rsid w:val="72CD47DE"/>
    <w:rsid w:val="72DF49E3"/>
    <w:rsid w:val="72EC5DB6"/>
    <w:rsid w:val="72F115A4"/>
    <w:rsid w:val="72F133F9"/>
    <w:rsid w:val="72F41243"/>
    <w:rsid w:val="72F81B37"/>
    <w:rsid w:val="73036668"/>
    <w:rsid w:val="730B5DA2"/>
    <w:rsid w:val="730E7FC1"/>
    <w:rsid w:val="7312501D"/>
    <w:rsid w:val="73213D93"/>
    <w:rsid w:val="73285531"/>
    <w:rsid w:val="732F2F23"/>
    <w:rsid w:val="733710EF"/>
    <w:rsid w:val="73371476"/>
    <w:rsid w:val="7346014A"/>
    <w:rsid w:val="735528D7"/>
    <w:rsid w:val="73594CC0"/>
    <w:rsid w:val="735B7270"/>
    <w:rsid w:val="73744A62"/>
    <w:rsid w:val="73880245"/>
    <w:rsid w:val="738F3752"/>
    <w:rsid w:val="739504B6"/>
    <w:rsid w:val="73A35485"/>
    <w:rsid w:val="73A60A9D"/>
    <w:rsid w:val="73B15B23"/>
    <w:rsid w:val="73B33745"/>
    <w:rsid w:val="73B81384"/>
    <w:rsid w:val="73BD2C9B"/>
    <w:rsid w:val="73DF4463"/>
    <w:rsid w:val="73E127ED"/>
    <w:rsid w:val="73F058FC"/>
    <w:rsid w:val="73F9481F"/>
    <w:rsid w:val="740A38EF"/>
    <w:rsid w:val="740C3A17"/>
    <w:rsid w:val="740E1D0E"/>
    <w:rsid w:val="74196D6D"/>
    <w:rsid w:val="74216C81"/>
    <w:rsid w:val="742B5746"/>
    <w:rsid w:val="742E144D"/>
    <w:rsid w:val="74317F5D"/>
    <w:rsid w:val="743506A7"/>
    <w:rsid w:val="743E0743"/>
    <w:rsid w:val="744407E6"/>
    <w:rsid w:val="7451539E"/>
    <w:rsid w:val="74534F02"/>
    <w:rsid w:val="7460121E"/>
    <w:rsid w:val="74623EDF"/>
    <w:rsid w:val="746514E3"/>
    <w:rsid w:val="74711D36"/>
    <w:rsid w:val="74736A2E"/>
    <w:rsid w:val="748C0751"/>
    <w:rsid w:val="748C4FCC"/>
    <w:rsid w:val="74903E5F"/>
    <w:rsid w:val="74942B04"/>
    <w:rsid w:val="74957B57"/>
    <w:rsid w:val="74A608B4"/>
    <w:rsid w:val="74A8549C"/>
    <w:rsid w:val="74AD1273"/>
    <w:rsid w:val="74B931EF"/>
    <w:rsid w:val="74C104F2"/>
    <w:rsid w:val="74CE43B8"/>
    <w:rsid w:val="74D40E5C"/>
    <w:rsid w:val="74E808D7"/>
    <w:rsid w:val="74E83F93"/>
    <w:rsid w:val="74ED706D"/>
    <w:rsid w:val="74EE5052"/>
    <w:rsid w:val="74F12BB0"/>
    <w:rsid w:val="75057EC7"/>
    <w:rsid w:val="75065D98"/>
    <w:rsid w:val="751E0F08"/>
    <w:rsid w:val="751E20E9"/>
    <w:rsid w:val="75206193"/>
    <w:rsid w:val="75275377"/>
    <w:rsid w:val="752F5F5E"/>
    <w:rsid w:val="7541701D"/>
    <w:rsid w:val="754427A1"/>
    <w:rsid w:val="75475569"/>
    <w:rsid w:val="7548637E"/>
    <w:rsid w:val="754D6A30"/>
    <w:rsid w:val="754E531C"/>
    <w:rsid w:val="75563885"/>
    <w:rsid w:val="75642A63"/>
    <w:rsid w:val="75657EEC"/>
    <w:rsid w:val="756E22B5"/>
    <w:rsid w:val="75787786"/>
    <w:rsid w:val="758327EB"/>
    <w:rsid w:val="758804E7"/>
    <w:rsid w:val="75A13E99"/>
    <w:rsid w:val="75A76D86"/>
    <w:rsid w:val="75AE56D4"/>
    <w:rsid w:val="75B27DE7"/>
    <w:rsid w:val="75B835A1"/>
    <w:rsid w:val="75BE2FFC"/>
    <w:rsid w:val="75C72FCA"/>
    <w:rsid w:val="75DA4D8F"/>
    <w:rsid w:val="75E23E70"/>
    <w:rsid w:val="75E5633A"/>
    <w:rsid w:val="75EC1EC5"/>
    <w:rsid w:val="75F10527"/>
    <w:rsid w:val="75F64239"/>
    <w:rsid w:val="75F71FC9"/>
    <w:rsid w:val="76031A5F"/>
    <w:rsid w:val="76037942"/>
    <w:rsid w:val="76083E43"/>
    <w:rsid w:val="76095FF3"/>
    <w:rsid w:val="760D05E5"/>
    <w:rsid w:val="761802DD"/>
    <w:rsid w:val="761D7D1E"/>
    <w:rsid w:val="76275DB8"/>
    <w:rsid w:val="762C4DC9"/>
    <w:rsid w:val="762D37C8"/>
    <w:rsid w:val="762F1271"/>
    <w:rsid w:val="76352F78"/>
    <w:rsid w:val="76364569"/>
    <w:rsid w:val="763A36DF"/>
    <w:rsid w:val="76425613"/>
    <w:rsid w:val="76541EF9"/>
    <w:rsid w:val="76553AF5"/>
    <w:rsid w:val="7657295A"/>
    <w:rsid w:val="76583119"/>
    <w:rsid w:val="76592427"/>
    <w:rsid w:val="7660492A"/>
    <w:rsid w:val="7663430F"/>
    <w:rsid w:val="766E09EF"/>
    <w:rsid w:val="76755825"/>
    <w:rsid w:val="76873E74"/>
    <w:rsid w:val="768B2177"/>
    <w:rsid w:val="769338A3"/>
    <w:rsid w:val="76992F20"/>
    <w:rsid w:val="76AB3067"/>
    <w:rsid w:val="76AE64D6"/>
    <w:rsid w:val="76B06729"/>
    <w:rsid w:val="76B40E2B"/>
    <w:rsid w:val="76B868E0"/>
    <w:rsid w:val="76BD1BF2"/>
    <w:rsid w:val="76BE056D"/>
    <w:rsid w:val="76BE241D"/>
    <w:rsid w:val="76CA157C"/>
    <w:rsid w:val="76CB6DA5"/>
    <w:rsid w:val="76CB7812"/>
    <w:rsid w:val="76DE5AFA"/>
    <w:rsid w:val="76E554F9"/>
    <w:rsid w:val="76F504F7"/>
    <w:rsid w:val="76F53674"/>
    <w:rsid w:val="77016D74"/>
    <w:rsid w:val="7702775D"/>
    <w:rsid w:val="770B3892"/>
    <w:rsid w:val="770C10FF"/>
    <w:rsid w:val="77114589"/>
    <w:rsid w:val="772050E5"/>
    <w:rsid w:val="773920D4"/>
    <w:rsid w:val="774227D4"/>
    <w:rsid w:val="77433CAB"/>
    <w:rsid w:val="774C3C7F"/>
    <w:rsid w:val="774D74BF"/>
    <w:rsid w:val="774E0FDB"/>
    <w:rsid w:val="77504695"/>
    <w:rsid w:val="77544A7D"/>
    <w:rsid w:val="775B6250"/>
    <w:rsid w:val="77616265"/>
    <w:rsid w:val="77734B2E"/>
    <w:rsid w:val="77774CC4"/>
    <w:rsid w:val="77781C38"/>
    <w:rsid w:val="777F0B29"/>
    <w:rsid w:val="77873A2F"/>
    <w:rsid w:val="7796601A"/>
    <w:rsid w:val="779E7507"/>
    <w:rsid w:val="77A62C7B"/>
    <w:rsid w:val="77A84C11"/>
    <w:rsid w:val="77AE5460"/>
    <w:rsid w:val="77B12F9D"/>
    <w:rsid w:val="77B40943"/>
    <w:rsid w:val="77B92930"/>
    <w:rsid w:val="77CA59D0"/>
    <w:rsid w:val="77D02B26"/>
    <w:rsid w:val="77D662CC"/>
    <w:rsid w:val="77D7183F"/>
    <w:rsid w:val="77DA4D5C"/>
    <w:rsid w:val="77DC3774"/>
    <w:rsid w:val="77DF7B42"/>
    <w:rsid w:val="77E11841"/>
    <w:rsid w:val="77E2230B"/>
    <w:rsid w:val="77E543D8"/>
    <w:rsid w:val="77FB6E4F"/>
    <w:rsid w:val="77FE3935"/>
    <w:rsid w:val="78045A9D"/>
    <w:rsid w:val="780548E5"/>
    <w:rsid w:val="78077C47"/>
    <w:rsid w:val="780928BD"/>
    <w:rsid w:val="78195D52"/>
    <w:rsid w:val="781D0335"/>
    <w:rsid w:val="782A00C9"/>
    <w:rsid w:val="783409AE"/>
    <w:rsid w:val="78397022"/>
    <w:rsid w:val="783F5059"/>
    <w:rsid w:val="784135F9"/>
    <w:rsid w:val="78454A08"/>
    <w:rsid w:val="78486CAA"/>
    <w:rsid w:val="784C5ECD"/>
    <w:rsid w:val="785B189D"/>
    <w:rsid w:val="786A0A19"/>
    <w:rsid w:val="786A2266"/>
    <w:rsid w:val="78765233"/>
    <w:rsid w:val="78792CF4"/>
    <w:rsid w:val="787F6EEA"/>
    <w:rsid w:val="788C73DA"/>
    <w:rsid w:val="78923262"/>
    <w:rsid w:val="78961F57"/>
    <w:rsid w:val="78982D88"/>
    <w:rsid w:val="789F3C4A"/>
    <w:rsid w:val="78AF594E"/>
    <w:rsid w:val="78D05D26"/>
    <w:rsid w:val="78DD2405"/>
    <w:rsid w:val="78FC74B9"/>
    <w:rsid w:val="78FD5BBA"/>
    <w:rsid w:val="79053C70"/>
    <w:rsid w:val="79097061"/>
    <w:rsid w:val="79123E0A"/>
    <w:rsid w:val="7914103C"/>
    <w:rsid w:val="791B4926"/>
    <w:rsid w:val="791C159F"/>
    <w:rsid w:val="791C26A3"/>
    <w:rsid w:val="792071BA"/>
    <w:rsid w:val="79237350"/>
    <w:rsid w:val="792B29C4"/>
    <w:rsid w:val="792D4132"/>
    <w:rsid w:val="792D66DD"/>
    <w:rsid w:val="792E1D8D"/>
    <w:rsid w:val="79332FB7"/>
    <w:rsid w:val="79355482"/>
    <w:rsid w:val="79581491"/>
    <w:rsid w:val="79590D29"/>
    <w:rsid w:val="79640A11"/>
    <w:rsid w:val="79690F79"/>
    <w:rsid w:val="79694D20"/>
    <w:rsid w:val="796E6C54"/>
    <w:rsid w:val="79734FAB"/>
    <w:rsid w:val="797D336B"/>
    <w:rsid w:val="79802207"/>
    <w:rsid w:val="798556E8"/>
    <w:rsid w:val="799C57C9"/>
    <w:rsid w:val="79AB3B0A"/>
    <w:rsid w:val="79AC356B"/>
    <w:rsid w:val="79BD775F"/>
    <w:rsid w:val="79C3485D"/>
    <w:rsid w:val="79CE4B6D"/>
    <w:rsid w:val="79D35060"/>
    <w:rsid w:val="79DE2076"/>
    <w:rsid w:val="79E20707"/>
    <w:rsid w:val="79E51769"/>
    <w:rsid w:val="79EB185B"/>
    <w:rsid w:val="79EE1EE4"/>
    <w:rsid w:val="7A017403"/>
    <w:rsid w:val="7A076A19"/>
    <w:rsid w:val="7A0770D4"/>
    <w:rsid w:val="7A0B622D"/>
    <w:rsid w:val="7A1A1A60"/>
    <w:rsid w:val="7A1E5B77"/>
    <w:rsid w:val="7A1F5E2C"/>
    <w:rsid w:val="7A2359BE"/>
    <w:rsid w:val="7A251739"/>
    <w:rsid w:val="7A355C9C"/>
    <w:rsid w:val="7A383965"/>
    <w:rsid w:val="7A47318F"/>
    <w:rsid w:val="7A4F0BE0"/>
    <w:rsid w:val="7A5845CF"/>
    <w:rsid w:val="7A5A13DE"/>
    <w:rsid w:val="7A6D2579"/>
    <w:rsid w:val="7A6F68B6"/>
    <w:rsid w:val="7A7016A9"/>
    <w:rsid w:val="7A75537E"/>
    <w:rsid w:val="7A762E56"/>
    <w:rsid w:val="7A7B1FFB"/>
    <w:rsid w:val="7A7C7030"/>
    <w:rsid w:val="7A90105C"/>
    <w:rsid w:val="7A9C7D1C"/>
    <w:rsid w:val="7AA67D90"/>
    <w:rsid w:val="7AA9037A"/>
    <w:rsid w:val="7AAB7485"/>
    <w:rsid w:val="7AB05445"/>
    <w:rsid w:val="7ACA354C"/>
    <w:rsid w:val="7ACE080F"/>
    <w:rsid w:val="7AD1506E"/>
    <w:rsid w:val="7AD94F26"/>
    <w:rsid w:val="7AD97569"/>
    <w:rsid w:val="7ADB0FF5"/>
    <w:rsid w:val="7AE14986"/>
    <w:rsid w:val="7AE64824"/>
    <w:rsid w:val="7AEA44D5"/>
    <w:rsid w:val="7AEA461E"/>
    <w:rsid w:val="7AFB7BCC"/>
    <w:rsid w:val="7B01079D"/>
    <w:rsid w:val="7B01206C"/>
    <w:rsid w:val="7B052E81"/>
    <w:rsid w:val="7B0553A8"/>
    <w:rsid w:val="7B082729"/>
    <w:rsid w:val="7B132764"/>
    <w:rsid w:val="7B210793"/>
    <w:rsid w:val="7B2A2C5C"/>
    <w:rsid w:val="7B3905FC"/>
    <w:rsid w:val="7B3C0B8A"/>
    <w:rsid w:val="7B3E5028"/>
    <w:rsid w:val="7B561F6D"/>
    <w:rsid w:val="7B607C70"/>
    <w:rsid w:val="7B607E7D"/>
    <w:rsid w:val="7B67397C"/>
    <w:rsid w:val="7B6B16B6"/>
    <w:rsid w:val="7B8B06A2"/>
    <w:rsid w:val="7B8F5BB4"/>
    <w:rsid w:val="7BA112D4"/>
    <w:rsid w:val="7BA82206"/>
    <w:rsid w:val="7BB073BE"/>
    <w:rsid w:val="7BB4448C"/>
    <w:rsid w:val="7BBB605F"/>
    <w:rsid w:val="7BC008E8"/>
    <w:rsid w:val="7BC40E39"/>
    <w:rsid w:val="7BD3232B"/>
    <w:rsid w:val="7BD56C94"/>
    <w:rsid w:val="7BDB3A9B"/>
    <w:rsid w:val="7BE17E14"/>
    <w:rsid w:val="7BEB4482"/>
    <w:rsid w:val="7BF11445"/>
    <w:rsid w:val="7BF52FD8"/>
    <w:rsid w:val="7BFF7BBA"/>
    <w:rsid w:val="7C180E5F"/>
    <w:rsid w:val="7C181A48"/>
    <w:rsid w:val="7C1D2B56"/>
    <w:rsid w:val="7C2208B9"/>
    <w:rsid w:val="7C2C4622"/>
    <w:rsid w:val="7C342757"/>
    <w:rsid w:val="7C35009C"/>
    <w:rsid w:val="7C3B050B"/>
    <w:rsid w:val="7C412B38"/>
    <w:rsid w:val="7C424BD7"/>
    <w:rsid w:val="7C4A75BF"/>
    <w:rsid w:val="7C4A767E"/>
    <w:rsid w:val="7C5213CD"/>
    <w:rsid w:val="7C5278EC"/>
    <w:rsid w:val="7C54705E"/>
    <w:rsid w:val="7C644768"/>
    <w:rsid w:val="7C6E54FB"/>
    <w:rsid w:val="7C7A1E18"/>
    <w:rsid w:val="7C850939"/>
    <w:rsid w:val="7C89526B"/>
    <w:rsid w:val="7C8C24AB"/>
    <w:rsid w:val="7CA01D2B"/>
    <w:rsid w:val="7CA24B1F"/>
    <w:rsid w:val="7CB16763"/>
    <w:rsid w:val="7CBA4E39"/>
    <w:rsid w:val="7CBD7BCA"/>
    <w:rsid w:val="7CBF4B7C"/>
    <w:rsid w:val="7CCA277A"/>
    <w:rsid w:val="7CCD072F"/>
    <w:rsid w:val="7CD3748B"/>
    <w:rsid w:val="7CD7560F"/>
    <w:rsid w:val="7CE34DAF"/>
    <w:rsid w:val="7CE9059C"/>
    <w:rsid w:val="7CF60161"/>
    <w:rsid w:val="7CFE775F"/>
    <w:rsid w:val="7D0A6A5B"/>
    <w:rsid w:val="7D0E2E7F"/>
    <w:rsid w:val="7D1A4D00"/>
    <w:rsid w:val="7D1D11A6"/>
    <w:rsid w:val="7D2A010A"/>
    <w:rsid w:val="7D2C3E13"/>
    <w:rsid w:val="7D2D6298"/>
    <w:rsid w:val="7D301F48"/>
    <w:rsid w:val="7D3A6BAE"/>
    <w:rsid w:val="7D3F545C"/>
    <w:rsid w:val="7D531E76"/>
    <w:rsid w:val="7D5542CD"/>
    <w:rsid w:val="7D6921A6"/>
    <w:rsid w:val="7D696FC1"/>
    <w:rsid w:val="7D6F125C"/>
    <w:rsid w:val="7D7503F2"/>
    <w:rsid w:val="7D7A4065"/>
    <w:rsid w:val="7D875F75"/>
    <w:rsid w:val="7D883BCB"/>
    <w:rsid w:val="7D8C6379"/>
    <w:rsid w:val="7D8C7BBE"/>
    <w:rsid w:val="7D916AA2"/>
    <w:rsid w:val="7DA60115"/>
    <w:rsid w:val="7DAC310B"/>
    <w:rsid w:val="7DAF043A"/>
    <w:rsid w:val="7DAF7707"/>
    <w:rsid w:val="7DB272EA"/>
    <w:rsid w:val="7DCF491C"/>
    <w:rsid w:val="7DD177A2"/>
    <w:rsid w:val="7DD80330"/>
    <w:rsid w:val="7DDB1C68"/>
    <w:rsid w:val="7DDD0558"/>
    <w:rsid w:val="7DDD0D94"/>
    <w:rsid w:val="7DE41CCA"/>
    <w:rsid w:val="7DF45E2B"/>
    <w:rsid w:val="7DF665DB"/>
    <w:rsid w:val="7DF715F6"/>
    <w:rsid w:val="7DFF44BB"/>
    <w:rsid w:val="7E01244A"/>
    <w:rsid w:val="7E071BA4"/>
    <w:rsid w:val="7E0858F2"/>
    <w:rsid w:val="7E086FDC"/>
    <w:rsid w:val="7E1509C0"/>
    <w:rsid w:val="7E153664"/>
    <w:rsid w:val="7E1B1D6F"/>
    <w:rsid w:val="7E1B5265"/>
    <w:rsid w:val="7E1D2877"/>
    <w:rsid w:val="7E217FC0"/>
    <w:rsid w:val="7E2A3735"/>
    <w:rsid w:val="7E3C58F5"/>
    <w:rsid w:val="7E3F77D6"/>
    <w:rsid w:val="7E472AF0"/>
    <w:rsid w:val="7E487230"/>
    <w:rsid w:val="7E506062"/>
    <w:rsid w:val="7E515AEC"/>
    <w:rsid w:val="7E523EA5"/>
    <w:rsid w:val="7E55649E"/>
    <w:rsid w:val="7E5E6A68"/>
    <w:rsid w:val="7E67282E"/>
    <w:rsid w:val="7E6756D3"/>
    <w:rsid w:val="7E6E195C"/>
    <w:rsid w:val="7E754D1D"/>
    <w:rsid w:val="7E830911"/>
    <w:rsid w:val="7E857B6F"/>
    <w:rsid w:val="7E864483"/>
    <w:rsid w:val="7E8F0673"/>
    <w:rsid w:val="7E8F1A66"/>
    <w:rsid w:val="7E9F6931"/>
    <w:rsid w:val="7EA732CD"/>
    <w:rsid w:val="7EA77EC5"/>
    <w:rsid w:val="7EA932C9"/>
    <w:rsid w:val="7EAC25A7"/>
    <w:rsid w:val="7EAC7C04"/>
    <w:rsid w:val="7EC448CD"/>
    <w:rsid w:val="7ED45592"/>
    <w:rsid w:val="7ED65866"/>
    <w:rsid w:val="7EE1173D"/>
    <w:rsid w:val="7EE44DDA"/>
    <w:rsid w:val="7EF1355C"/>
    <w:rsid w:val="7EF51D0C"/>
    <w:rsid w:val="7EF73C31"/>
    <w:rsid w:val="7EFB1C8B"/>
    <w:rsid w:val="7EFF194D"/>
    <w:rsid w:val="7F03312B"/>
    <w:rsid w:val="7F037E1D"/>
    <w:rsid w:val="7F10785E"/>
    <w:rsid w:val="7F194E4F"/>
    <w:rsid w:val="7F1A628F"/>
    <w:rsid w:val="7F1D1EAF"/>
    <w:rsid w:val="7F1D2D31"/>
    <w:rsid w:val="7F312827"/>
    <w:rsid w:val="7F3308CF"/>
    <w:rsid w:val="7F3C229D"/>
    <w:rsid w:val="7F3E44D1"/>
    <w:rsid w:val="7F494A53"/>
    <w:rsid w:val="7F4B223E"/>
    <w:rsid w:val="7F4C6867"/>
    <w:rsid w:val="7F504399"/>
    <w:rsid w:val="7F571B1E"/>
    <w:rsid w:val="7F67499D"/>
    <w:rsid w:val="7F7A7606"/>
    <w:rsid w:val="7F805A22"/>
    <w:rsid w:val="7F881F0A"/>
    <w:rsid w:val="7F8C02D0"/>
    <w:rsid w:val="7F8E5E27"/>
    <w:rsid w:val="7F8F4D5D"/>
    <w:rsid w:val="7F944EED"/>
    <w:rsid w:val="7F9A157D"/>
    <w:rsid w:val="7F9A4008"/>
    <w:rsid w:val="7FA33E5E"/>
    <w:rsid w:val="7FC16045"/>
    <w:rsid w:val="7FC81492"/>
    <w:rsid w:val="7FCB2974"/>
    <w:rsid w:val="7FD309B4"/>
    <w:rsid w:val="7FD53583"/>
    <w:rsid w:val="7FF24570"/>
    <w:rsid w:val="7FF33BDD"/>
    <w:rsid w:val="7FF8345A"/>
    <w:rsid w:val="7FFF51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1"/>
    <w:qFormat/>
    <w:uiPriority w:val="9"/>
    <w:pPr>
      <w:keepNext/>
      <w:keepLines/>
      <w:spacing w:before="340" w:after="330" w:line="579" w:lineRule="auto"/>
      <w:jc w:val="center"/>
      <w:outlineLvl w:val="0"/>
    </w:pPr>
    <w:rPr>
      <w:rFonts w:ascii="Times New Roman" w:hAnsi="Times New Roman" w:eastAsia="黑体"/>
      <w:b/>
      <w:bCs/>
      <w:w w:val="100"/>
      <w:kern w:val="44"/>
      <w:sz w:val="44"/>
      <w:szCs w:val="44"/>
    </w:rPr>
  </w:style>
  <w:style w:type="paragraph" w:styleId="4">
    <w:name w:val="heading 2"/>
    <w:basedOn w:val="1"/>
    <w:next w:val="1"/>
    <w:link w:val="35"/>
    <w:qFormat/>
    <w:uiPriority w:val="0"/>
    <w:pPr>
      <w:keepNext/>
      <w:keepLines/>
      <w:spacing w:before="260" w:after="260" w:line="413" w:lineRule="auto"/>
      <w:jc w:val="center"/>
      <w:outlineLvl w:val="1"/>
    </w:pPr>
    <w:rPr>
      <w:rFonts w:ascii="Arial" w:hAnsi="Arial" w:eastAsia="楷体_GB2312"/>
      <w:b/>
      <w:bCs/>
      <w:sz w:val="32"/>
      <w:szCs w:val="32"/>
    </w:rPr>
  </w:style>
  <w:style w:type="paragraph" w:styleId="5">
    <w:name w:val="heading 3"/>
    <w:basedOn w:val="1"/>
    <w:next w:val="1"/>
    <w:link w:val="45"/>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link w:val="22"/>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Calibri" w:eastAsia="Times New Roman" w:cs="Times New Roman"/>
      <w:color w:val="000000"/>
      <w:sz w:val="24"/>
      <w:szCs w:val="24"/>
      <w:lang w:val="en-US" w:eastAsia="zh-CN" w:bidi="ar-SA"/>
    </w:rPr>
  </w:style>
  <w:style w:type="paragraph" w:styleId="7">
    <w:name w:val="caption"/>
    <w:basedOn w:val="1"/>
    <w:next w:val="1"/>
    <w:unhideWhenUsed/>
    <w:qFormat/>
    <w:uiPriority w:val="35"/>
    <w:rPr>
      <w:rFonts w:eastAsia="黑体" w:asciiTheme="majorHAnsi" w:hAnsiTheme="majorHAnsi" w:cstheme="majorBidi"/>
      <w:sz w:val="20"/>
    </w:rPr>
  </w:style>
  <w:style w:type="paragraph" w:styleId="8">
    <w:name w:val="annotation text"/>
    <w:basedOn w:val="1"/>
    <w:link w:val="38"/>
    <w:qFormat/>
    <w:uiPriority w:val="0"/>
    <w:pPr>
      <w:jc w:val="left"/>
    </w:pPr>
    <w:rPr>
      <w:rFonts w:ascii="Calibri" w:hAnsi="Calibri" w:cs="黑体"/>
      <w:szCs w:val="24"/>
    </w:rPr>
  </w:style>
  <w:style w:type="paragraph" w:styleId="9">
    <w:name w:val="toc 3"/>
    <w:basedOn w:val="1"/>
    <w:next w:val="1"/>
    <w:unhideWhenUsed/>
    <w:qFormat/>
    <w:uiPriority w:val="39"/>
    <w:pPr>
      <w:ind w:left="840" w:leftChars="400"/>
    </w:pPr>
  </w:style>
  <w:style w:type="paragraph" w:styleId="10">
    <w:name w:val="Date"/>
    <w:basedOn w:val="1"/>
    <w:next w:val="1"/>
    <w:link w:val="34"/>
    <w:unhideWhenUsed/>
    <w:qFormat/>
    <w:uiPriority w:val="99"/>
    <w:pPr>
      <w:ind w:left="100" w:leftChars="2500"/>
    </w:pPr>
  </w:style>
  <w:style w:type="paragraph" w:styleId="11">
    <w:name w:val="Balloon Text"/>
    <w:basedOn w:val="1"/>
    <w:link w:val="40"/>
    <w:unhideWhenUsed/>
    <w:qFormat/>
    <w:uiPriority w:val="99"/>
    <w:rPr>
      <w:sz w:val="18"/>
      <w:szCs w:val="18"/>
    </w:rPr>
  </w:style>
  <w:style w:type="paragraph" w:styleId="12">
    <w:name w:val="footer"/>
    <w:basedOn w:val="1"/>
    <w:link w:val="33"/>
    <w:unhideWhenUsed/>
    <w:qFormat/>
    <w:uiPriority w:val="99"/>
    <w:pPr>
      <w:tabs>
        <w:tab w:val="center" w:pos="4153"/>
        <w:tab w:val="right" w:pos="8306"/>
      </w:tabs>
      <w:snapToGrid w:val="0"/>
      <w:jc w:val="left"/>
    </w:pPr>
    <w:rPr>
      <w:sz w:val="18"/>
      <w:szCs w:val="18"/>
    </w:rPr>
  </w:style>
  <w:style w:type="paragraph" w:styleId="13">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spacing w:line="336" w:lineRule="auto"/>
    </w:pPr>
  </w:style>
  <w:style w:type="paragraph" w:styleId="15">
    <w:name w:val="footnote text"/>
    <w:basedOn w:val="1"/>
    <w:link w:val="39"/>
    <w:unhideWhenUsed/>
    <w:qFormat/>
    <w:uiPriority w:val="99"/>
    <w:pPr>
      <w:snapToGrid w:val="0"/>
      <w:jc w:val="left"/>
    </w:pPr>
    <w:rPr>
      <w:rFonts w:asciiTheme="minorHAnsi" w:hAnsiTheme="minorHAnsi" w:eastAsiaTheme="minorEastAsia" w:cstheme="minorBidi"/>
      <w:sz w:val="18"/>
      <w:szCs w:val="18"/>
    </w:rPr>
  </w:style>
  <w:style w:type="paragraph" w:styleId="16">
    <w:name w:val="toc 2"/>
    <w:basedOn w:val="1"/>
    <w:next w:val="1"/>
    <w:unhideWhenUsed/>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8"/>
    <w:next w:val="8"/>
    <w:link w:val="43"/>
    <w:unhideWhenUsed/>
    <w:qFormat/>
    <w:uiPriority w:val="99"/>
    <w:rPr>
      <w:rFonts w:ascii="Times New Roman" w:hAnsi="Times New Roman" w:cs="Times New Roman"/>
      <w:b/>
      <w:bCs/>
      <w:szCs w:val="20"/>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 Char"/>
    <w:basedOn w:val="1"/>
    <w:next w:val="1"/>
    <w:link w:val="21"/>
    <w:qFormat/>
    <w:uiPriority w:val="0"/>
    <w:pPr>
      <w:numPr>
        <w:ilvl w:val="0"/>
        <w:numId w:val="1"/>
      </w:numPr>
      <w:adjustRightInd w:val="0"/>
      <w:snapToGrid w:val="0"/>
      <w:spacing w:before="156" w:beforeLines="50" w:after="312" w:afterLines="100" w:line="360" w:lineRule="auto"/>
      <w:jc w:val="center"/>
    </w:pPr>
  </w:style>
  <w:style w:type="character" w:styleId="23">
    <w:name w:val="Strong"/>
    <w:basedOn w:val="21"/>
    <w:qFormat/>
    <w:uiPriority w:val="22"/>
    <w:rPr>
      <w:b/>
    </w:rPr>
  </w:style>
  <w:style w:type="character" w:styleId="24">
    <w:name w:val="FollowedHyperlink"/>
    <w:basedOn w:val="21"/>
    <w:unhideWhenUsed/>
    <w:qFormat/>
    <w:uiPriority w:val="99"/>
    <w:rPr>
      <w:color w:val="800080"/>
      <w:u w:val="single"/>
    </w:rPr>
  </w:style>
  <w:style w:type="character" w:styleId="25">
    <w:name w:val="Emphasis"/>
    <w:basedOn w:val="21"/>
    <w:qFormat/>
    <w:uiPriority w:val="20"/>
  </w:style>
  <w:style w:type="character" w:styleId="26">
    <w:name w:val="Hyperlink"/>
    <w:basedOn w:val="21"/>
    <w:unhideWhenUsed/>
    <w:qFormat/>
    <w:uiPriority w:val="99"/>
    <w:rPr>
      <w:color w:val="0563C1" w:themeColor="hyperlink"/>
      <w:u w:val="single"/>
      <w14:textFill>
        <w14:solidFill>
          <w14:schemeClr w14:val="hlink"/>
        </w14:solidFill>
      </w14:textFill>
    </w:rPr>
  </w:style>
  <w:style w:type="character" w:styleId="27">
    <w:name w:val="annotation reference"/>
    <w:basedOn w:val="21"/>
    <w:unhideWhenUsed/>
    <w:qFormat/>
    <w:uiPriority w:val="99"/>
    <w:rPr>
      <w:sz w:val="21"/>
      <w:szCs w:val="21"/>
    </w:rPr>
  </w:style>
  <w:style w:type="character" w:styleId="28">
    <w:name w:val="HTML Cite"/>
    <w:basedOn w:val="21"/>
    <w:unhideWhenUsed/>
    <w:qFormat/>
    <w:uiPriority w:val="99"/>
    <w:rPr>
      <w:color w:val="008000"/>
    </w:rPr>
  </w:style>
  <w:style w:type="character" w:styleId="29">
    <w:name w:val="footnote reference"/>
    <w:basedOn w:val="21"/>
    <w:unhideWhenUsed/>
    <w:qFormat/>
    <w:uiPriority w:val="99"/>
    <w:rPr>
      <w:vertAlign w:val="superscript"/>
    </w:rPr>
  </w:style>
  <w:style w:type="paragraph" w:customStyle="1" w:styleId="30">
    <w:name w:val="Normal Indent1"/>
    <w:basedOn w:val="1"/>
    <w:qFormat/>
    <w:uiPriority w:val="0"/>
    <w:pPr>
      <w:ind w:firstLine="420" w:firstLineChars="200"/>
    </w:pPr>
  </w:style>
  <w:style w:type="paragraph" w:customStyle="1" w:styleId="31">
    <w:name w:val="Normal Indent_8fc70f0f-ad84-4e97-bd38-417b4cae1969"/>
    <w:basedOn w:val="1"/>
    <w:qFormat/>
    <w:uiPriority w:val="0"/>
    <w:pPr>
      <w:ind w:firstLine="420" w:firstLineChars="200"/>
    </w:pPr>
  </w:style>
  <w:style w:type="character" w:customStyle="1" w:styleId="32">
    <w:name w:val="Header Char"/>
    <w:basedOn w:val="21"/>
    <w:link w:val="13"/>
    <w:qFormat/>
    <w:uiPriority w:val="99"/>
    <w:rPr>
      <w:sz w:val="18"/>
      <w:szCs w:val="18"/>
    </w:rPr>
  </w:style>
  <w:style w:type="character" w:customStyle="1" w:styleId="33">
    <w:name w:val="Footer Char"/>
    <w:basedOn w:val="21"/>
    <w:link w:val="12"/>
    <w:qFormat/>
    <w:uiPriority w:val="99"/>
    <w:rPr>
      <w:sz w:val="18"/>
      <w:szCs w:val="18"/>
    </w:rPr>
  </w:style>
  <w:style w:type="character" w:customStyle="1" w:styleId="34">
    <w:name w:val="Date Char"/>
    <w:basedOn w:val="21"/>
    <w:link w:val="10"/>
    <w:semiHidden/>
    <w:qFormat/>
    <w:uiPriority w:val="99"/>
    <w:rPr>
      <w:rFonts w:ascii="Times New Roman" w:hAnsi="Times New Roman" w:eastAsia="宋体" w:cs="Times New Roman"/>
      <w:szCs w:val="20"/>
    </w:rPr>
  </w:style>
  <w:style w:type="character" w:customStyle="1" w:styleId="35">
    <w:name w:val="Heading 2 Char"/>
    <w:basedOn w:val="21"/>
    <w:link w:val="4"/>
    <w:qFormat/>
    <w:uiPriority w:val="0"/>
    <w:rPr>
      <w:rFonts w:ascii="Arial" w:hAnsi="Arial" w:eastAsia="楷体_GB2312" w:cs="Times New Roman"/>
      <w:b/>
      <w:bCs/>
      <w:sz w:val="32"/>
      <w:szCs w:val="32"/>
    </w:rPr>
  </w:style>
  <w:style w:type="paragraph" w:customStyle="1" w:styleId="36">
    <w:name w:val="List Paragraph"/>
    <w:basedOn w:val="1"/>
    <w:qFormat/>
    <w:uiPriority w:val="34"/>
    <w:pPr>
      <w:widowControl/>
      <w:spacing w:after="160" w:line="259" w:lineRule="auto"/>
      <w:ind w:firstLine="420" w:firstLineChars="200"/>
      <w:jc w:val="left"/>
    </w:pPr>
    <w:rPr>
      <w:rFonts w:asciiTheme="minorHAnsi" w:hAnsiTheme="minorHAnsi" w:eastAsiaTheme="minorEastAsia" w:cstheme="minorBidi"/>
      <w:kern w:val="0"/>
      <w:sz w:val="22"/>
      <w:szCs w:val="22"/>
    </w:rPr>
  </w:style>
  <w:style w:type="character" w:customStyle="1" w:styleId="37">
    <w:name w:val="标题 2 Char"/>
    <w:qFormat/>
    <w:uiPriority w:val="9"/>
    <w:rPr>
      <w:rFonts w:ascii="Calibri Light" w:hAnsi="Calibri Light" w:eastAsia="宋体" w:cs="黑体"/>
      <w:b/>
      <w:bCs/>
      <w:sz w:val="32"/>
      <w:szCs w:val="32"/>
    </w:rPr>
  </w:style>
  <w:style w:type="character" w:customStyle="1" w:styleId="38">
    <w:name w:val="Comment Text Char"/>
    <w:basedOn w:val="21"/>
    <w:link w:val="8"/>
    <w:qFormat/>
    <w:uiPriority w:val="0"/>
    <w:rPr>
      <w:rFonts w:ascii="Calibri" w:hAnsi="Calibri" w:eastAsia="宋体" w:cs="黑体"/>
      <w:szCs w:val="24"/>
    </w:rPr>
  </w:style>
  <w:style w:type="character" w:customStyle="1" w:styleId="39">
    <w:name w:val="Footnote Text Char"/>
    <w:basedOn w:val="21"/>
    <w:link w:val="15"/>
    <w:qFormat/>
    <w:uiPriority w:val="99"/>
    <w:rPr>
      <w:sz w:val="18"/>
      <w:szCs w:val="18"/>
    </w:rPr>
  </w:style>
  <w:style w:type="character" w:customStyle="1" w:styleId="40">
    <w:name w:val="Balloon Text Char"/>
    <w:basedOn w:val="21"/>
    <w:link w:val="11"/>
    <w:semiHidden/>
    <w:qFormat/>
    <w:uiPriority w:val="99"/>
    <w:rPr>
      <w:rFonts w:ascii="Times New Roman" w:hAnsi="Times New Roman" w:eastAsia="宋体" w:cs="Times New Roman"/>
      <w:sz w:val="18"/>
      <w:szCs w:val="18"/>
    </w:rPr>
  </w:style>
  <w:style w:type="character" w:customStyle="1" w:styleId="41">
    <w:name w:val="Heading 1 Char"/>
    <w:basedOn w:val="21"/>
    <w:link w:val="3"/>
    <w:qFormat/>
    <w:uiPriority w:val="9"/>
    <w:rPr>
      <w:rFonts w:ascii="Times New Roman" w:hAnsi="Times New Roman" w:eastAsia="黑体" w:cs="Times New Roman"/>
      <w:b/>
      <w:bCs/>
      <w:w w:val="100"/>
      <w:kern w:val="44"/>
      <w:sz w:val="44"/>
      <w:szCs w:val="44"/>
    </w:rPr>
  </w:style>
  <w:style w:type="paragraph" w:customStyle="1" w:styleId="42">
    <w:name w:val="TOC Heading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character" w:customStyle="1" w:styleId="43">
    <w:name w:val="Comment Subject Char"/>
    <w:basedOn w:val="38"/>
    <w:link w:val="18"/>
    <w:semiHidden/>
    <w:qFormat/>
    <w:uiPriority w:val="99"/>
    <w:rPr>
      <w:rFonts w:ascii="Times New Roman" w:hAnsi="Times New Roman" w:eastAsia="宋体" w:cs="Times New Roman"/>
      <w:b/>
      <w:bCs/>
      <w:szCs w:val="20"/>
    </w:rPr>
  </w:style>
  <w:style w:type="paragraph" w:customStyle="1" w:styleId="44">
    <w:name w:val="正文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character" w:customStyle="1" w:styleId="45">
    <w:name w:val="Heading 3 Char"/>
    <w:basedOn w:val="21"/>
    <w:link w:val="5"/>
    <w:qFormat/>
    <w:uiPriority w:val="9"/>
    <w:rPr>
      <w:rFonts w:ascii="Times New Roman" w:hAnsi="Times New Roman" w:eastAsia="宋体" w:cs="Times New Roman"/>
      <w:b/>
      <w:bCs/>
      <w:sz w:val="32"/>
      <w:szCs w:val="32"/>
    </w:rPr>
  </w:style>
  <w:style w:type="character" w:customStyle="1" w:styleId="46">
    <w:name w:val="Heading 4 Char"/>
    <w:basedOn w:val="21"/>
    <w:link w:val="6"/>
    <w:semiHidden/>
    <w:qFormat/>
    <w:uiPriority w:val="9"/>
    <w:rPr>
      <w:rFonts w:asciiTheme="majorHAnsi" w:hAnsiTheme="majorHAnsi" w:eastAsiaTheme="majorEastAsia" w:cstheme="majorBidi"/>
      <w:b/>
      <w:bCs/>
      <w:sz w:val="28"/>
      <w:szCs w:val="28"/>
    </w:rPr>
  </w:style>
  <w:style w:type="table" w:customStyle="1" w:styleId="47">
    <w:name w:val="Table Grid1"/>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8">
    <w:name w:val="Table Grid2"/>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9">
    <w:name w:val="NormalCharacter"/>
    <w:semiHidden/>
    <w:qFormat/>
    <w:uiPriority w:val="0"/>
  </w:style>
  <w:style w:type="paragraph" w:customStyle="1" w:styleId="50">
    <w:name w:val="WPSOffice手动目录 1"/>
    <w:qFormat/>
    <w:uiPriority w:val="0"/>
    <w:pPr>
      <w:ind w:leftChars="0"/>
    </w:pPr>
    <w:rPr>
      <w:rFonts w:ascii="Times New Roman" w:hAnsi="Times New Roman" w:eastAsia="宋体" w:cs="Times New Roman"/>
      <w:sz w:val="20"/>
      <w:szCs w:val="20"/>
    </w:rPr>
  </w:style>
  <w:style w:type="paragraph" w:customStyle="1" w:styleId="51">
    <w:name w:val="WPSOffice手动目录 2"/>
    <w:qFormat/>
    <w:uiPriority w:val="0"/>
    <w:pPr>
      <w:ind w:leftChars="200"/>
    </w:pPr>
    <w:rPr>
      <w:rFonts w:ascii="Times New Roman" w:hAnsi="Times New Roman" w:eastAsia="宋体" w:cs="Times New Roman"/>
      <w:sz w:val="20"/>
      <w:szCs w:val="20"/>
    </w:rPr>
  </w:style>
  <w:style w:type="character" w:customStyle="1" w:styleId="52">
    <w:name w:val="font01"/>
    <w:basedOn w:val="21"/>
    <w:qFormat/>
    <w:uiPriority w:val="0"/>
    <w:rPr>
      <w:rFonts w:hint="eastAsia" w:ascii="宋体" w:hAnsi="宋体" w:eastAsia="宋体" w:cs="宋体"/>
      <w:color w:val="000000"/>
      <w:sz w:val="20"/>
      <w:szCs w:val="20"/>
      <w:u w:val="none"/>
      <w:vertAlign w:val="superscript"/>
    </w:rPr>
  </w:style>
  <w:style w:type="character" w:customStyle="1" w:styleId="53">
    <w:name w:val="icon_video"/>
    <w:basedOn w:val="21"/>
    <w:qFormat/>
    <w:uiPriority w:val="0"/>
  </w:style>
  <w:style w:type="character" w:customStyle="1" w:styleId="54">
    <w:name w:val="one"/>
    <w:basedOn w:val="21"/>
    <w:qFormat/>
    <w:uiPriority w:val="0"/>
    <w:rPr>
      <w:color w:val="003366"/>
    </w:rPr>
  </w:style>
  <w:style w:type="character" w:customStyle="1" w:styleId="55">
    <w:name w:val="tj"/>
    <w:basedOn w:val="21"/>
    <w:qFormat/>
    <w:uiPriority w:val="0"/>
    <w:rPr>
      <w:color w:val="FFFFFF"/>
      <w:sz w:val="21"/>
      <w:szCs w:val="21"/>
      <w:shd w:val="clear" w:fill="348CEC"/>
    </w:rPr>
  </w:style>
  <w:style w:type="character" w:customStyle="1" w:styleId="56">
    <w:name w:val="origin"/>
    <w:basedOn w:val="21"/>
    <w:qFormat/>
    <w:uiPriority w:val="0"/>
  </w:style>
  <w:style w:type="character" w:customStyle="1" w:styleId="57">
    <w:name w:val="lb-left"/>
    <w:basedOn w:val="21"/>
    <w:qFormat/>
    <w:uiPriority w:val="0"/>
  </w:style>
  <w:style w:type="character" w:customStyle="1" w:styleId="58">
    <w:name w:val="lb-right"/>
    <w:basedOn w:val="21"/>
    <w:qFormat/>
    <w:uiPriority w:val="0"/>
  </w:style>
  <w:style w:type="character" w:customStyle="1" w:styleId="59">
    <w:name w:val="before3"/>
    <w:basedOn w:val="21"/>
    <w:qFormat/>
    <w:uiPriority w:val="0"/>
  </w:style>
  <w:style w:type="character" w:customStyle="1" w:styleId="60">
    <w:name w:val="search-kw2"/>
    <w:basedOn w:val="21"/>
    <w:qFormat/>
    <w:uiPriority w:val="0"/>
  </w:style>
  <w:style w:type="character" w:customStyle="1" w:styleId="61">
    <w:name w:val="hover24"/>
    <w:basedOn w:val="21"/>
    <w:qFormat/>
    <w:uiPriority w:val="0"/>
  </w:style>
  <w:style w:type="character" w:customStyle="1" w:styleId="62">
    <w:name w:val="hover25"/>
    <w:basedOn w:val="21"/>
    <w:qFormat/>
    <w:uiPriority w:val="0"/>
    <w:rPr>
      <w:color w:val="315EFB"/>
    </w:rPr>
  </w:style>
  <w:style w:type="character" w:customStyle="1" w:styleId="63">
    <w:name w:val="hover26"/>
    <w:basedOn w:val="21"/>
    <w:qFormat/>
    <w:uiPriority w:val="0"/>
    <w:rPr>
      <w:u w:val="single"/>
    </w:rPr>
  </w:style>
  <w:style w:type="character" w:customStyle="1" w:styleId="64">
    <w:name w:val="c-icon28"/>
    <w:basedOn w:val="21"/>
    <w:qFormat/>
    <w:uiPriority w:val="0"/>
  </w:style>
  <w:style w:type="character" w:customStyle="1" w:styleId="65">
    <w:name w:val="c-icon32"/>
    <w:basedOn w:val="21"/>
    <w:qFormat/>
    <w:uiPriority w:val="0"/>
  </w:style>
  <w:style w:type="character" w:customStyle="1" w:styleId="66">
    <w:name w:val="vjctbn"/>
    <w:basedOn w:val="21"/>
    <w:qFormat/>
    <w:uiPriority w:val="0"/>
  </w:style>
  <w:style w:type="character" w:customStyle="1" w:styleId="67">
    <w:name w:val="pmnygc3"/>
    <w:basedOn w:val="21"/>
    <w:qFormat/>
    <w:uiPriority w:val="0"/>
  </w:style>
  <w:style w:type="character" w:customStyle="1" w:styleId="68">
    <w:name w:val="pmnygc"/>
    <w:basedOn w:val="21"/>
    <w:qFormat/>
    <w:uiPriority w:val="0"/>
    <w:rPr>
      <w:shd w:val="clear" w:fill="F5F5F6"/>
    </w:rPr>
  </w:style>
  <w:style w:type="character" w:customStyle="1" w:styleId="69">
    <w:name w:val="hover27"/>
    <w:basedOn w:val="21"/>
    <w:qFormat/>
    <w:uiPriority w:val="0"/>
    <w:rPr>
      <w:color w:val="315EFB"/>
    </w:rPr>
  </w:style>
  <w:style w:type="character" w:customStyle="1" w:styleId="70">
    <w:name w:val="c-icon"/>
    <w:basedOn w:val="21"/>
    <w:qFormat/>
    <w:uiPriority w:val="0"/>
  </w:style>
  <w:style w:type="character" w:customStyle="1" w:styleId="71">
    <w:name w:val="c-icon30"/>
    <w:basedOn w:val="21"/>
    <w:qFormat/>
    <w:uiPriority w:val="0"/>
  </w:style>
  <w:style w:type="character" w:customStyle="1" w:styleId="72">
    <w:name w:val="wwvdty"/>
    <w:basedOn w:val="21"/>
    <w:qFormat/>
    <w:uiPriority w:val="0"/>
  </w:style>
  <w:style w:type="character" w:customStyle="1" w:styleId="73">
    <w:name w:val="hover28"/>
    <w:basedOn w:val="21"/>
    <w:qFormat/>
    <w:uiPriority w:val="0"/>
    <w:rPr>
      <w:u w:val="single"/>
    </w:rPr>
  </w:style>
  <w:style w:type="character" w:customStyle="1" w:styleId="74">
    <w:name w:val="hlankg3"/>
    <w:basedOn w:val="21"/>
    <w:qFormat/>
    <w:uiPriority w:val="0"/>
  </w:style>
  <w:style w:type="paragraph" w:customStyle="1" w:styleId="75">
    <w:name w:val="标题 1 New"/>
    <w:basedOn w:val="1"/>
    <w:qFormat/>
    <w:uiPriority w:val="0"/>
    <w:pPr>
      <w:widowControl/>
      <w:jc w:val="left"/>
      <w:outlineLvl w:val="0"/>
    </w:pPr>
    <w:rPr>
      <w:rFonts w:ascii="宋体" w:hAnsi="宋体" w:eastAsia="宋体" w:cs="宋体"/>
      <w:kern w:val="36"/>
      <w:sz w:val="18"/>
      <w:szCs w:val="18"/>
    </w:rPr>
  </w:style>
  <w:style w:type="character" w:customStyle="1" w:styleId="76">
    <w:name w:val="bsfwico9"/>
    <w:basedOn w:val="21"/>
    <w:qFormat/>
    <w:uiPriority w:val="0"/>
  </w:style>
  <w:style w:type="character" w:customStyle="1" w:styleId="77">
    <w:name w:val="grfwico1"/>
    <w:basedOn w:val="21"/>
    <w:qFormat/>
    <w:uiPriority w:val="0"/>
  </w:style>
  <w:style w:type="character" w:customStyle="1" w:styleId="78">
    <w:name w:val="bsfwico20"/>
    <w:basedOn w:val="21"/>
    <w:qFormat/>
    <w:uiPriority w:val="0"/>
  </w:style>
  <w:style w:type="character" w:customStyle="1" w:styleId="79">
    <w:name w:val="grfwico8"/>
    <w:basedOn w:val="21"/>
    <w:qFormat/>
    <w:uiPriority w:val="0"/>
  </w:style>
  <w:style w:type="character" w:customStyle="1" w:styleId="80">
    <w:name w:val="grfwico15"/>
    <w:basedOn w:val="21"/>
    <w:qFormat/>
    <w:uiPriority w:val="0"/>
  </w:style>
  <w:style w:type="character" w:customStyle="1" w:styleId="81">
    <w:name w:val="bsfwico22"/>
    <w:basedOn w:val="21"/>
    <w:qFormat/>
    <w:uiPriority w:val="0"/>
  </w:style>
  <w:style w:type="character" w:customStyle="1" w:styleId="82">
    <w:name w:val="grfwico18"/>
    <w:basedOn w:val="21"/>
    <w:qFormat/>
    <w:uiPriority w:val="0"/>
  </w:style>
  <w:style w:type="character" w:customStyle="1" w:styleId="83">
    <w:name w:val="bsfwico2"/>
    <w:basedOn w:val="21"/>
    <w:qFormat/>
    <w:uiPriority w:val="0"/>
  </w:style>
  <w:style w:type="character" w:customStyle="1" w:styleId="84">
    <w:name w:val="grfwico17"/>
    <w:basedOn w:val="21"/>
    <w:qFormat/>
    <w:uiPriority w:val="0"/>
  </w:style>
  <w:style w:type="character" w:customStyle="1" w:styleId="85">
    <w:name w:val="grfwico7"/>
    <w:basedOn w:val="21"/>
    <w:qFormat/>
    <w:uiPriority w:val="0"/>
  </w:style>
  <w:style w:type="character" w:customStyle="1" w:styleId="86">
    <w:name w:val="bsfwico3"/>
    <w:basedOn w:val="21"/>
    <w:qFormat/>
    <w:uiPriority w:val="0"/>
  </w:style>
  <w:style w:type="character" w:customStyle="1" w:styleId="87">
    <w:name w:val="bsfwico10"/>
    <w:basedOn w:val="21"/>
    <w:qFormat/>
    <w:uiPriority w:val="0"/>
  </w:style>
  <w:style w:type="character" w:customStyle="1" w:styleId="88">
    <w:name w:val="grfwico6"/>
    <w:basedOn w:val="21"/>
    <w:qFormat/>
    <w:uiPriority w:val="0"/>
  </w:style>
  <w:style w:type="character" w:customStyle="1" w:styleId="89">
    <w:name w:val="bsfwico4"/>
    <w:basedOn w:val="21"/>
    <w:qFormat/>
    <w:uiPriority w:val="0"/>
  </w:style>
  <w:style w:type="character" w:customStyle="1" w:styleId="90">
    <w:name w:val="bsfwico13"/>
    <w:basedOn w:val="21"/>
    <w:qFormat/>
    <w:uiPriority w:val="0"/>
  </w:style>
  <w:style w:type="character" w:customStyle="1" w:styleId="91">
    <w:name w:val="hdxdata"/>
    <w:basedOn w:val="21"/>
    <w:qFormat/>
    <w:uiPriority w:val="0"/>
  </w:style>
  <w:style w:type="character" w:customStyle="1" w:styleId="92">
    <w:name w:val="bsfwico19"/>
    <w:basedOn w:val="21"/>
    <w:qFormat/>
    <w:uiPriority w:val="0"/>
  </w:style>
  <w:style w:type="character" w:customStyle="1" w:styleId="93">
    <w:name w:val="grfwico13"/>
    <w:basedOn w:val="21"/>
    <w:qFormat/>
    <w:uiPriority w:val="0"/>
  </w:style>
  <w:style w:type="character" w:customStyle="1" w:styleId="94">
    <w:name w:val="bsfwico0"/>
    <w:basedOn w:val="21"/>
    <w:qFormat/>
    <w:uiPriority w:val="0"/>
  </w:style>
  <w:style w:type="character" w:customStyle="1" w:styleId="95">
    <w:name w:val="bsfwico7"/>
    <w:basedOn w:val="21"/>
    <w:qFormat/>
    <w:uiPriority w:val="0"/>
  </w:style>
  <w:style w:type="character" w:customStyle="1" w:styleId="96">
    <w:name w:val="bsfwico1"/>
    <w:basedOn w:val="21"/>
    <w:qFormat/>
    <w:uiPriority w:val="0"/>
  </w:style>
  <w:style w:type="character" w:customStyle="1" w:styleId="97">
    <w:name w:val="bsfwico23"/>
    <w:basedOn w:val="21"/>
    <w:qFormat/>
    <w:uiPriority w:val="0"/>
  </w:style>
  <w:style w:type="character" w:customStyle="1" w:styleId="98">
    <w:name w:val="bsfwico5"/>
    <w:basedOn w:val="21"/>
    <w:qFormat/>
    <w:uiPriority w:val="0"/>
  </w:style>
  <w:style w:type="character" w:customStyle="1" w:styleId="99">
    <w:name w:val="bsfwico12"/>
    <w:basedOn w:val="21"/>
    <w:qFormat/>
    <w:uiPriority w:val="0"/>
  </w:style>
  <w:style w:type="character" w:customStyle="1" w:styleId="100">
    <w:name w:val="bsfwico6"/>
    <w:basedOn w:val="21"/>
    <w:qFormat/>
    <w:uiPriority w:val="0"/>
  </w:style>
  <w:style w:type="character" w:customStyle="1" w:styleId="101">
    <w:name w:val="bsfwico8"/>
    <w:basedOn w:val="21"/>
    <w:qFormat/>
    <w:uiPriority w:val="0"/>
  </w:style>
  <w:style w:type="character" w:customStyle="1" w:styleId="102">
    <w:name w:val="bsfwico11"/>
    <w:basedOn w:val="21"/>
    <w:qFormat/>
    <w:uiPriority w:val="0"/>
  </w:style>
  <w:style w:type="character" w:customStyle="1" w:styleId="103">
    <w:name w:val="bsfwico14"/>
    <w:basedOn w:val="21"/>
    <w:qFormat/>
    <w:uiPriority w:val="0"/>
  </w:style>
  <w:style w:type="character" w:customStyle="1" w:styleId="104">
    <w:name w:val="bsfwico15"/>
    <w:basedOn w:val="21"/>
    <w:qFormat/>
    <w:uiPriority w:val="0"/>
  </w:style>
  <w:style w:type="character" w:customStyle="1" w:styleId="105">
    <w:name w:val="bsfwico16"/>
    <w:basedOn w:val="21"/>
    <w:qFormat/>
    <w:uiPriority w:val="0"/>
  </w:style>
  <w:style w:type="character" w:customStyle="1" w:styleId="106">
    <w:name w:val="grfwico10"/>
    <w:basedOn w:val="21"/>
    <w:qFormat/>
    <w:uiPriority w:val="0"/>
  </w:style>
  <w:style w:type="character" w:customStyle="1" w:styleId="107">
    <w:name w:val="bsfwico17"/>
    <w:basedOn w:val="21"/>
    <w:qFormat/>
    <w:uiPriority w:val="0"/>
  </w:style>
  <w:style w:type="character" w:customStyle="1" w:styleId="108">
    <w:name w:val="bsfwico18"/>
    <w:basedOn w:val="21"/>
    <w:qFormat/>
    <w:uiPriority w:val="0"/>
  </w:style>
  <w:style w:type="character" w:customStyle="1" w:styleId="109">
    <w:name w:val="bsfwico21"/>
    <w:basedOn w:val="21"/>
    <w:qFormat/>
    <w:uiPriority w:val="0"/>
  </w:style>
  <w:style w:type="character" w:customStyle="1" w:styleId="110">
    <w:name w:val="grfwico0"/>
    <w:basedOn w:val="21"/>
    <w:qFormat/>
    <w:uiPriority w:val="0"/>
  </w:style>
  <w:style w:type="character" w:customStyle="1" w:styleId="111">
    <w:name w:val="grfwico2"/>
    <w:basedOn w:val="21"/>
    <w:qFormat/>
    <w:uiPriority w:val="0"/>
  </w:style>
  <w:style w:type="character" w:customStyle="1" w:styleId="112">
    <w:name w:val="grfwico19"/>
    <w:basedOn w:val="21"/>
    <w:qFormat/>
    <w:uiPriority w:val="0"/>
  </w:style>
  <w:style w:type="character" w:customStyle="1" w:styleId="113">
    <w:name w:val="grfwico3"/>
    <w:basedOn w:val="21"/>
    <w:qFormat/>
    <w:uiPriority w:val="0"/>
  </w:style>
  <w:style w:type="character" w:customStyle="1" w:styleId="114">
    <w:name w:val="grfwico4"/>
    <w:basedOn w:val="21"/>
    <w:qFormat/>
    <w:uiPriority w:val="0"/>
  </w:style>
  <w:style w:type="character" w:customStyle="1" w:styleId="115">
    <w:name w:val="grfwico5"/>
    <w:basedOn w:val="21"/>
    <w:qFormat/>
    <w:uiPriority w:val="0"/>
  </w:style>
  <w:style w:type="character" w:customStyle="1" w:styleId="116">
    <w:name w:val="grfwico14"/>
    <w:basedOn w:val="21"/>
    <w:uiPriority w:val="0"/>
  </w:style>
  <w:style w:type="character" w:customStyle="1" w:styleId="117">
    <w:name w:val="grfwico9"/>
    <w:basedOn w:val="21"/>
    <w:uiPriority w:val="0"/>
  </w:style>
  <w:style w:type="character" w:customStyle="1" w:styleId="118">
    <w:name w:val="grfwico11"/>
    <w:basedOn w:val="21"/>
    <w:uiPriority w:val="0"/>
  </w:style>
  <w:style w:type="character" w:customStyle="1" w:styleId="119">
    <w:name w:val="grfwico12"/>
    <w:basedOn w:val="21"/>
    <w:uiPriority w:val="0"/>
  </w:style>
  <w:style w:type="character" w:customStyle="1" w:styleId="120">
    <w:name w:val="grfwico16"/>
    <w:basedOn w:val="21"/>
    <w:uiPriority w:val="0"/>
  </w:style>
  <w:style w:type="character" w:customStyle="1" w:styleId="121">
    <w:name w:val="hdata"/>
    <w:basedOn w:val="21"/>
    <w:uiPriority w:val="0"/>
    <w:rPr>
      <w:color w:val="888888"/>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857d57a-7c05-4964-8f8b-f8b6c615b09a}"/>
        <w:style w:val=""/>
        <w:category>
          <w:name w:val="常规"/>
          <w:gallery w:val="placeholder"/>
        </w:category>
        <w:types>
          <w:type w:val="bbPlcHdr"/>
        </w:types>
        <w:behaviors>
          <w:behavior w:val="content"/>
        </w:behaviors>
        <w:description w:val=""/>
        <w:guid w:val="{c857d57a-7c05-4964-8f8b-f8b6c615b09a}"/>
      </w:docPartPr>
      <w:docPartBody>
        <w:p>
          <w:r>
            <w:rPr>
              <w:color w:val="808080"/>
            </w:rPr>
            <w:t>单击此处输入文字。</w:t>
          </w:r>
        </w:p>
      </w:docPartBody>
    </w:docPart>
    <w:docPart>
      <w:docPartPr>
        <w:name w:val="{7008faaa-dcab-463a-9058-044627c3594e}"/>
        <w:style w:val=""/>
        <w:category>
          <w:name w:val="常规"/>
          <w:gallery w:val="placeholder"/>
        </w:category>
        <w:types>
          <w:type w:val="bbPlcHdr"/>
        </w:types>
        <w:behaviors>
          <w:behavior w:val="content"/>
        </w:behaviors>
        <w:description w:val=""/>
        <w:guid w:val="{7008faaa-dcab-463a-9058-044627c3594e}"/>
      </w:docPartPr>
      <w:docPartBody>
        <w:p>
          <w:r>
            <w:rPr>
              <w:color w:val="808080"/>
            </w:rPr>
            <w:t>单击此处输入文字。</w:t>
          </w:r>
        </w:p>
      </w:docPartBody>
    </w:docPart>
    <w:docPart>
      <w:docPartPr>
        <w:name w:val="{f7ae22b7-f150-4d2c-87df-8acd91d1a5f7}"/>
        <w:style w:val=""/>
        <w:category>
          <w:name w:val="常规"/>
          <w:gallery w:val="placeholder"/>
        </w:category>
        <w:types>
          <w:type w:val="bbPlcHdr"/>
        </w:types>
        <w:behaviors>
          <w:behavior w:val="content"/>
        </w:behaviors>
        <w:description w:val=""/>
        <w:guid w:val="{f7ae22b7-f150-4d2c-87df-8acd91d1a5f7}"/>
      </w:docPartPr>
      <w:docPartBody>
        <w:p>
          <w:r>
            <w:rPr>
              <w:color w:val="808080"/>
            </w:rPr>
            <w:t>单击此处输入文字。</w:t>
          </w:r>
        </w:p>
      </w:docPartBody>
    </w:docPart>
    <w:docPart>
      <w:docPartPr>
        <w:name w:val="{c51cdf28-0a1c-40b1-b97c-f5ed48dba07b}"/>
        <w:style w:val=""/>
        <w:category>
          <w:name w:val="常规"/>
          <w:gallery w:val="placeholder"/>
        </w:category>
        <w:types>
          <w:type w:val="bbPlcHdr"/>
        </w:types>
        <w:behaviors>
          <w:behavior w:val="content"/>
        </w:behaviors>
        <w:description w:val=""/>
        <w:guid w:val="{c51cdf28-0a1c-40b1-b97c-f5ed48dba07b}"/>
      </w:docPartPr>
      <w:docPartBody>
        <w:p>
          <w:r>
            <w:rPr>
              <w:color w:val="808080"/>
            </w:rPr>
            <w:t>单击此处输入文字。</w:t>
          </w:r>
        </w:p>
      </w:docPartBody>
    </w:docPart>
    <w:docPart>
      <w:docPartPr>
        <w:name w:val="{f37200cd-3c03-4a29-905c-a4d4681680a7}"/>
        <w:style w:val=""/>
        <w:category>
          <w:name w:val="常规"/>
          <w:gallery w:val="placeholder"/>
        </w:category>
        <w:types>
          <w:type w:val="bbPlcHdr"/>
        </w:types>
        <w:behaviors>
          <w:behavior w:val="content"/>
        </w:behaviors>
        <w:description w:val=""/>
        <w:guid w:val="{f37200cd-3c03-4a29-905c-a4d4681680a7}"/>
      </w:docPartPr>
      <w:docPartBody>
        <w:p>
          <w:r>
            <w:rPr>
              <w:color w:val="808080"/>
            </w:rPr>
            <w:t>单击此处输入文字。</w:t>
          </w:r>
        </w:p>
      </w:docPartBody>
    </w:docPart>
    <w:docPart>
      <w:docPartPr>
        <w:name w:val="{3efe7d98-a870-4334-bf02-047ebeed46d2}"/>
        <w:style w:val=""/>
        <w:category>
          <w:name w:val="常规"/>
          <w:gallery w:val="placeholder"/>
        </w:category>
        <w:types>
          <w:type w:val="bbPlcHdr"/>
        </w:types>
        <w:behaviors>
          <w:behavior w:val="content"/>
        </w:behaviors>
        <w:description w:val=""/>
        <w:guid w:val="{3efe7d98-a870-4334-bf02-047ebeed46d2}"/>
      </w:docPartPr>
      <w:docPartBody>
        <w:p>
          <w:r>
            <w:rPr>
              <w:color w:val="808080"/>
            </w:rPr>
            <w:t>单击此处输入文字。</w:t>
          </w:r>
        </w:p>
      </w:docPartBody>
    </w:docPart>
    <w:docPart>
      <w:docPartPr>
        <w:name w:val="{9a083978-c3fb-421a-8bd1-472d6d44336b}"/>
        <w:style w:val=""/>
        <w:category>
          <w:name w:val="常规"/>
          <w:gallery w:val="placeholder"/>
        </w:category>
        <w:types>
          <w:type w:val="bbPlcHdr"/>
        </w:types>
        <w:behaviors>
          <w:behavior w:val="content"/>
        </w:behaviors>
        <w:description w:val=""/>
        <w:guid w:val="{9a083978-c3fb-421a-8bd1-472d6d44336b}"/>
      </w:docPartPr>
      <w:docPartBody>
        <w:p>
          <w:r>
            <w:rPr>
              <w:color w:val="808080"/>
            </w:rPr>
            <w:t>单击此处输入文字。</w:t>
          </w:r>
        </w:p>
      </w:docPartBody>
    </w:docPart>
    <w:docPart>
      <w:docPartPr>
        <w:name w:val="{8a4d18c2-c6c1-4333-9808-9d1ec3bc2ee3}"/>
        <w:style w:val=""/>
        <w:category>
          <w:name w:val="常规"/>
          <w:gallery w:val="placeholder"/>
        </w:category>
        <w:types>
          <w:type w:val="bbPlcHdr"/>
        </w:types>
        <w:behaviors>
          <w:behavior w:val="content"/>
        </w:behaviors>
        <w:description w:val=""/>
        <w:guid w:val="{8a4d18c2-c6c1-4333-9808-9d1ec3bc2ee3}"/>
      </w:docPartPr>
      <w:docPartBody>
        <w:p>
          <w:r>
            <w:rPr>
              <w:color w:val="808080"/>
            </w:rPr>
            <w:t>单击此处输入文字。</w:t>
          </w:r>
        </w:p>
      </w:docPartBody>
    </w:docPart>
    <w:docPart>
      <w:docPartPr>
        <w:name w:val="{bcc96b2d-1848-461f-82a7-d3defbb39e25}"/>
        <w:style w:val=""/>
        <w:category>
          <w:name w:val="常规"/>
          <w:gallery w:val="placeholder"/>
        </w:category>
        <w:types>
          <w:type w:val="bbPlcHdr"/>
        </w:types>
        <w:behaviors>
          <w:behavior w:val="content"/>
        </w:behaviors>
        <w:description w:val=""/>
        <w:guid w:val="{bcc96b2d-1848-461f-82a7-d3defbb39e25}"/>
      </w:docPartPr>
      <w:docPartBody>
        <w:p>
          <w:r>
            <w:rPr>
              <w:color w:val="808080"/>
            </w:rPr>
            <w:t>单击此处输入文字。</w:t>
          </w:r>
        </w:p>
      </w:docPartBody>
    </w:docPart>
    <w:docPart>
      <w:docPartPr>
        <w:name w:val="{42a49c84-2693-42bd-a3c9-5428b92c6d59}"/>
        <w:style w:val=""/>
        <w:category>
          <w:name w:val="常规"/>
          <w:gallery w:val="placeholder"/>
        </w:category>
        <w:types>
          <w:type w:val="bbPlcHdr"/>
        </w:types>
        <w:behaviors>
          <w:behavior w:val="content"/>
        </w:behaviors>
        <w:description w:val=""/>
        <w:guid w:val="{42a49c84-2693-42bd-a3c9-5428b92c6d59}"/>
      </w:docPartPr>
      <w:docPartBody>
        <w:p>
          <w:r>
            <w:rPr>
              <w:color w:val="808080"/>
            </w:rPr>
            <w:t>单击此处输入文字。</w:t>
          </w:r>
        </w:p>
      </w:docPartBody>
    </w:docPart>
    <w:docPart>
      <w:docPartPr>
        <w:name w:val="{4195dc84-fc26-4596-b2b4-517ca70302eb}"/>
        <w:style w:val=""/>
        <w:category>
          <w:name w:val="常规"/>
          <w:gallery w:val="placeholder"/>
        </w:category>
        <w:types>
          <w:type w:val="bbPlcHdr"/>
        </w:types>
        <w:behaviors>
          <w:behavior w:val="content"/>
        </w:behaviors>
        <w:description w:val=""/>
        <w:guid w:val="{4195dc84-fc26-4596-b2b4-517ca70302eb}"/>
      </w:docPartPr>
      <w:docPartBody>
        <w:p>
          <w:r>
            <w:rPr>
              <w:color w:val="808080"/>
            </w:rPr>
            <w:t>单击此处输入文字。</w:t>
          </w:r>
        </w:p>
      </w:docPartBody>
    </w:docPart>
    <w:docPart>
      <w:docPartPr>
        <w:name w:val="{c60e9a99-1174-4133-8610-3a27d7763b25}"/>
        <w:style w:val=""/>
        <w:category>
          <w:name w:val="常规"/>
          <w:gallery w:val="placeholder"/>
        </w:category>
        <w:types>
          <w:type w:val="bbPlcHdr"/>
        </w:types>
        <w:behaviors>
          <w:behavior w:val="content"/>
        </w:behaviors>
        <w:description w:val=""/>
        <w:guid w:val="{c60e9a99-1174-4133-8610-3a27d7763b25}"/>
      </w:docPartPr>
      <w:docPartBody>
        <w:p>
          <w:r>
            <w:rPr>
              <w:color w:val="808080"/>
            </w:rPr>
            <w:t>单击此处输入文字。</w:t>
          </w:r>
        </w:p>
      </w:docPartBody>
    </w:docPart>
    <w:docPart>
      <w:docPartPr>
        <w:name w:val="{790e3550-1800-4102-bb41-85a805d61382}"/>
        <w:style w:val=""/>
        <w:category>
          <w:name w:val="常规"/>
          <w:gallery w:val="placeholder"/>
        </w:category>
        <w:types>
          <w:type w:val="bbPlcHdr"/>
        </w:types>
        <w:behaviors>
          <w:behavior w:val="content"/>
        </w:behaviors>
        <w:description w:val=""/>
        <w:guid w:val="{790e3550-1800-4102-bb41-85a805d61382}"/>
      </w:docPartPr>
      <w:docPartBody>
        <w:p>
          <w:r>
            <w:rPr>
              <w:color w:val="808080"/>
            </w:rPr>
            <w:t>单击此处输入文字。</w:t>
          </w:r>
        </w:p>
      </w:docPartBody>
    </w:docPart>
    <w:docPart>
      <w:docPartPr>
        <w:name w:val="{38e2402e-5542-4637-9c86-e9aae05efa71}"/>
        <w:style w:val=""/>
        <w:category>
          <w:name w:val="常规"/>
          <w:gallery w:val="placeholder"/>
        </w:category>
        <w:types>
          <w:type w:val="bbPlcHdr"/>
        </w:types>
        <w:behaviors>
          <w:behavior w:val="content"/>
        </w:behaviors>
        <w:description w:val=""/>
        <w:guid w:val="{38e2402e-5542-4637-9c86-e9aae05efa71}"/>
      </w:docPartPr>
      <w:docPartBody>
        <w:p>
          <w:r>
            <w:rPr>
              <w:color w:val="808080"/>
            </w:rPr>
            <w:t>单击此处输入文字。</w:t>
          </w:r>
        </w:p>
      </w:docPartBody>
    </w:docPart>
    <w:docPart>
      <w:docPartPr>
        <w:name w:val="{52c21e0d-8a98-46b5-893e-59cd189ca44b}"/>
        <w:style w:val=""/>
        <w:category>
          <w:name w:val="常规"/>
          <w:gallery w:val="placeholder"/>
        </w:category>
        <w:types>
          <w:type w:val="bbPlcHdr"/>
        </w:types>
        <w:behaviors>
          <w:behavior w:val="content"/>
        </w:behaviors>
        <w:description w:val=""/>
        <w:guid w:val="{52c21e0d-8a98-46b5-893e-59cd189ca44b}"/>
      </w:docPartPr>
      <w:docPartBody>
        <w:p>
          <w:r>
            <w:rPr>
              <w:color w:val="808080"/>
            </w:rPr>
            <w:t>单击此处输入文字。</w:t>
          </w:r>
        </w:p>
      </w:docPartBody>
    </w:docPart>
    <w:docPart>
      <w:docPartPr>
        <w:name w:val="{6e33d894-239e-4175-87d0-2afa73ba8078}"/>
        <w:style w:val=""/>
        <w:category>
          <w:name w:val="常规"/>
          <w:gallery w:val="placeholder"/>
        </w:category>
        <w:types>
          <w:type w:val="bbPlcHdr"/>
        </w:types>
        <w:behaviors>
          <w:behavior w:val="content"/>
        </w:behaviors>
        <w:description w:val=""/>
        <w:guid w:val="{6e33d894-239e-4175-87d0-2afa73ba8078}"/>
      </w:docPartPr>
      <w:docPartBody>
        <w:p>
          <w:r>
            <w:rPr>
              <w:color w:val="808080"/>
            </w:rPr>
            <w:t>单击此处输入文字。</w:t>
          </w:r>
        </w:p>
      </w:docPartBody>
    </w:docPart>
    <w:docPart>
      <w:docPartPr>
        <w:name w:val="{18d03062-1875-4c55-8c19-53d05a620c0f}"/>
        <w:style w:val=""/>
        <w:category>
          <w:name w:val="常规"/>
          <w:gallery w:val="placeholder"/>
        </w:category>
        <w:types>
          <w:type w:val="bbPlcHdr"/>
        </w:types>
        <w:behaviors>
          <w:behavior w:val="content"/>
        </w:behaviors>
        <w:description w:val=""/>
        <w:guid w:val="{18d03062-1875-4c55-8c19-53d05a620c0f}"/>
      </w:docPartPr>
      <w:docPartBody>
        <w:p>
          <w:r>
            <w:rPr>
              <w:color w:val="808080"/>
            </w:rPr>
            <w:t>单击此处输入文字。</w:t>
          </w:r>
        </w:p>
      </w:docPartBody>
    </w:docPart>
    <w:docPart>
      <w:docPartPr>
        <w:name w:val="{11e80633-2ba4-4eab-b475-99f1280f9a6d}"/>
        <w:style w:val=""/>
        <w:category>
          <w:name w:val="常规"/>
          <w:gallery w:val="placeholder"/>
        </w:category>
        <w:types>
          <w:type w:val="bbPlcHdr"/>
        </w:types>
        <w:behaviors>
          <w:behavior w:val="content"/>
        </w:behaviors>
        <w:description w:val=""/>
        <w:guid w:val="{11e80633-2ba4-4eab-b475-99f1280f9a6d}"/>
      </w:docPartPr>
      <w:docPartBody>
        <w:p>
          <w:r>
            <w:rPr>
              <w:color w:val="808080"/>
            </w:rPr>
            <w:t>单击此处输入文字。</w:t>
          </w:r>
        </w:p>
      </w:docPartBody>
    </w:docPart>
    <w:docPart>
      <w:docPartPr>
        <w:name w:val="{421cccae-1510-4fba-949a-760f83ca0a9e}"/>
        <w:style w:val=""/>
        <w:category>
          <w:name w:val="常规"/>
          <w:gallery w:val="placeholder"/>
        </w:category>
        <w:types>
          <w:type w:val="bbPlcHdr"/>
        </w:types>
        <w:behaviors>
          <w:behavior w:val="content"/>
        </w:behaviors>
        <w:description w:val=""/>
        <w:guid w:val="{421cccae-1510-4fba-949a-760f83ca0a9e}"/>
      </w:docPartPr>
      <w:docPartBody>
        <w:p>
          <w:r>
            <w:rPr>
              <w:color w:val="808080"/>
            </w:rPr>
            <w:t>单击此处输入文字。</w:t>
          </w:r>
        </w:p>
      </w:docPartBody>
    </w:docPart>
    <w:docPart>
      <w:docPartPr>
        <w:name w:val="{c06314a5-5df5-4572-aae1-07cb212262d9}"/>
        <w:style w:val=""/>
        <w:category>
          <w:name w:val="常规"/>
          <w:gallery w:val="placeholder"/>
        </w:category>
        <w:types>
          <w:type w:val="bbPlcHdr"/>
        </w:types>
        <w:behaviors>
          <w:behavior w:val="content"/>
        </w:behaviors>
        <w:description w:val=""/>
        <w:guid w:val="{c06314a5-5df5-4572-aae1-07cb212262d9}"/>
      </w:docPartPr>
      <w:docPartBody>
        <w:p>
          <w:r>
            <w:rPr>
              <w:color w:val="808080"/>
            </w:rPr>
            <w:t>单击此处输入文字。</w:t>
          </w:r>
        </w:p>
      </w:docPartBody>
    </w:docPart>
    <w:docPart>
      <w:docPartPr>
        <w:name w:val="{2ba2b302-207c-446c-bdf9-ade2800120ca}"/>
        <w:style w:val=""/>
        <w:category>
          <w:name w:val="常规"/>
          <w:gallery w:val="placeholder"/>
        </w:category>
        <w:types>
          <w:type w:val="bbPlcHdr"/>
        </w:types>
        <w:behaviors>
          <w:behavior w:val="content"/>
        </w:behaviors>
        <w:description w:val=""/>
        <w:guid w:val="{2ba2b302-207c-446c-bdf9-ade2800120ca}"/>
      </w:docPartPr>
      <w:docPartBody>
        <w:p>
          <w:r>
            <w:rPr>
              <w:color w:val="808080"/>
            </w:rPr>
            <w:t>单击此处输入文字。</w:t>
          </w:r>
        </w:p>
      </w:docPartBody>
    </w:docPart>
    <w:docPart>
      <w:docPartPr>
        <w:name w:val="{96b5357f-36e9-4d08-a770-8134e23e0889}"/>
        <w:style w:val=""/>
        <w:category>
          <w:name w:val="常规"/>
          <w:gallery w:val="placeholder"/>
        </w:category>
        <w:types>
          <w:type w:val="bbPlcHdr"/>
        </w:types>
        <w:behaviors>
          <w:behavior w:val="content"/>
        </w:behaviors>
        <w:description w:val=""/>
        <w:guid w:val="{96b5357f-36e9-4d08-a770-8134e23e0889}"/>
      </w:docPartPr>
      <w:docPartBody>
        <w:p>
          <w:r>
            <w:rPr>
              <w:color w:val="808080"/>
            </w:rPr>
            <w:t>单击此处输入文字。</w:t>
          </w:r>
        </w:p>
      </w:docPartBody>
    </w:docPart>
    <w:docPart>
      <w:docPartPr>
        <w:name w:val="{e5b5ab9b-4cb8-4902-b09e-a72fe576f98d}"/>
        <w:style w:val=""/>
        <w:category>
          <w:name w:val="常规"/>
          <w:gallery w:val="placeholder"/>
        </w:category>
        <w:types>
          <w:type w:val="bbPlcHdr"/>
        </w:types>
        <w:behaviors>
          <w:behavior w:val="content"/>
        </w:behaviors>
        <w:description w:val=""/>
        <w:guid w:val="{e5b5ab9b-4cb8-4902-b09e-a72fe576f98d}"/>
      </w:docPartPr>
      <w:docPartBody>
        <w:p>
          <w:r>
            <w:rPr>
              <w:color w:val="808080"/>
            </w:rPr>
            <w:t>单击此处输入文字。</w:t>
          </w:r>
        </w:p>
      </w:docPartBody>
    </w:docPart>
    <w:docPart>
      <w:docPartPr>
        <w:name w:val="{e2ff62c7-5d93-4e61-8590-955e5e1d05e1}"/>
        <w:style w:val=""/>
        <w:category>
          <w:name w:val="常规"/>
          <w:gallery w:val="placeholder"/>
        </w:category>
        <w:types>
          <w:type w:val="bbPlcHdr"/>
        </w:types>
        <w:behaviors>
          <w:behavior w:val="content"/>
        </w:behaviors>
        <w:description w:val=""/>
        <w:guid w:val="{e2ff62c7-5d93-4e61-8590-955e5e1d05e1}"/>
      </w:docPartPr>
      <w:docPartBody>
        <w:p>
          <w:r>
            <w:rPr>
              <w:color w:val="808080"/>
            </w:rPr>
            <w:t>单击此处输入文字。</w:t>
          </w:r>
        </w:p>
      </w:docPartBody>
    </w:docPart>
    <w:docPart>
      <w:docPartPr>
        <w:name w:val="{6cacc562-83c0-4b1c-aed1-a411f44e261a}"/>
        <w:style w:val=""/>
        <w:category>
          <w:name w:val="常规"/>
          <w:gallery w:val="placeholder"/>
        </w:category>
        <w:types>
          <w:type w:val="bbPlcHdr"/>
        </w:types>
        <w:behaviors>
          <w:behavior w:val="content"/>
        </w:behaviors>
        <w:description w:val=""/>
        <w:guid w:val="{6cacc562-83c0-4b1c-aed1-a411f44e261a}"/>
      </w:docPartPr>
      <w:docPartBody>
        <w:p>
          <w:r>
            <w:rPr>
              <w:color w:val="808080"/>
            </w:rPr>
            <w:t>单击此处输入文字。</w:t>
          </w:r>
        </w:p>
      </w:docPartBody>
    </w:docPart>
    <w:docPart>
      <w:docPartPr>
        <w:name w:val="{360df502-7e28-4134-bb25-f2f4963dcc67}"/>
        <w:style w:val=""/>
        <w:category>
          <w:name w:val="常规"/>
          <w:gallery w:val="placeholder"/>
        </w:category>
        <w:types>
          <w:type w:val="bbPlcHdr"/>
        </w:types>
        <w:behaviors>
          <w:behavior w:val="content"/>
        </w:behaviors>
        <w:description w:val=""/>
        <w:guid w:val="{360df502-7e28-4134-bb25-f2f4963dcc67}"/>
      </w:docPartPr>
      <w:docPartBody>
        <w:p>
          <w:r>
            <w:rPr>
              <w:color w:val="808080"/>
            </w:rPr>
            <w:t>单击此处输入文字。</w:t>
          </w:r>
        </w:p>
      </w:docPartBody>
    </w:docPart>
    <w:docPart>
      <w:docPartPr>
        <w:name w:val="{7ab606dd-808f-4c1e-ba6b-588d4673759d}"/>
        <w:style w:val=""/>
        <w:category>
          <w:name w:val="常规"/>
          <w:gallery w:val="placeholder"/>
        </w:category>
        <w:types>
          <w:type w:val="bbPlcHdr"/>
        </w:types>
        <w:behaviors>
          <w:behavior w:val="content"/>
        </w:behaviors>
        <w:description w:val=""/>
        <w:guid w:val="{7ab606dd-808f-4c1e-ba6b-588d4673759d}"/>
      </w:docPartPr>
      <w:docPartBody>
        <w:p>
          <w:r>
            <w:rPr>
              <w:color w:val="808080"/>
            </w:rPr>
            <w:t>单击此处输入文字。</w:t>
          </w:r>
        </w:p>
      </w:docPartBody>
    </w:docPart>
    <w:docPart>
      <w:docPartPr>
        <w:name w:val="{1304a192-ed37-4893-854c-7ac83099cc68}"/>
        <w:style w:val=""/>
        <w:category>
          <w:name w:val="常规"/>
          <w:gallery w:val="placeholder"/>
        </w:category>
        <w:types>
          <w:type w:val="bbPlcHdr"/>
        </w:types>
        <w:behaviors>
          <w:behavior w:val="content"/>
        </w:behaviors>
        <w:description w:val=""/>
        <w:guid w:val="{1304a192-ed37-4893-854c-7ac83099cc68}"/>
      </w:docPartPr>
      <w:docPartBody>
        <w:p>
          <w:r>
            <w:rPr>
              <w:color w:val="808080"/>
            </w:rPr>
            <w:t>单击此处输入文字。</w:t>
          </w:r>
        </w:p>
      </w:docPartBody>
    </w:docPart>
    <w:docPart>
      <w:docPartPr>
        <w:name w:val="{9516f9ed-79c6-4562-9209-ae6ecb853e27}"/>
        <w:style w:val=""/>
        <w:category>
          <w:name w:val="常规"/>
          <w:gallery w:val="placeholder"/>
        </w:category>
        <w:types>
          <w:type w:val="bbPlcHdr"/>
        </w:types>
        <w:behaviors>
          <w:behavior w:val="content"/>
        </w:behaviors>
        <w:description w:val=""/>
        <w:guid w:val="{9516f9ed-79c6-4562-9209-ae6ecb853e27}"/>
      </w:docPartPr>
      <w:docPartBody>
        <w:p>
          <w:r>
            <w:rPr>
              <w:color w:val="808080"/>
            </w:rPr>
            <w:t>单击此处输入文字。</w:t>
          </w:r>
        </w:p>
      </w:docPartBody>
    </w:docPart>
    <w:docPart>
      <w:docPartPr>
        <w:name w:val="{fcc36905-88d8-4e88-b637-0e8f121ada3c}"/>
        <w:style w:val=""/>
        <w:category>
          <w:name w:val="常规"/>
          <w:gallery w:val="placeholder"/>
        </w:category>
        <w:types>
          <w:type w:val="bbPlcHdr"/>
        </w:types>
        <w:behaviors>
          <w:behavior w:val="content"/>
        </w:behaviors>
        <w:description w:val=""/>
        <w:guid w:val="{fcc36905-88d8-4e88-b637-0e8f121ada3c}"/>
      </w:docPartPr>
      <w:docPartBody>
        <w:p>
          <w:r>
            <w:rPr>
              <w:color w:val="808080"/>
            </w:rPr>
            <w:t>单击此处输入文字。</w:t>
          </w:r>
        </w:p>
      </w:docPartBody>
    </w:docPart>
    <w:docPart>
      <w:docPartPr>
        <w:name w:val="{efa714d8-5217-4b23-843a-6a2647e60d34}"/>
        <w:style w:val=""/>
        <w:category>
          <w:name w:val="常规"/>
          <w:gallery w:val="placeholder"/>
        </w:category>
        <w:types>
          <w:type w:val="bbPlcHdr"/>
        </w:types>
        <w:behaviors>
          <w:behavior w:val="content"/>
        </w:behaviors>
        <w:description w:val=""/>
        <w:guid w:val="{efa714d8-5217-4b23-843a-6a2647e60d34}"/>
      </w:docPartPr>
      <w:docPartBody>
        <w:p>
          <w:r>
            <w:rPr>
              <w:color w:val="808080"/>
            </w:rPr>
            <w:t>单击此处输入文字。</w:t>
          </w:r>
        </w:p>
      </w:docPartBody>
    </w:docPart>
    <w:docPart>
      <w:docPartPr>
        <w:name w:val="{52727b91-6207-4329-a7bb-1aa9ab99947b}"/>
        <w:style w:val=""/>
        <w:category>
          <w:name w:val="常规"/>
          <w:gallery w:val="placeholder"/>
        </w:category>
        <w:types>
          <w:type w:val="bbPlcHdr"/>
        </w:types>
        <w:behaviors>
          <w:behavior w:val="content"/>
        </w:behaviors>
        <w:description w:val=""/>
        <w:guid w:val="{52727b91-6207-4329-a7bb-1aa9ab99947b}"/>
      </w:docPartPr>
      <w:docPartBody>
        <w:p>
          <w:r>
            <w:rPr>
              <w:color w:val="808080"/>
            </w:rPr>
            <w:t>单击此处输入文字。</w:t>
          </w:r>
        </w:p>
      </w:docPartBody>
    </w:docPart>
    <w:docPart>
      <w:docPartPr>
        <w:name w:val="{40c71c70-f52c-40db-909d-7ff220e53645}"/>
        <w:style w:val=""/>
        <w:category>
          <w:name w:val="常规"/>
          <w:gallery w:val="placeholder"/>
        </w:category>
        <w:types>
          <w:type w:val="bbPlcHdr"/>
        </w:types>
        <w:behaviors>
          <w:behavior w:val="content"/>
        </w:behaviors>
        <w:description w:val=""/>
        <w:guid w:val="{40c71c70-f52c-40db-909d-7ff220e53645}"/>
      </w:docPartPr>
      <w:docPartBody>
        <w:p>
          <w:r>
            <w:rPr>
              <w:color w:val="808080"/>
            </w:rPr>
            <w:t>单击此处输入文字。</w:t>
          </w:r>
        </w:p>
      </w:docPartBody>
    </w:docPart>
    <w:docPart>
      <w:docPartPr>
        <w:name w:val="{31f85e87-f4c1-4119-9849-4c4fb4316862}"/>
        <w:style w:val=""/>
        <w:category>
          <w:name w:val="常规"/>
          <w:gallery w:val="placeholder"/>
        </w:category>
        <w:types>
          <w:type w:val="bbPlcHdr"/>
        </w:types>
        <w:behaviors>
          <w:behavior w:val="content"/>
        </w:behaviors>
        <w:description w:val=""/>
        <w:guid w:val="{31f85e87-f4c1-4119-9849-4c4fb4316862}"/>
      </w:docPartPr>
      <w:docPartBody>
        <w:p>
          <w:r>
            <w:rPr>
              <w:color w:val="808080"/>
            </w:rPr>
            <w:t>单击此处输入文字。</w:t>
          </w:r>
        </w:p>
      </w:docPartBody>
    </w:docPart>
    <w:docPart>
      <w:docPartPr>
        <w:name w:val="{e63e9d0a-f439-490d-884c-cfe03c566b8d}"/>
        <w:style w:val=""/>
        <w:category>
          <w:name w:val="常规"/>
          <w:gallery w:val="placeholder"/>
        </w:category>
        <w:types>
          <w:type w:val="bbPlcHdr"/>
        </w:types>
        <w:behaviors>
          <w:behavior w:val="content"/>
        </w:behaviors>
        <w:description w:val=""/>
        <w:guid w:val="{e63e9d0a-f439-490d-884c-cfe03c566b8d}"/>
      </w:docPartPr>
      <w:docPartBody>
        <w:p>
          <w:r>
            <w:rPr>
              <w:color w:val="808080"/>
            </w:rPr>
            <w:t>单击此处输入文字。</w:t>
          </w:r>
        </w:p>
      </w:docPartBody>
    </w:docPart>
    <w:docPart>
      <w:docPartPr>
        <w:name w:val="{71ca43ff-a368-49ec-bb44-0447d510d669}"/>
        <w:style w:val=""/>
        <w:category>
          <w:name w:val="常规"/>
          <w:gallery w:val="placeholder"/>
        </w:category>
        <w:types>
          <w:type w:val="bbPlcHdr"/>
        </w:types>
        <w:behaviors>
          <w:behavior w:val="content"/>
        </w:behaviors>
        <w:description w:val=""/>
        <w:guid w:val="{71ca43ff-a368-49ec-bb44-0447d510d669}"/>
      </w:docPartPr>
      <w:docPartBody>
        <w:p>
          <w:r>
            <w:rPr>
              <w:color w:val="808080"/>
            </w:rPr>
            <w:t>单击此处输入文字。</w:t>
          </w:r>
        </w:p>
      </w:docPartBody>
    </w:docPart>
    <w:docPart>
      <w:docPartPr>
        <w:name w:val="{2403d5e2-7f60-4b29-91fe-6e461047b942}"/>
        <w:style w:val=""/>
        <w:category>
          <w:name w:val="常规"/>
          <w:gallery w:val="placeholder"/>
        </w:category>
        <w:types>
          <w:type w:val="bbPlcHdr"/>
        </w:types>
        <w:behaviors>
          <w:behavior w:val="content"/>
        </w:behaviors>
        <w:description w:val=""/>
        <w:guid w:val="{2403d5e2-7f60-4b29-91fe-6e461047b942}"/>
      </w:docPartPr>
      <w:docPartBody>
        <w:p>
          <w:r>
            <w:rPr>
              <w:color w:val="808080"/>
            </w:rPr>
            <w:t>单击此处输入文字。</w:t>
          </w:r>
        </w:p>
      </w:docPartBody>
    </w:docPart>
    <w:docPart>
      <w:docPartPr>
        <w:name w:val="{adc8bad9-0ed6-4c04-a76d-34a79590eb71}"/>
        <w:style w:val=""/>
        <w:category>
          <w:name w:val="常规"/>
          <w:gallery w:val="placeholder"/>
        </w:category>
        <w:types>
          <w:type w:val="bbPlcHdr"/>
        </w:types>
        <w:behaviors>
          <w:behavior w:val="content"/>
        </w:behaviors>
        <w:description w:val=""/>
        <w:guid w:val="{adc8bad9-0ed6-4c04-a76d-34a79590eb71}"/>
      </w:docPartPr>
      <w:docPartBody>
        <w:p>
          <w:r>
            <w:rPr>
              <w:color w:val="808080"/>
            </w:rPr>
            <w:t>单击此处输入文字。</w:t>
          </w:r>
        </w:p>
      </w:docPartBody>
    </w:docPart>
    <w:docPart>
      <w:docPartPr>
        <w:name w:val="{b1fe46de-f9e6-4c97-89e4-8cc9ecd0ebd4}"/>
        <w:style w:val=""/>
        <w:category>
          <w:name w:val="常规"/>
          <w:gallery w:val="placeholder"/>
        </w:category>
        <w:types>
          <w:type w:val="bbPlcHdr"/>
        </w:types>
        <w:behaviors>
          <w:behavior w:val="content"/>
        </w:behaviors>
        <w:description w:val=""/>
        <w:guid w:val="{b1fe46de-f9e6-4c97-89e4-8cc9ecd0ebd4}"/>
      </w:docPartPr>
      <w:docPartBody>
        <w:p>
          <w:r>
            <w:rPr>
              <w:color w:val="808080"/>
            </w:rPr>
            <w:t>单击此处输入文字。</w:t>
          </w:r>
        </w:p>
      </w:docPartBody>
    </w:docPart>
    <w:docPart>
      <w:docPartPr>
        <w:name w:val="{7c05dd98-b00a-4da8-9e59-0d62e80fe657}"/>
        <w:style w:val=""/>
        <w:category>
          <w:name w:val="常规"/>
          <w:gallery w:val="placeholder"/>
        </w:category>
        <w:types>
          <w:type w:val="bbPlcHdr"/>
        </w:types>
        <w:behaviors>
          <w:behavior w:val="content"/>
        </w:behaviors>
        <w:description w:val=""/>
        <w:guid w:val="{7c05dd98-b00a-4da8-9e59-0d62e80fe657}"/>
      </w:docPartPr>
      <w:docPartBody>
        <w:p>
          <w:r>
            <w:rPr>
              <w:color w:val="808080"/>
            </w:rPr>
            <w:t>单击此处输入文字。</w:t>
          </w:r>
        </w:p>
      </w:docPartBody>
    </w:docPart>
    <w:docPart>
      <w:docPartPr>
        <w:name w:val="{ae4236e4-33cd-4eee-bb70-df9cc0751e69}"/>
        <w:style w:val=""/>
        <w:category>
          <w:name w:val="常规"/>
          <w:gallery w:val="placeholder"/>
        </w:category>
        <w:types>
          <w:type w:val="bbPlcHdr"/>
        </w:types>
        <w:behaviors>
          <w:behavior w:val="content"/>
        </w:behaviors>
        <w:description w:val=""/>
        <w:guid w:val="{ae4236e4-33cd-4eee-bb70-df9cc0751e69}"/>
      </w:docPartPr>
      <w:docPartBody>
        <w:p>
          <w:r>
            <w:rPr>
              <w:color w:val="808080"/>
            </w:rPr>
            <w:t>单击此处输入文字。</w:t>
          </w:r>
        </w:p>
      </w:docPartBody>
    </w:docPart>
    <w:docPart>
      <w:docPartPr>
        <w:name w:val="{50be022f-8786-4589-8f30-82594083a7c6}"/>
        <w:style w:val=""/>
        <w:category>
          <w:name w:val="常规"/>
          <w:gallery w:val="placeholder"/>
        </w:category>
        <w:types>
          <w:type w:val="bbPlcHdr"/>
        </w:types>
        <w:behaviors>
          <w:behavior w:val="content"/>
        </w:behaviors>
        <w:description w:val=""/>
        <w:guid w:val="{50be022f-8786-4589-8f30-82594083a7c6}"/>
      </w:docPartPr>
      <w:docPartBody>
        <w:p>
          <w:r>
            <w:rPr>
              <w:color w:val="808080"/>
            </w:rPr>
            <w:t>单击此处输入文字。</w:t>
          </w:r>
        </w:p>
      </w:docPartBody>
    </w:docPart>
    <w:docPart>
      <w:docPartPr>
        <w:name w:val="{6c267f3a-58d2-4556-abb5-3c9707c8c112}"/>
        <w:style w:val=""/>
        <w:category>
          <w:name w:val="常规"/>
          <w:gallery w:val="placeholder"/>
        </w:category>
        <w:types>
          <w:type w:val="bbPlcHdr"/>
        </w:types>
        <w:behaviors>
          <w:behavior w:val="content"/>
        </w:behaviors>
        <w:description w:val=""/>
        <w:guid w:val="{6c267f3a-58d2-4556-abb5-3c9707c8c112}"/>
      </w:docPartPr>
      <w:docPartBody>
        <w:p>
          <w:r>
            <w:rPr>
              <w:color w:val="808080"/>
            </w:rPr>
            <w:t>单击此处输入文字。</w:t>
          </w:r>
        </w:p>
      </w:docPartBody>
    </w:docPart>
    <w:docPart>
      <w:docPartPr>
        <w:name w:val="{2969f298-a793-41d4-8b56-c2271761e50d}"/>
        <w:style w:val=""/>
        <w:category>
          <w:name w:val="常规"/>
          <w:gallery w:val="placeholder"/>
        </w:category>
        <w:types>
          <w:type w:val="bbPlcHdr"/>
        </w:types>
        <w:behaviors>
          <w:behavior w:val="content"/>
        </w:behaviors>
        <w:description w:val=""/>
        <w:guid w:val="{2969f298-a793-41d4-8b56-c2271761e50d}"/>
      </w:docPartPr>
      <w:docPartBody>
        <w:p>
          <w:r>
            <w:rPr>
              <w:color w:val="808080"/>
            </w:rPr>
            <w:t>单击此处输入文字。</w:t>
          </w:r>
        </w:p>
      </w:docPartBody>
    </w:docPart>
    <w:docPart>
      <w:docPartPr>
        <w:name w:val="{cf52ee1f-477c-4dd5-8430-176ada976ea9}"/>
        <w:style w:val=""/>
        <w:category>
          <w:name w:val="常规"/>
          <w:gallery w:val="placeholder"/>
        </w:category>
        <w:types>
          <w:type w:val="bbPlcHdr"/>
        </w:types>
        <w:behaviors>
          <w:behavior w:val="content"/>
        </w:behaviors>
        <w:description w:val=""/>
        <w:guid w:val="{cf52ee1f-477c-4dd5-8430-176ada976ea9}"/>
      </w:docPartPr>
      <w:docPartBody>
        <w:p>
          <w:r>
            <w:rPr>
              <w:color w:val="808080"/>
            </w:rPr>
            <w:t>单击此处输入文字。</w:t>
          </w:r>
        </w:p>
      </w:docPartBody>
    </w:docPart>
    <w:docPart>
      <w:docPartPr>
        <w:name w:val="{193f99b4-017b-443b-b353-0696f325786f}"/>
        <w:style w:val=""/>
        <w:category>
          <w:name w:val="常规"/>
          <w:gallery w:val="placeholder"/>
        </w:category>
        <w:types>
          <w:type w:val="bbPlcHdr"/>
        </w:types>
        <w:behaviors>
          <w:behavior w:val="content"/>
        </w:behaviors>
        <w:description w:val=""/>
        <w:guid w:val="{193f99b4-017b-443b-b353-0696f325786f}"/>
      </w:docPartPr>
      <w:docPartBody>
        <w:p>
          <w:r>
            <w:rPr>
              <w:color w:val="808080"/>
            </w:rPr>
            <w:t>单击此处输入文字。</w:t>
          </w:r>
        </w:p>
      </w:docPartBody>
    </w:docPart>
    <w:docPart>
      <w:docPartPr>
        <w:name w:val="{0c04541c-fed9-4e4c-b0f3-a7999d9ce8a0}"/>
        <w:style w:val=""/>
        <w:category>
          <w:name w:val="常规"/>
          <w:gallery w:val="placeholder"/>
        </w:category>
        <w:types>
          <w:type w:val="bbPlcHdr"/>
        </w:types>
        <w:behaviors>
          <w:behavior w:val="content"/>
        </w:behaviors>
        <w:description w:val=""/>
        <w:guid w:val="{0c04541c-fed9-4e4c-b0f3-a7999d9ce8a0}"/>
      </w:docPartPr>
      <w:docPartBody>
        <w:p>
          <w:r>
            <w:rPr>
              <w:color w:val="808080"/>
            </w:rPr>
            <w:t>单击此处输入文字。</w:t>
          </w:r>
        </w:p>
      </w:docPartBody>
    </w:docPart>
    <w:docPart>
      <w:docPartPr>
        <w:name w:val="{2f708473-022c-458b-8f3d-49d9670695ad}"/>
        <w:style w:val=""/>
        <w:category>
          <w:name w:val="常规"/>
          <w:gallery w:val="placeholder"/>
        </w:category>
        <w:types>
          <w:type w:val="bbPlcHdr"/>
        </w:types>
        <w:behaviors>
          <w:behavior w:val="content"/>
        </w:behaviors>
        <w:description w:val=""/>
        <w:guid w:val="{2f708473-022c-458b-8f3d-49d9670695ad}"/>
      </w:docPartPr>
      <w:docPartBody>
        <w:p>
          <w:r>
            <w:rPr>
              <w:color w:val="808080"/>
            </w:rPr>
            <w:t>单击此处输入文字。</w:t>
          </w:r>
        </w:p>
      </w:docPartBody>
    </w:docPart>
    <w:docPart>
      <w:docPartPr>
        <w:name w:val="{fcbf777e-8077-4309-933c-6812cc51abea}"/>
        <w:style w:val=""/>
        <w:category>
          <w:name w:val="常规"/>
          <w:gallery w:val="placeholder"/>
        </w:category>
        <w:types>
          <w:type w:val="bbPlcHdr"/>
        </w:types>
        <w:behaviors>
          <w:behavior w:val="content"/>
        </w:behaviors>
        <w:description w:val=""/>
        <w:guid w:val="{fcbf777e-8077-4309-933c-6812cc51abea}"/>
      </w:docPartPr>
      <w:docPartBody>
        <w:p>
          <w:r>
            <w:rPr>
              <w:color w:val="808080"/>
            </w:rPr>
            <w:t>单击此处输入文字。</w:t>
          </w:r>
        </w:p>
      </w:docPartBody>
    </w:docPart>
    <w:docPart>
      <w:docPartPr>
        <w:name w:val="{6c9ca509-eaf5-4fa1-bf30-5a957696d0d3}"/>
        <w:style w:val=""/>
        <w:category>
          <w:name w:val="常规"/>
          <w:gallery w:val="placeholder"/>
        </w:category>
        <w:types>
          <w:type w:val="bbPlcHdr"/>
        </w:types>
        <w:behaviors>
          <w:behavior w:val="content"/>
        </w:behaviors>
        <w:description w:val=""/>
        <w:guid w:val="{6c9ca509-eaf5-4fa1-bf30-5a957696d0d3}"/>
      </w:docPartPr>
      <w:docPartBody>
        <w:p>
          <w:r>
            <w:rPr>
              <w:color w:val="808080"/>
            </w:rPr>
            <w:t>单击此处输入文字。</w:t>
          </w:r>
        </w:p>
      </w:docPartBody>
    </w:docPart>
    <w:docPart>
      <w:docPartPr>
        <w:name w:val="{dfe1104b-fa30-4372-b977-1d26fbaf654f}"/>
        <w:style w:val=""/>
        <w:category>
          <w:name w:val="常规"/>
          <w:gallery w:val="placeholder"/>
        </w:category>
        <w:types>
          <w:type w:val="bbPlcHdr"/>
        </w:types>
        <w:behaviors>
          <w:behavior w:val="content"/>
        </w:behaviors>
        <w:description w:val=""/>
        <w:guid w:val="{dfe1104b-fa30-4372-b977-1d26fbaf654f}"/>
      </w:docPartPr>
      <w:docPartBody>
        <w:p>
          <w:r>
            <w:rPr>
              <w:color w:val="808080"/>
            </w:rPr>
            <w:t>单击此处输入文字。</w:t>
          </w:r>
        </w:p>
      </w:docPartBody>
    </w:docPart>
    <w:docPart>
      <w:docPartPr>
        <w:name w:val="{367c060d-8865-466f-a35f-2bf7637df244}"/>
        <w:style w:val=""/>
        <w:category>
          <w:name w:val="常规"/>
          <w:gallery w:val="placeholder"/>
        </w:category>
        <w:types>
          <w:type w:val="bbPlcHdr"/>
        </w:types>
        <w:behaviors>
          <w:behavior w:val="content"/>
        </w:behaviors>
        <w:description w:val=""/>
        <w:guid w:val="{367c060d-8865-466f-a35f-2bf7637df244}"/>
      </w:docPartPr>
      <w:docPartBody>
        <w:p>
          <w:r>
            <w:rPr>
              <w:color w:val="808080"/>
            </w:rPr>
            <w:t>单击此处输入文字。</w:t>
          </w:r>
        </w:p>
      </w:docPartBody>
    </w:docPart>
    <w:docPart>
      <w:docPartPr>
        <w:name w:val="{83319c9f-f857-4c80-bbc8-bc2d37c929c2}"/>
        <w:style w:val=""/>
        <w:category>
          <w:name w:val="常规"/>
          <w:gallery w:val="placeholder"/>
        </w:category>
        <w:types>
          <w:type w:val="bbPlcHdr"/>
        </w:types>
        <w:behaviors>
          <w:behavior w:val="content"/>
        </w:behaviors>
        <w:description w:val=""/>
        <w:guid w:val="{83319c9f-f857-4c80-bbc8-bc2d37c929c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5F9AD7-0D03-4C4D-A9C9-E6A15477C369}">
  <ds:schemaRefs/>
</ds:datastoreItem>
</file>

<file path=docProps/app.xml><?xml version="1.0" encoding="utf-8"?>
<Properties xmlns="http://schemas.openxmlformats.org/officeDocument/2006/extended-properties" xmlns:vt="http://schemas.openxmlformats.org/officeDocument/2006/docPropsVTypes">
  <Template>Normal</Template>
  <Pages>118</Pages>
  <Words>9803</Words>
  <Characters>55878</Characters>
  <Lines>465</Lines>
  <Paragraphs>131</Paragraphs>
  <TotalTime>2</TotalTime>
  <ScaleCrop>false</ScaleCrop>
  <LinksUpToDate>false</LinksUpToDate>
  <CharactersWithSpaces>65550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2020-11-23T10:00:00Z</dcterms:created>
  <dc:creator>Yin Fang Liu</dc:creator>
  <cp:lastModifiedBy>符琼玮</cp:lastModifiedBy>
  <cp:lastPrinted>2021-01-13T01:48:00Z</cp:lastPrinted>
  <dcterms:modified xsi:type="dcterms:W3CDTF">2021-11-02T03:02:51Z</dcterms:modified>
  <dc:title>儋州市国民经济和社会发展</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