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rPr>
        <w:t>全国人民代表大会常务委员会关于修改</w:t>
      </w:r>
      <w:r>
        <w:rPr>
          <w:rFonts w:hint="eastAsia" w:ascii="微软雅黑" w:hAnsi="微软雅黑" w:eastAsia="微软雅黑" w:cs="微软雅黑"/>
          <w:b w:val="0"/>
          <w:i w:val="0"/>
          <w:caps w:val="0"/>
          <w:color w:val="333333"/>
          <w:spacing w:val="0"/>
          <w:sz w:val="45"/>
          <w:szCs w:val="45"/>
          <w:bdr w:val="none" w:color="auto" w:sz="0" w:space="0"/>
          <w:shd w:val="clear" w:fill="FFFFFF"/>
        </w:rPr>
        <w:br w:type="textWrapping"/>
      </w:r>
      <w:r>
        <w:rPr>
          <w:rFonts w:hint="eastAsia" w:ascii="微软雅黑" w:hAnsi="微软雅黑" w:eastAsia="微软雅黑" w:cs="微软雅黑"/>
          <w:b w:val="0"/>
          <w:i w:val="0"/>
          <w:caps w:val="0"/>
          <w:color w:val="333333"/>
          <w:spacing w:val="0"/>
          <w:sz w:val="45"/>
          <w:szCs w:val="45"/>
          <w:bdr w:val="none" w:color="auto" w:sz="0" w:space="0"/>
          <w:shd w:val="clear" w:fill="FFFFFF"/>
        </w:rPr>
        <w:t>《中华人民共和国会计法》的决定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7" w:lineRule="atLeast"/>
        <w:ind w:left="0" w:right="0" w:firstLine="0"/>
        <w:jc w:val="center"/>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cstheme="minorEastAsia"/>
          <w:i w:val="0"/>
          <w:caps w:val="0"/>
          <w:color w:val="333333"/>
          <w:spacing w:val="0"/>
          <w:sz w:val="21"/>
          <w:szCs w:val="21"/>
          <w:bdr w:val="none" w:color="auto" w:sz="0" w:space="0"/>
          <w:shd w:val="clear" w:fill="FFFFFF"/>
          <w:lang w:eastAsia="zh-CN"/>
        </w:rPr>
        <w:t>（</w:t>
      </w:r>
      <w:r>
        <w:rPr>
          <w:rFonts w:hint="eastAsia" w:asciiTheme="minorEastAsia" w:hAnsiTheme="minorEastAsia" w:eastAsiaTheme="minorEastAsia" w:cstheme="minorEastAsia"/>
          <w:i w:val="0"/>
          <w:caps w:val="0"/>
          <w:color w:val="333333"/>
          <w:spacing w:val="0"/>
          <w:sz w:val="21"/>
          <w:szCs w:val="21"/>
          <w:bdr w:val="none" w:color="auto" w:sz="0" w:space="0"/>
          <w:shd w:val="clear" w:fill="FFFFFF"/>
        </w:rPr>
        <w:t>2024年6月28日第十四届全国人民代表大会常务委员会第十次会议通过）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第十四届全国人民代表大会常务委员会第十次会议决定对《中华人民共和国会计法》作如下修改：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一、第二条增加一款，作为第一款：“会计工作应当贯彻落实党和国家路线方针政策、决策部署，维护社会公共利益，为国民经济和社会发展服务。”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二、将第八条第三款单列一条，作为第四十九条，修改为：“中央军事委员会有关部门可以依照本法和国家统一的会计制度制定军队实施国家统一的会计制度的具体办法，抄送国务院财政部门。”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第八条增加一款，作为第三款：“国家加强会计信息化建设，鼓励依法采用现代信息技术开展会计工作，具体办法由国务院财政部门会同有关部门制定。”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三、将第十条、第二十五条合并，作为第十条，修改为：“各单位应当对下列经济业务事项办理会计手续，进行会计核算：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“（一）资产的增减和使用；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“（二）负债的增减；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“（三）净资产（所有者权益）的增减；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“（四）收入、支出、费用、成本的增减；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“（五）财务成果的计算和处理；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“（六）需要办理会计手续、进行会计核算的其他事项。”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四、将第二十条第二款修改为：“向不同的会计资料使用者提供的财务会计报告，其编制依据应当一致。有关法律、行政法规规定财务会计报告须经注册会计师审计的，注册会计师及其所在的会计师事务所出具的审计报告应当随同财务会计报告一并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五、将第二十三条修改为：“各单位对会计凭证、会计账簿、财务会计报告和其他会计资料应当建立档案，妥善保管。会计档案的保管期限、销毁、安全保护等具体管理办法，由国务院财政部门会同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六、将第三章并入第二章，删去第二十四条。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七、将第二十七条改为第二十五条，在“各单位应当建立、健全本单位内部会计监督制度”后增加“并将其纳入本单位内部控制制度”。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增加一项，作为第五项：“（五）国务院财政部门规定的其他要求”。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八、将第三十三条改为第三十一条，修改为：“财政、审计、税务、金融管理等部门应当依照有关法律、行政法规规定的职责，对有关单位的会计资料实施监督检查，并出具检查结论。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“财政、审计、税务、金融管理等部门应当加强监督检查协作，有关监督检查部门已经作出的检查结论能够满足其他监督检查部门履行本部门职责需要的，其他监督检查部门应当加以利用，避免重复查账。”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九、将第三十六条改为第三十四条，第一款修改为：“各单位应当根据会计业务的需要，依法采取下列一种方式组织本单位的会计工作：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“（一）设置会计机构；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“（二）在有关机构中设置会计岗位并指定会计主管人员；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“（三）委托经批准设立从事会计代理记账业务的中介机构代理记账；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“（四）国务院财政部门规定的其他方式。”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将第二款中的“国有资产”修改为“国有资本”。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十、将第四十二条改为第四十条，第一款第一自然段修改为：“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十一、将第四十三条、第四十四条合并，作为第四十一条，修改为：“伪造、变造会计凭证、会计账簿，编制虚假财务会计报告，隐匿或者故意销毁依法应当保存的会计凭证、会计账簿、财务会计报告的，由县级以上人民政府财政部门责令限期改正，给予警告、通报批</w:t>
      </w:r>
      <w:bookmarkStart w:id="0" w:name="_GoBack"/>
      <w:bookmarkEnd w:id="0"/>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十二、将第四十五条改为第四十二条，修改为：“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十三、增加一条，作为第四十六条：“违反本法规定，但具有《中华人民共和国行政处罚法》规定的从轻、减轻或者不予处罚情形的，依照其规定从轻、减轻或者不予处罚。”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十四、将第四十九条改为第四十七条，增加一款，作为第一款：“因违反本法规定受到处罚的，按照国家有关规定记入信用记录。”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十五、对部分条文作以下修改：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（一）将第二十六条改为第二十四条，其中的“公司、企业”修改为“各单位”，“所有者权益”修改为“净资产（所有者权益）”。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（二）将第三十四条改为第三十二条，其中的“国家秘密和商业秘密”修改为“国家秘密、工作秘密、商业秘密、个人隐私、个人信息”。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（三）将第三十九条改为第三十七条，在“提高业务素质”后增加“严格遵守国家有关保密规定”。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（四）将第四十六条改为第四十三条，其中的“构成犯罪的，依法追究刑事责任；尚不构成犯罪的，由其所在单位或者有关单位依法给予行政处分”修改为“依法给予处分；构成犯罪的，依法追究刑事责任”。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五）将第四十七条改为第四十四条，其中的“泄露国家秘密、商业秘密，构成犯罪的，依法追究刑事责任；尚不构成犯罪的，依法给予行政处分”修改为“泄露国家秘密、工作秘密、商业秘密、个人隐私、个人信息的，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（六）将第四十八条改为第四十五条，删去其中的“第三十条”；“由所在单位或者有关单位依法给予行政处分”修改为“依法给予处分”。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（七）将相关条文中的“帐”修改为“账”。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本决定自2024年7月1日起施行。</w:t>
      </w:r>
    </w:p>
    <w:p>
      <w:pPr>
        <w:keepNext w:val="0"/>
        <w:keepLines w:val="0"/>
        <w:pageBreakBefore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　　</w:t>
      </w:r>
      <w:r>
        <w:rPr>
          <w:rFonts w:hint="eastAsia" w:asciiTheme="minorEastAsia" w:hAnsiTheme="minorEastAsia" w:eastAsiaTheme="minorEastAsia" w:cstheme="minorEastAsia"/>
          <w:i w:val="0"/>
          <w:caps w:val="0"/>
          <w:color w:val="333333"/>
          <w:spacing w:val="0"/>
          <w:sz w:val="32"/>
          <w:szCs w:val="32"/>
          <w:shd w:val="clear" w:fill="FFFFFF"/>
        </w:rPr>
        <w:t>《中华人民共和国会计法》根据本决定作相应修改并对条文顺序作相应调整，重新公布。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044FC"/>
    <w:rsid w:val="1CEE5CB4"/>
    <w:rsid w:val="41E0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1176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2024-11-27T09:11:00Z</dcterms:created>
  <dc:creator>WPS_1480209406</dc:creator>
  <cp:lastModifiedBy>WPS_1480209406</cp:lastModifiedBy>
  <dcterms:modified xsi:type="dcterms:W3CDTF">2024-12-26T01:10:10Z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