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222" w:lineRule="auto"/>
        <w:ind w:left="2618"/>
        <w:rPr>
          <w:rFonts w:ascii="仿宋" w:hAnsi="仿宋" w:eastAsia="仿宋" w:cs="仿宋"/>
          <w:sz w:val="28"/>
          <w:szCs w:val="28"/>
        </w:rPr>
      </w:pPr>
      <w:r>
        <w:rPr>
          <w:rFonts w:ascii="仿宋" w:hAnsi="仿宋" w:eastAsia="仿宋" w:cs="仿宋"/>
          <w:b/>
          <w:bCs/>
          <w:spacing w:val="-4"/>
          <w:sz w:val="28"/>
          <w:szCs w:val="28"/>
        </w:rPr>
        <w:t>手动密集架架体以及部件结构技术要求</w:t>
      </w:r>
    </w:p>
    <w:p>
      <w:pPr>
        <w:pStyle w:val="3"/>
        <w:spacing w:line="334" w:lineRule="auto"/>
      </w:pPr>
    </w:p>
    <w:p>
      <w:pPr>
        <w:spacing w:before="91" w:line="222" w:lineRule="auto"/>
        <w:ind w:left="15"/>
        <w:outlineLvl w:val="1"/>
        <w:rPr>
          <w:rFonts w:ascii="仿宋" w:hAnsi="仿宋" w:eastAsia="仿宋" w:cs="仿宋"/>
          <w:sz w:val="28"/>
          <w:szCs w:val="28"/>
        </w:rPr>
      </w:pPr>
      <w:r>
        <w:rPr>
          <w:rFonts w:ascii="仿宋" w:hAnsi="仿宋" w:eastAsia="仿宋" w:cs="仿宋"/>
          <w:b/>
          <w:bCs/>
          <w:spacing w:val="-2"/>
          <w:sz w:val="28"/>
          <w:szCs w:val="28"/>
        </w:rPr>
        <w:t>一、执行标准</w:t>
      </w:r>
    </w:p>
    <w:p>
      <w:pPr>
        <w:pStyle w:val="3"/>
        <w:spacing w:line="308" w:lineRule="auto"/>
      </w:pPr>
    </w:p>
    <w:p>
      <w:pPr>
        <w:spacing w:before="78" w:line="297" w:lineRule="auto"/>
        <w:ind w:left="9" w:firstLine="467"/>
        <w:jc w:val="both"/>
        <w:rPr>
          <w:rFonts w:ascii="仿宋" w:hAnsi="仿宋" w:eastAsia="仿宋" w:cs="仿宋"/>
          <w:sz w:val="24"/>
          <w:szCs w:val="24"/>
        </w:rPr>
      </w:pPr>
      <w:r>
        <w:rPr>
          <w:rFonts w:ascii="仿宋" w:hAnsi="仿宋" w:eastAsia="仿宋" w:cs="仿宋"/>
          <w:spacing w:val="-1"/>
          <w:sz w:val="24"/>
          <w:szCs w:val="24"/>
        </w:rPr>
        <w:t>根据档案密集架</w:t>
      </w:r>
      <w:r>
        <w:rPr>
          <w:rFonts w:hint="eastAsia" w:ascii="仿宋" w:hAnsi="仿宋" w:eastAsia="仿宋" w:cs="仿宋"/>
          <w:spacing w:val="-1"/>
          <w:sz w:val="24"/>
          <w:szCs w:val="24"/>
          <w:lang w:val="en-US" w:eastAsia="zh-CN"/>
        </w:rPr>
        <w:t>国家</w:t>
      </w:r>
      <w:r>
        <w:rPr>
          <w:rFonts w:ascii="仿宋" w:hAnsi="仿宋" w:eastAsia="仿宋" w:cs="仿宋"/>
          <w:spacing w:val="-1"/>
          <w:sz w:val="24"/>
          <w:szCs w:val="24"/>
        </w:rPr>
        <w:t>标准GB/T</w:t>
      </w:r>
      <w:r>
        <w:rPr>
          <w:rFonts w:hint="eastAsia" w:ascii="仿宋" w:hAnsi="仿宋" w:eastAsia="仿宋" w:cs="仿宋"/>
          <w:spacing w:val="-1"/>
          <w:sz w:val="24"/>
          <w:szCs w:val="24"/>
          <w:lang w:val="en-US" w:eastAsia="zh-CN"/>
        </w:rPr>
        <w:t>13667.3-2013</w:t>
      </w:r>
      <w:r>
        <w:rPr>
          <w:rFonts w:ascii="仿宋" w:hAnsi="仿宋" w:eastAsia="仿宋" w:cs="仿宋"/>
          <w:spacing w:val="-2"/>
          <w:sz w:val="24"/>
          <w:szCs w:val="24"/>
        </w:rPr>
        <w:t>开发生产的，适用于机关、</w:t>
      </w:r>
      <w:r>
        <w:rPr>
          <w:rFonts w:ascii="仿宋" w:hAnsi="仿宋" w:eastAsia="仿宋" w:cs="仿宋"/>
          <w:sz w:val="24"/>
          <w:szCs w:val="24"/>
        </w:rPr>
        <w:t xml:space="preserve"> 企事业单位图书资料室、档案室、样品室等存放图书</w:t>
      </w:r>
      <w:r>
        <w:rPr>
          <w:rFonts w:ascii="仿宋" w:hAnsi="仿宋" w:eastAsia="仿宋" w:cs="仿宋"/>
          <w:spacing w:val="-1"/>
          <w:sz w:val="24"/>
          <w:szCs w:val="24"/>
        </w:rPr>
        <w:t>资料、档案、货价、档案财务凭证、货物</w:t>
      </w:r>
      <w:r>
        <w:rPr>
          <w:rFonts w:ascii="仿宋" w:hAnsi="仿宋" w:eastAsia="仿宋" w:cs="仿宋"/>
          <w:sz w:val="24"/>
          <w:szCs w:val="24"/>
        </w:rPr>
        <w:t xml:space="preserve"> 的新型装具，与传统式书架、货架、档案架相</w:t>
      </w:r>
      <w:r>
        <w:rPr>
          <w:rFonts w:ascii="仿宋" w:hAnsi="仿宋" w:eastAsia="仿宋" w:cs="仿宋"/>
          <w:spacing w:val="-1"/>
          <w:sz w:val="24"/>
          <w:szCs w:val="24"/>
        </w:rPr>
        <w:t>比，储存量大，节省空间且更有传统性。</w:t>
      </w:r>
    </w:p>
    <w:p>
      <w:pPr>
        <w:spacing w:before="276" w:line="223" w:lineRule="auto"/>
        <w:ind w:left="20"/>
        <w:rPr>
          <w:rFonts w:ascii="仿宋" w:hAnsi="仿宋" w:eastAsia="仿宋" w:cs="仿宋"/>
          <w:sz w:val="28"/>
          <w:szCs w:val="28"/>
        </w:rPr>
      </w:pPr>
      <w:r>
        <w:rPr>
          <w:rFonts w:ascii="仿宋" w:hAnsi="仿宋" w:eastAsia="仿宋" w:cs="仿宋"/>
          <w:b/>
          <w:bCs/>
          <w:spacing w:val="-6"/>
          <w:sz w:val="28"/>
          <w:szCs w:val="28"/>
        </w:rPr>
        <w:t>二、质量引用标准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6" w:right="17" w:rightChars="0"/>
        <w:textAlignment w:val="baseline"/>
        <w:rPr>
          <w:rFonts w:ascii="仿宋" w:hAnsi="仿宋" w:eastAsia="仿宋" w:cs="仿宋"/>
          <w:b w:val="0"/>
          <w:bCs w:val="0"/>
          <w:spacing w:val="-1"/>
          <w:sz w:val="24"/>
          <w:szCs w:val="24"/>
        </w:rPr>
      </w:pPr>
      <w:r>
        <w:rPr>
          <w:rFonts w:ascii="仿宋" w:hAnsi="仿宋" w:eastAsia="仿宋" w:cs="仿宋"/>
          <w:b w:val="0"/>
          <w:bCs w:val="0"/>
          <w:spacing w:val="-1"/>
          <w:sz w:val="24"/>
          <w:szCs w:val="24"/>
        </w:rPr>
        <w:t>GB/T 3325-20</w:t>
      </w:r>
      <w:r>
        <w:rPr>
          <w:rFonts w:hint="eastAsia" w:ascii="仿宋" w:hAnsi="仿宋" w:eastAsia="仿宋" w:cs="仿宋"/>
          <w:b w:val="0"/>
          <w:bCs w:val="0"/>
          <w:spacing w:val="-1"/>
          <w:sz w:val="24"/>
          <w:szCs w:val="24"/>
          <w:lang w:val="en-US" w:eastAsia="zh-CN"/>
        </w:rPr>
        <w:t>24</w:t>
      </w:r>
      <w:r>
        <w:rPr>
          <w:rFonts w:ascii="仿宋" w:hAnsi="仿宋" w:eastAsia="仿宋" w:cs="仿宋"/>
          <w:b w:val="0"/>
          <w:bCs w:val="0"/>
          <w:spacing w:val="-1"/>
          <w:sz w:val="24"/>
          <w:szCs w:val="24"/>
        </w:rPr>
        <w:t xml:space="preserve">金属家具通用技术条件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6" w:right="17" w:rightChars="0"/>
        <w:textAlignment w:val="baseline"/>
      </w:pPr>
      <w:r>
        <w:rPr>
          <w:rFonts w:ascii="仿宋" w:hAnsi="仿宋" w:eastAsia="仿宋" w:cs="仿宋"/>
          <w:b w:val="0"/>
          <w:bCs w:val="0"/>
          <w:spacing w:val="-1"/>
          <w:sz w:val="24"/>
          <w:szCs w:val="24"/>
        </w:rPr>
        <w:t xml:space="preserve">GB/T </w:t>
      </w:r>
      <w:r>
        <w:rPr>
          <w:rFonts w:hint="eastAsia" w:ascii="仿宋" w:hAnsi="仿宋" w:eastAsia="仿宋" w:cs="仿宋"/>
          <w:b w:val="0"/>
          <w:bCs w:val="0"/>
          <w:spacing w:val="-1"/>
          <w:sz w:val="24"/>
          <w:szCs w:val="24"/>
          <w:lang w:val="en-US" w:eastAsia="zh-CN"/>
        </w:rPr>
        <w:t>13667.3-2013</w:t>
      </w:r>
      <w:r>
        <w:rPr>
          <w:rFonts w:ascii="仿宋" w:hAnsi="仿宋" w:eastAsia="仿宋" w:cs="仿宋"/>
          <w:b w:val="0"/>
          <w:bCs w:val="0"/>
          <w:spacing w:val="-1"/>
          <w:sz w:val="24"/>
          <w:szCs w:val="24"/>
        </w:rPr>
        <w:t xml:space="preserve"> </w:t>
      </w:r>
      <w:r>
        <w:rPr>
          <w:rFonts w:ascii="Helvetica" w:hAnsi="Helvetica" w:eastAsia="Helvetica" w:cs="Helvetica"/>
          <w:b w:val="0"/>
          <w:bCs w:val="0"/>
          <w:i w:val="0"/>
          <w:iCs w:val="0"/>
          <w:caps w:val="0"/>
          <w:color w:val="333333"/>
          <w:spacing w:val="0"/>
          <w:sz w:val="21"/>
          <w:szCs w:val="21"/>
          <w:shd w:val="clear" w:fill="FFFFFF"/>
        </w:rPr>
        <w:t>钢制书架 第3部分：手动密集书架</w:t>
      </w:r>
    </w:p>
    <w:p>
      <w:pPr>
        <w:spacing w:before="92" w:line="222" w:lineRule="auto"/>
        <w:ind w:left="18"/>
        <w:rPr>
          <w:rFonts w:ascii="仿宋" w:hAnsi="仿宋" w:eastAsia="仿宋" w:cs="仿宋"/>
          <w:sz w:val="28"/>
          <w:szCs w:val="28"/>
        </w:rPr>
      </w:pPr>
      <w:r>
        <w:rPr>
          <w:rFonts w:ascii="仿宋" w:hAnsi="仿宋" w:eastAsia="仿宋" w:cs="仿宋"/>
          <w:b/>
          <w:bCs/>
          <w:spacing w:val="-7"/>
          <w:sz w:val="28"/>
          <w:szCs w:val="28"/>
        </w:rPr>
        <w:t>三、制造公差</w:t>
      </w:r>
    </w:p>
    <w:p>
      <w:pPr>
        <w:spacing w:before="300" w:line="222" w:lineRule="auto"/>
        <w:ind w:left="18"/>
        <w:rPr>
          <w:rFonts w:ascii="仿宋" w:hAnsi="仿宋" w:eastAsia="仿宋" w:cs="仿宋"/>
          <w:sz w:val="24"/>
          <w:szCs w:val="24"/>
        </w:rPr>
      </w:pPr>
      <w:r>
        <w:rPr>
          <w:rFonts w:ascii="仿宋" w:hAnsi="仿宋" w:eastAsia="仿宋" w:cs="仿宋"/>
          <w:spacing w:val="-1"/>
          <w:sz w:val="24"/>
          <w:szCs w:val="24"/>
        </w:rPr>
        <w:t>1、每标准节组装后，外廓尺寸(长、宽、高)的极限偏差为±2mm;</w:t>
      </w:r>
    </w:p>
    <w:p>
      <w:pPr>
        <w:spacing w:before="301" w:line="222" w:lineRule="auto"/>
        <w:ind w:left="3"/>
        <w:rPr>
          <w:rFonts w:ascii="仿宋" w:hAnsi="仿宋" w:eastAsia="仿宋" w:cs="仿宋"/>
          <w:sz w:val="24"/>
          <w:szCs w:val="24"/>
        </w:rPr>
      </w:pPr>
      <w:r>
        <w:rPr>
          <w:rFonts w:ascii="仿宋" w:hAnsi="仿宋" w:eastAsia="仿宋" w:cs="仿宋"/>
          <w:spacing w:val="-1"/>
          <w:sz w:val="24"/>
          <w:szCs w:val="24"/>
        </w:rPr>
        <w:t>2、每标准节组装后，侧面板与中腰板的对缝处的间隙小于2mm;</w:t>
      </w:r>
    </w:p>
    <w:p>
      <w:pPr>
        <w:spacing w:before="305" w:line="231" w:lineRule="auto"/>
        <w:ind w:left="10" w:right="64" w:hanging="5"/>
        <w:rPr>
          <w:rFonts w:ascii="仿宋" w:hAnsi="仿宋" w:eastAsia="仿宋" w:cs="仿宋"/>
          <w:sz w:val="24"/>
          <w:szCs w:val="24"/>
        </w:rPr>
      </w:pPr>
      <w:r>
        <w:rPr>
          <w:rFonts w:ascii="仿宋" w:hAnsi="仿宋" w:eastAsia="仿宋" w:cs="仿宋"/>
          <w:sz w:val="24"/>
          <w:szCs w:val="24"/>
        </w:rPr>
        <w:t>3、轨道安装后，其平行度的偏差不大于1mm/m，全长不大于2m</w:t>
      </w:r>
      <w:r>
        <w:rPr>
          <w:rFonts w:ascii="仿宋" w:hAnsi="仿宋" w:eastAsia="仿宋" w:cs="仿宋"/>
          <w:spacing w:val="-1"/>
          <w:sz w:val="24"/>
          <w:szCs w:val="24"/>
        </w:rPr>
        <w:t>m;同一截面上的平行度的偏差不</w:t>
      </w:r>
      <w:r>
        <w:rPr>
          <w:rFonts w:ascii="仿宋" w:hAnsi="仿宋" w:eastAsia="仿宋" w:cs="仿宋"/>
          <w:sz w:val="24"/>
          <w:szCs w:val="24"/>
        </w:rPr>
        <w:t xml:space="preserve"> </w:t>
      </w:r>
      <w:r>
        <w:rPr>
          <w:rFonts w:ascii="仿宋" w:hAnsi="仿宋" w:eastAsia="仿宋" w:cs="仿宋"/>
          <w:spacing w:val="-2"/>
          <w:sz w:val="24"/>
          <w:szCs w:val="24"/>
        </w:rPr>
        <w:t>大于1mm/m，全长不大于2mm;</w:t>
      </w:r>
    </w:p>
    <w:p>
      <w:pPr>
        <w:spacing w:before="302" w:line="221" w:lineRule="auto"/>
        <w:rPr>
          <w:rFonts w:ascii="仿宋" w:hAnsi="仿宋" w:eastAsia="仿宋" w:cs="仿宋"/>
          <w:sz w:val="24"/>
          <w:szCs w:val="24"/>
        </w:rPr>
      </w:pPr>
      <w:r>
        <w:rPr>
          <w:rFonts w:ascii="仿宋" w:hAnsi="仿宋" w:eastAsia="仿宋" w:cs="仿宋"/>
          <w:sz w:val="24"/>
          <w:szCs w:val="24"/>
        </w:rPr>
        <w:t>4、每两条轨道的平行度偏差为小于2mm;导轨对接处高低差</w:t>
      </w:r>
      <w:r>
        <w:rPr>
          <w:rFonts w:ascii="仿宋" w:hAnsi="仿宋" w:eastAsia="仿宋" w:cs="仿宋"/>
          <w:spacing w:val="-1"/>
          <w:sz w:val="24"/>
          <w:szCs w:val="24"/>
        </w:rPr>
        <w:t>不大于0.3mm。</w:t>
      </w:r>
    </w:p>
    <w:p>
      <w:pPr>
        <w:spacing w:before="303" w:line="222" w:lineRule="auto"/>
        <w:ind w:left="5"/>
        <w:rPr>
          <w:rFonts w:ascii="仿宋" w:hAnsi="仿宋" w:eastAsia="仿宋" w:cs="仿宋"/>
          <w:sz w:val="24"/>
          <w:szCs w:val="24"/>
        </w:rPr>
      </w:pPr>
      <w:r>
        <w:rPr>
          <w:rFonts w:ascii="仿宋" w:hAnsi="仿宋" w:eastAsia="仿宋" w:cs="仿宋"/>
          <w:spacing w:val="-1"/>
          <w:sz w:val="24"/>
          <w:szCs w:val="24"/>
        </w:rPr>
        <w:t>5、底梁装配后的直线度不大于0.5mm/m，全长不大于2mm。</w:t>
      </w:r>
    </w:p>
    <w:p>
      <w:pPr>
        <w:spacing w:line="222" w:lineRule="auto"/>
        <w:rPr>
          <w:rFonts w:ascii="仿宋" w:hAnsi="仿宋" w:eastAsia="仿宋" w:cs="仿宋"/>
          <w:sz w:val="24"/>
          <w:szCs w:val="24"/>
        </w:rPr>
        <w:sectPr>
          <w:pgSz w:w="11910" w:h="16840"/>
          <w:pgMar w:top="1431" w:right="985" w:bottom="0" w:left="1027" w:header="0" w:footer="0" w:gutter="0"/>
          <w:cols w:space="720" w:num="1"/>
        </w:sectPr>
      </w:pPr>
    </w:p>
    <w:p>
      <w:pPr>
        <w:spacing w:before="133" w:line="212" w:lineRule="auto"/>
        <w:ind w:left="164"/>
        <w:rPr>
          <w:rFonts w:ascii="仿宋" w:hAnsi="仿宋" w:eastAsia="仿宋" w:cs="仿宋"/>
          <w:sz w:val="28"/>
          <w:szCs w:val="28"/>
        </w:rPr>
      </w:pPr>
      <w:r>
        <w:rPr>
          <w:rFonts w:ascii="仿宋" w:hAnsi="仿宋" w:eastAsia="仿宋" w:cs="仿宋"/>
          <w:b/>
          <w:bCs/>
          <w:spacing w:val="-9"/>
          <w:sz w:val="28"/>
          <w:szCs w:val="28"/>
        </w:rPr>
        <w:t>四、架体结构介绍</w:t>
      </w:r>
    </w:p>
    <w:p>
      <w:pPr>
        <w:spacing w:line="5380" w:lineRule="exact"/>
        <w:ind w:firstLine="112"/>
      </w:pPr>
      <w:r>
        <w:rPr>
          <w:position w:val="-107"/>
        </w:rPr>
        <w:drawing>
          <wp:inline distT="0" distB="0" distL="0" distR="0">
            <wp:extent cx="6052820" cy="34163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
                    <a:stretch>
                      <a:fillRect/>
                    </a:stretch>
                  </pic:blipFill>
                  <pic:spPr>
                    <a:xfrm>
                      <a:off x="0" y="0"/>
                      <a:ext cx="6053328" cy="3416808"/>
                    </a:xfrm>
                    <a:prstGeom prst="rect">
                      <a:avLst/>
                    </a:prstGeom>
                  </pic:spPr>
                </pic:pic>
              </a:graphicData>
            </a:graphic>
          </wp:inline>
        </w:drawing>
      </w:r>
    </w:p>
    <w:p>
      <w:pPr>
        <w:pStyle w:val="3"/>
        <w:spacing w:line="283" w:lineRule="auto"/>
      </w:pPr>
    </w:p>
    <w:p>
      <w:pPr>
        <w:pStyle w:val="3"/>
        <w:spacing w:line="283" w:lineRule="auto"/>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b w:val="0"/>
          <w:bCs w:val="0"/>
          <w:kern w:val="0"/>
          <w:sz w:val="24"/>
          <w:szCs w:val="24"/>
        </w:rPr>
        <w:t>密集架</w:t>
      </w:r>
      <w:r>
        <w:rPr>
          <w:rFonts w:hint="eastAsia" w:ascii="宋体" w:hAnsi="宋体" w:eastAsia="宋体" w:cs="宋体"/>
          <w:kern w:val="0"/>
          <w:sz w:val="24"/>
          <w:szCs w:val="24"/>
        </w:rPr>
        <w:t>各项指标均符合中华人民共和国GB/T13667.3-2013手动密集架国家标准</w:t>
      </w:r>
      <w:r>
        <w:rPr>
          <w:rFonts w:hint="eastAsia" w:ascii="宋体" w:hAnsi="宋体" w:eastAsia="宋体" w:cs="宋体"/>
          <w:kern w:val="0"/>
          <w:sz w:val="24"/>
          <w:szCs w:val="24"/>
          <w:lang w:eastAsia="zh-CN"/>
        </w:rPr>
        <w:t>。▲提供CMA标识手动密集架检测报告，依据GB/T13667.3-2013、GB/T1927.4-2021，外观：各零部件表面应光滑、平整，不应有流挂、起粒、皱皮、露底、剥落、伤痕等缺陷；表面涂层理化性能：硬度0.6；装配要求：单根导轨：直线度应不大于0mm/m，相邻两根导轨:水平高度偏差应不大于0.1mm；载重运行，在全静载荷的情况下运行试验，架体运动自如，没有阻滞现象，手柄摇力8.8N；结构强度：试验中架体不得发生倾倒现象，试验后架体倾斜量不得大于架体总高的 1%；甲醛释放量；提供检测报告及检测发票、发票须体现检测报告名称，检测报告国家市场监督管理总局《全国认证认可信息公共服务平台》查询，发票税务总局网站查询。</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原材料选用优质冷轧钢板，</w:t>
      </w:r>
      <w:r>
        <w:rPr>
          <w:rFonts w:hint="eastAsia" w:ascii="宋体" w:hAnsi="宋体" w:eastAsia="宋体" w:cs="宋体"/>
          <w:sz w:val="24"/>
          <w:szCs w:val="24"/>
        </w:rPr>
        <w:t>▲提供</w:t>
      </w:r>
      <w:r>
        <w:rPr>
          <w:rFonts w:hint="eastAsia" w:ascii="宋体" w:hAnsi="宋体" w:eastAsia="宋体" w:cs="宋体"/>
          <w:kern w:val="0"/>
          <w:sz w:val="24"/>
          <w:szCs w:val="24"/>
        </w:rPr>
        <w:t>CMA标识的的</w:t>
      </w:r>
      <w:r>
        <w:rPr>
          <w:rFonts w:hint="eastAsia" w:ascii="宋体" w:hAnsi="宋体" w:eastAsia="宋体" w:cs="宋体"/>
          <w:sz w:val="24"/>
          <w:szCs w:val="24"/>
        </w:rPr>
        <w:t>钢板</w:t>
      </w:r>
      <w:r>
        <w:rPr>
          <w:rFonts w:hint="eastAsia" w:ascii="宋体" w:hAnsi="宋体" w:eastAsia="宋体" w:cs="宋体"/>
          <w:kern w:val="0"/>
          <w:sz w:val="24"/>
          <w:szCs w:val="24"/>
        </w:rPr>
        <w:t>检测报告，依据QB/T1951.2-2013、QB/T3826-1999、QB/T3832-1999，重金属：可溶性铅、可溶性镉、可溶性铬、可溶性汞均小于5mg/kg；金属表面耐腐蚀：涂层对基体的保护等级为10级，涂层本身的耐腐蚀等级为10级；</w:t>
      </w:r>
      <w:r>
        <w:rPr>
          <w:rFonts w:hint="eastAsia" w:ascii="宋体" w:hAnsi="宋体" w:eastAsia="宋体" w:cs="宋体"/>
          <w:sz w:val="24"/>
          <w:szCs w:val="24"/>
        </w:rPr>
        <w:t>提供检测报告及检测发票、发票须体现检测报告名称、检测报告提供国家市场监督管理总局《全国认证认可信息公共服务平台》查询、发票提供</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"https://www.baidu.com/link?url=R0zui5g2K8D55ybyhBUA-zoCyjufAwAmT0T-NY_sJ62EdBwa1kxwYozZgyQjGz-iXSe12eqganPQOixziwPfm_&amp;wd=&amp;eqid=e416665d00022d20000000066524bf51" \t "https://www.baidu.com/_blank"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国家税务总局全国增值税发票查验平台</w:t>
      </w:r>
      <w:r>
        <w:rPr>
          <w:rFonts w:hint="eastAsia" w:ascii="宋体" w:hAnsi="宋体" w:eastAsia="宋体" w:cs="宋体"/>
          <w:sz w:val="24"/>
          <w:szCs w:val="24"/>
        </w:rPr>
        <w:fldChar w:fldCharType="end"/>
      </w:r>
      <w:r>
        <w:rPr>
          <w:rFonts w:hint="eastAsia" w:ascii="宋体" w:hAnsi="宋体" w:eastAsia="宋体" w:cs="宋体"/>
          <w:sz w:val="24"/>
          <w:szCs w:val="24"/>
        </w:rPr>
        <w:t>查询</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rPr>
        <w:t xml:space="preserve">    2、底架（座）：用材厚度为3.0mm热轧钢板，压制成槽型，底盘与立柱连接采用M10X20螺栓，底架装配后的直线平行度不大于0.5mm/m，全长不大于2mm。轴承梁采用3.0mm热轧钢板，四道弯边加强，采用数控流水线一次成型加工，增强底梁整体抗扭强度和抗变形能力。</w:t>
      </w:r>
      <w:r>
        <w:rPr>
          <w:rFonts w:hint="eastAsia" w:ascii="宋体" w:hAnsi="宋体" w:eastAsia="宋体" w:cs="宋体"/>
          <w:sz w:val="24"/>
          <w:szCs w:val="24"/>
        </w:rPr>
        <w:t>▲提供</w:t>
      </w:r>
      <w:r>
        <w:rPr>
          <w:rFonts w:hint="eastAsia" w:ascii="宋体" w:hAnsi="宋体" w:eastAsia="宋体" w:cs="宋体"/>
          <w:kern w:val="0"/>
          <w:sz w:val="24"/>
          <w:szCs w:val="24"/>
        </w:rPr>
        <w:t>CMA标识的的</w:t>
      </w:r>
      <w:r>
        <w:rPr>
          <w:rFonts w:hint="eastAsia" w:ascii="宋体" w:hAnsi="宋体" w:eastAsia="宋体" w:cs="宋体"/>
          <w:sz w:val="24"/>
          <w:szCs w:val="24"/>
          <w:lang w:val="en-US" w:eastAsia="zh-CN"/>
        </w:rPr>
        <w:t>轴承梁</w:t>
      </w:r>
      <w:r>
        <w:rPr>
          <w:rFonts w:hint="eastAsia" w:ascii="宋体" w:hAnsi="宋体" w:eastAsia="宋体" w:cs="宋体"/>
          <w:kern w:val="0"/>
          <w:sz w:val="24"/>
          <w:szCs w:val="24"/>
        </w:rPr>
        <w:t>检测报告，依据QB/T1951.2-2013、QB/T3826-1999、QB/T3832-1999，重金属：可溶性铅、可溶性镉、可溶性铬、可溶性汞均小于5mg/kg；金属表面耐腐蚀：涂层对基体的保护等级为10级，涂层本身的耐腐蚀等级为10级；</w:t>
      </w:r>
      <w:r>
        <w:rPr>
          <w:rFonts w:hint="eastAsia" w:ascii="宋体" w:hAnsi="宋体" w:eastAsia="宋体" w:cs="宋体"/>
          <w:sz w:val="24"/>
          <w:szCs w:val="24"/>
        </w:rPr>
        <w:t>提供检测报告及检测发票、发票须体现检测报告名称、检测报告提供国家市场监督管理总局《全国认证认可信息公共服务平台》查询、发票提供</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"https://www.baidu.com/link?url=R0zui5g2K8D55ybyhBUA-zoCyjufAwAmT0T-NY_sJ62EdBwa1kxwYozZgyQjGz-iXSe12eqganPQOixziwPfm_&amp;wd=&amp;eqid=e416665d00022d20000000066524bf51" \t "https://www.baidu.com/_blank"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国家税务总局全国增值税发票查验平台</w:t>
      </w:r>
      <w:r>
        <w:rPr>
          <w:rFonts w:hint="eastAsia" w:ascii="宋体" w:hAnsi="宋体" w:eastAsia="宋体" w:cs="宋体"/>
          <w:sz w:val="24"/>
          <w:szCs w:val="24"/>
        </w:rPr>
        <w:fldChar w:fldCharType="end"/>
      </w:r>
      <w:r>
        <w:rPr>
          <w:rFonts w:hint="eastAsia" w:ascii="宋体" w:hAnsi="宋体" w:eastAsia="宋体" w:cs="宋体"/>
          <w:sz w:val="24"/>
          <w:szCs w:val="24"/>
        </w:rPr>
        <w:t>查询</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    3、轨道：采用3.0mm热轧钢板，经全自动数控流水线一次精加工而成，轨道采用弯边加强工艺，整体结构设计钢性足，承载能力强，轨心采用20*20方钢。</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kern w:val="0"/>
          <w:sz w:val="24"/>
          <w:szCs w:val="24"/>
          <w:lang w:val="en-US" w:eastAsia="zh-CN"/>
        </w:rPr>
      </w:pPr>
      <w:r>
        <w:rPr>
          <w:rFonts w:hint="eastAsia" w:ascii="宋体" w:hAnsi="宋体" w:eastAsia="宋体" w:cs="宋体"/>
          <w:sz w:val="24"/>
          <w:szCs w:val="24"/>
        </w:rPr>
        <w:t>▲提供</w:t>
      </w:r>
      <w:r>
        <w:rPr>
          <w:rFonts w:hint="eastAsia" w:ascii="宋体" w:hAnsi="宋体" w:eastAsia="宋体" w:cs="宋体"/>
          <w:kern w:val="0"/>
          <w:sz w:val="24"/>
          <w:szCs w:val="24"/>
        </w:rPr>
        <w:t>CMA标识的的</w:t>
      </w:r>
      <w:r>
        <w:rPr>
          <w:rFonts w:hint="eastAsia" w:ascii="宋体" w:hAnsi="宋体" w:eastAsia="宋体" w:cs="宋体"/>
          <w:sz w:val="24"/>
          <w:szCs w:val="24"/>
          <w:lang w:val="en-US" w:eastAsia="zh-CN"/>
        </w:rPr>
        <w:t>路轨</w:t>
      </w:r>
      <w:r>
        <w:rPr>
          <w:rFonts w:hint="eastAsia" w:ascii="宋体" w:hAnsi="宋体" w:eastAsia="宋体" w:cs="宋体"/>
          <w:kern w:val="0"/>
          <w:sz w:val="24"/>
          <w:szCs w:val="24"/>
        </w:rPr>
        <w:t>检测报告，依据QB/T1951.2-2013、QB/T3826-1999、QB/T3832-1999，重金属：可溶性铅、可溶性镉、可溶性铬、可溶性汞均小于5mg/kg；金属表面耐腐蚀：涂层对基体的保护等级为10级，涂层本身的耐腐蚀等级为10级；</w:t>
      </w:r>
      <w:r>
        <w:rPr>
          <w:rFonts w:hint="eastAsia" w:ascii="宋体" w:hAnsi="宋体" w:eastAsia="宋体" w:cs="宋体"/>
          <w:sz w:val="24"/>
          <w:szCs w:val="24"/>
        </w:rPr>
        <w:t>提供检测报告及检测发票、发票须体现检测报告名称、检测报告提供国家市场监督管理总局《全国认证认可信息公共服务平台》查询、发票提供</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"https://www.baidu.com/link?url=R0zui5g2K8D55ybyhBUA-zoCyjufAwAmT0T-NY_sJ62EdBwa1kxwYozZgyQjGz-iXSe12eqganPQOixziwPfm_&amp;wd=&amp;eqid=e416665d00022d20000000066524bf51" \t "https://www.baidu.com/_blank"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国家税务总局全国增值税发票查验平台</w:t>
      </w:r>
      <w:r>
        <w:rPr>
          <w:rFonts w:hint="eastAsia" w:ascii="宋体" w:hAnsi="宋体" w:eastAsia="宋体" w:cs="宋体"/>
          <w:sz w:val="24"/>
          <w:szCs w:val="24"/>
        </w:rPr>
        <w:fldChar w:fldCharType="end"/>
      </w:r>
      <w:r>
        <w:rPr>
          <w:rFonts w:hint="eastAsia" w:ascii="宋体" w:hAnsi="宋体" w:eastAsia="宋体" w:cs="宋体"/>
          <w:sz w:val="24"/>
          <w:szCs w:val="24"/>
        </w:rPr>
        <w:t>查询</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    4、立柱：</w:t>
      </w:r>
      <w:r>
        <w:rPr>
          <w:rFonts w:hint="eastAsia" w:ascii="宋体" w:hAnsi="宋体" w:eastAsia="宋体" w:cs="宋体"/>
          <w:color w:val="auto"/>
          <w:sz w:val="24"/>
          <w:szCs w:val="24"/>
        </w:rPr>
        <w:t>采用1.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mm优质冷轧钢板一体成型工艺，设计为半敞开式，利于立柱表面喷涂全部到位，立柱成型尺寸50X50mm，正面压制梯形凹槽，梯形凹槽底部尺寸≥23mm，上面尺寸≥30mm，深度≥1.5mm,同时梯形凹槽冲压仿古图案，不仅增强立柱承载能力也增加了立柱的美观性和新颖。侧面设有双排立柱调节孔，孔中心距58mm，允许尺寸公差±1mm</w:t>
      </w:r>
      <w:r>
        <w:rPr>
          <w:rFonts w:hint="eastAsia" w:ascii="宋体" w:hAnsi="宋体" w:eastAsia="宋体" w:cs="宋体"/>
          <w:kern w:val="0"/>
          <w:sz w:val="24"/>
          <w:szCs w:val="24"/>
          <w:lang w:val="en-US" w:eastAsia="zh-CN"/>
        </w:rPr>
        <w:t>。</w:t>
      </w:r>
      <w:r>
        <w:rPr>
          <w:rFonts w:hint="eastAsia" w:ascii="宋体" w:hAnsi="宋体" w:eastAsia="宋体" w:cs="宋体"/>
          <w:sz w:val="24"/>
          <w:szCs w:val="24"/>
        </w:rPr>
        <w:t>▲提供</w:t>
      </w:r>
      <w:r>
        <w:rPr>
          <w:rFonts w:hint="eastAsia" w:ascii="宋体" w:hAnsi="宋体" w:eastAsia="宋体" w:cs="宋体"/>
          <w:kern w:val="0"/>
          <w:sz w:val="24"/>
          <w:szCs w:val="24"/>
        </w:rPr>
        <w:t>CMA标识的的</w:t>
      </w:r>
      <w:r>
        <w:rPr>
          <w:rFonts w:hint="eastAsia" w:ascii="宋体" w:hAnsi="宋体" w:eastAsia="宋体" w:cs="宋体"/>
          <w:sz w:val="24"/>
          <w:szCs w:val="24"/>
          <w:lang w:val="en-US" w:eastAsia="zh-CN"/>
        </w:rPr>
        <w:t>立柱</w:t>
      </w:r>
      <w:r>
        <w:rPr>
          <w:rFonts w:hint="eastAsia" w:ascii="宋体" w:hAnsi="宋体" w:eastAsia="宋体" w:cs="宋体"/>
          <w:kern w:val="0"/>
          <w:sz w:val="24"/>
          <w:szCs w:val="24"/>
        </w:rPr>
        <w:t>检测报告，依据QB/T1951.2-2013、QB/T3826-1999、QB/T3832-1999，重金属：可溶性铅、可溶性镉、可溶性铬、可溶性汞均小于5mg/kg；金属表面耐腐蚀：涂层对基体的保护等级为10级，涂层本身的耐腐蚀等级为10级；</w:t>
      </w:r>
      <w:r>
        <w:rPr>
          <w:rFonts w:hint="eastAsia" w:ascii="宋体" w:hAnsi="宋体" w:eastAsia="宋体" w:cs="宋体"/>
          <w:sz w:val="24"/>
          <w:szCs w:val="24"/>
        </w:rPr>
        <w:t>提供检测报告及检测发票、发票须体现检测报告名称、检测报告提供国家市场监督管理总局《全国认证认可信息公共服务平台》查询、发票提供</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"https://www.baidu.com/link?url=R0zui5g2K8D55ybyhBUA-zoCyjufAwAmT0T-NY_sJ62EdBwa1kxwYozZgyQjGz-iXSe12eqganPQOixziwPfm_&amp;wd=&amp;eqid=e416665d00022d20000000066524bf51" \t "https://www.baidu.com/_blank"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国家税务总局全国增值税发票查验平台</w:t>
      </w:r>
      <w:r>
        <w:rPr>
          <w:rFonts w:hint="eastAsia" w:ascii="宋体" w:hAnsi="宋体" w:eastAsia="宋体" w:cs="宋体"/>
          <w:sz w:val="24"/>
          <w:szCs w:val="24"/>
        </w:rPr>
        <w:fldChar w:fldCharType="end"/>
      </w:r>
      <w:r>
        <w:rPr>
          <w:rFonts w:hint="eastAsia" w:ascii="宋体" w:hAnsi="宋体" w:eastAsia="宋体" w:cs="宋体"/>
          <w:sz w:val="24"/>
          <w:szCs w:val="24"/>
        </w:rPr>
        <w:t>查询</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    5、托板：</w:t>
      </w:r>
      <w:r>
        <w:rPr>
          <w:rFonts w:hint="eastAsia" w:ascii="宋体" w:hAnsi="宋体" w:eastAsia="宋体" w:cs="宋体"/>
          <w:color w:val="auto"/>
          <w:sz w:val="24"/>
          <w:szCs w:val="24"/>
        </w:rPr>
        <w:t>采用1.0mm的优质冷轧钢板，</w:t>
      </w:r>
      <w:r>
        <w:rPr>
          <w:rFonts w:hint="eastAsia" w:ascii="宋体" w:hAnsi="宋体" w:eastAsia="宋体" w:cs="宋体"/>
          <w:color w:val="auto"/>
          <w:sz w:val="24"/>
          <w:szCs w:val="24"/>
          <w:lang w:eastAsia="zh-CN"/>
        </w:rPr>
        <w:t>采用多折折弯边一体成型工艺实现，单边设有防脱落挡边，厚度为</w:t>
      </w:r>
      <w:r>
        <w:rPr>
          <w:rFonts w:hint="eastAsia" w:ascii="宋体" w:hAnsi="宋体" w:eastAsia="宋体" w:cs="宋体"/>
          <w:color w:val="auto"/>
          <w:sz w:val="24"/>
          <w:szCs w:val="24"/>
          <w:lang w:val="en-US" w:eastAsia="zh-CN"/>
        </w:rPr>
        <w:t>27±3mm，另一边</w:t>
      </w:r>
      <w:r>
        <w:rPr>
          <w:rFonts w:hint="eastAsia" w:ascii="宋体" w:hAnsi="宋体" w:eastAsia="宋体" w:cs="宋体"/>
          <w:color w:val="auto"/>
          <w:sz w:val="24"/>
          <w:szCs w:val="24"/>
          <w:lang w:eastAsia="zh-CN"/>
        </w:rPr>
        <w:t>厚度为</w:t>
      </w:r>
      <w:r>
        <w:rPr>
          <w:rFonts w:hint="eastAsia" w:ascii="宋体" w:hAnsi="宋体" w:eastAsia="宋体" w:cs="宋体"/>
          <w:color w:val="auto"/>
          <w:sz w:val="24"/>
          <w:szCs w:val="24"/>
          <w:lang w:val="en-US" w:eastAsia="zh-CN"/>
        </w:rPr>
        <w:t>23±3mm，</w:t>
      </w:r>
      <w:r>
        <w:rPr>
          <w:rFonts w:hint="eastAsia" w:ascii="宋体" w:hAnsi="宋体" w:eastAsia="宋体" w:cs="宋体"/>
          <w:color w:val="auto"/>
          <w:sz w:val="24"/>
          <w:szCs w:val="24"/>
          <w:lang w:eastAsia="zh-CN"/>
        </w:rPr>
        <w:t>搁板正面压制两条梯形凹槽，凹槽底部宽度</w:t>
      </w:r>
      <w:r>
        <w:rPr>
          <w:rFonts w:hint="eastAsia" w:ascii="宋体" w:hAnsi="宋体" w:eastAsia="宋体" w:cs="宋体"/>
          <w:color w:val="auto"/>
          <w:sz w:val="24"/>
          <w:szCs w:val="24"/>
          <w:lang w:val="en-US" w:eastAsia="zh-CN"/>
        </w:rPr>
        <w:t>12±2mm，上部宽度18±2mm</w:t>
      </w:r>
      <w:r>
        <w:rPr>
          <w:rFonts w:hint="eastAsia" w:ascii="宋体" w:hAnsi="宋体" w:eastAsia="宋体" w:cs="宋体"/>
          <w:color w:val="auto"/>
          <w:sz w:val="24"/>
          <w:szCs w:val="24"/>
          <w:lang w:eastAsia="zh-CN"/>
        </w:rPr>
        <w:t>，两侧面压制平面凹型槽，凹槽宽度</w:t>
      </w:r>
      <w:r>
        <w:rPr>
          <w:rFonts w:hint="eastAsia" w:ascii="宋体" w:hAnsi="宋体" w:eastAsia="宋体" w:cs="宋体"/>
          <w:color w:val="auto"/>
          <w:sz w:val="24"/>
          <w:szCs w:val="24"/>
          <w:lang w:val="en-US" w:eastAsia="zh-CN"/>
        </w:rPr>
        <w:t>13±2mm，</w:t>
      </w:r>
      <w:r>
        <w:rPr>
          <w:rFonts w:hint="eastAsia" w:ascii="宋体" w:hAnsi="宋体" w:eastAsia="宋体" w:cs="宋体"/>
          <w:color w:val="auto"/>
          <w:sz w:val="24"/>
          <w:szCs w:val="24"/>
          <w:lang w:eastAsia="zh-CN"/>
        </w:rPr>
        <w:t>槽内压有仿古花纹，表面光滑流畅无冲压印痕，压筋工艺不能导致</w:t>
      </w:r>
      <w:r>
        <w:rPr>
          <w:rFonts w:hint="eastAsia" w:ascii="宋体" w:hAnsi="宋体" w:eastAsia="宋体" w:cs="宋体"/>
          <w:kern w:val="0"/>
          <w:sz w:val="24"/>
          <w:szCs w:val="24"/>
          <w:lang w:val="en-US" w:eastAsia="zh-CN"/>
        </w:rPr>
        <w:t>托板</w:t>
      </w:r>
      <w:r>
        <w:rPr>
          <w:rFonts w:hint="eastAsia" w:ascii="宋体" w:hAnsi="宋体" w:eastAsia="宋体" w:cs="宋体"/>
          <w:color w:val="auto"/>
          <w:sz w:val="24"/>
          <w:szCs w:val="24"/>
          <w:lang w:eastAsia="zh-CN"/>
        </w:rPr>
        <w:t>变形，从而使</w:t>
      </w:r>
      <w:r>
        <w:rPr>
          <w:rFonts w:hint="eastAsia" w:ascii="宋体" w:hAnsi="宋体" w:eastAsia="宋体" w:cs="宋体"/>
          <w:kern w:val="0"/>
          <w:sz w:val="24"/>
          <w:szCs w:val="24"/>
          <w:lang w:val="en-US" w:eastAsia="zh-CN"/>
        </w:rPr>
        <w:t>托板</w:t>
      </w:r>
      <w:r>
        <w:rPr>
          <w:rFonts w:hint="eastAsia" w:ascii="宋体" w:hAnsi="宋体" w:eastAsia="宋体" w:cs="宋体"/>
          <w:color w:val="auto"/>
          <w:sz w:val="24"/>
          <w:szCs w:val="24"/>
          <w:lang w:eastAsia="zh-CN"/>
        </w:rPr>
        <w:t>即美观又能增加</w:t>
      </w:r>
      <w:r>
        <w:rPr>
          <w:rFonts w:hint="eastAsia" w:ascii="宋体" w:hAnsi="宋体" w:eastAsia="宋体" w:cs="宋体"/>
          <w:kern w:val="0"/>
          <w:sz w:val="24"/>
          <w:szCs w:val="24"/>
          <w:lang w:val="en-US" w:eastAsia="zh-CN"/>
        </w:rPr>
        <w:t>托板</w:t>
      </w:r>
      <w:r>
        <w:rPr>
          <w:rFonts w:hint="eastAsia" w:ascii="宋体" w:hAnsi="宋体" w:eastAsia="宋体" w:cs="宋体"/>
          <w:color w:val="auto"/>
          <w:sz w:val="24"/>
          <w:szCs w:val="24"/>
          <w:lang w:eastAsia="zh-CN"/>
        </w:rPr>
        <w:t>承重强度，而且不影响</w:t>
      </w:r>
      <w:r>
        <w:rPr>
          <w:rFonts w:hint="eastAsia" w:ascii="宋体" w:hAnsi="宋体" w:eastAsia="宋体" w:cs="宋体"/>
          <w:kern w:val="0"/>
          <w:sz w:val="24"/>
          <w:szCs w:val="24"/>
          <w:lang w:val="en-US" w:eastAsia="zh-CN"/>
        </w:rPr>
        <w:t>托板</w:t>
      </w:r>
      <w:r>
        <w:rPr>
          <w:rFonts w:hint="eastAsia" w:ascii="宋体" w:hAnsi="宋体" w:eastAsia="宋体" w:cs="宋体"/>
          <w:color w:val="auto"/>
          <w:sz w:val="24"/>
          <w:szCs w:val="24"/>
          <w:lang w:eastAsia="zh-CN"/>
        </w:rPr>
        <w:t>结构性能。</w:t>
      </w:r>
      <w:r>
        <w:rPr>
          <w:rFonts w:hint="eastAsia" w:ascii="宋体" w:hAnsi="宋体" w:eastAsia="宋体" w:cs="宋体"/>
          <w:kern w:val="0"/>
          <w:sz w:val="24"/>
          <w:szCs w:val="24"/>
          <w:lang w:val="en-US" w:eastAsia="zh-CN"/>
        </w:rPr>
        <w:t>托板</w:t>
      </w:r>
      <w:r>
        <w:rPr>
          <w:rFonts w:hint="eastAsia" w:ascii="宋体" w:hAnsi="宋体" w:eastAsia="宋体" w:cs="宋体"/>
          <w:color w:val="auto"/>
          <w:sz w:val="24"/>
          <w:szCs w:val="24"/>
          <w:lang w:eastAsia="zh-CN"/>
        </w:rPr>
        <w:t>每层承重≥80KG，满负载24小时后曲挠度≤2mm，卸载后自动恢复</w:t>
      </w:r>
      <w:r>
        <w:rPr>
          <w:rFonts w:hint="eastAsia" w:ascii="宋体" w:hAnsi="宋体" w:eastAsia="宋体" w:cs="宋体"/>
          <w:kern w:val="0"/>
          <w:sz w:val="24"/>
          <w:szCs w:val="24"/>
          <w:lang w:val="en-US" w:eastAsia="zh-CN"/>
        </w:rPr>
        <w:t>。▲提供CMA标识的托板检测报告，依据GB/T10125-2021，中性盐雾测试；环境条件：温度27.6℃，湿度57%RH；测试条件：试验室温度范围35±2℃，饱和桶温度47±2℃，盐水浓度50g/L,PH值6.5~7.2，沉降率（1.5ml±0.5）/（h.80c㎡）；测量时间≥2000h，测试后，样品表面无明显变化，涂膜无裂纹、皱纹及剥落现象、涂膜无脱落现象，耐腐蚀等级为10级，合格；提供检测报告及检测发票、发票须体现检测报告名称及测试时间、检测报告提供国家市场监督管理总局《全国认证认可信息公共服务平台》查询、发票提供</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"https://www.baidu.com/link?url=R0zui5g2K8D55ybyhBUA-zoCyjufAwAmT0T-NY_sJ62EdBwa1kxwYozZgyQjGz-iXSe12eqganPQOixziwPfm_&amp;wd=&amp;eqid=e416665d00022d20000000066524bf51" \t "https://www.baidu.com/_blank"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国家税务总局全国增值税发票查验平台</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查询。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挂板：挂板采用双压筋处理，材料选用1.0mm的冷轧钢板冲压成型。挂板与立柱之间的连接方式采用双扣勾挂板，挂板与搁板之间也采用双扣勾，挂板与立柱连接的扣勾和挂板与搁板连接的扣勾平行度相差&lt;1mm。▲提供CMA标识的挂板检测报告，依据GB/T4336-2016，化学成分分析：测试方法:参考GB/T4336-2016，判定标准:GB/T700-2006，测试设备;火花直读光谱仪；C0.019%、Si＜0.17%、Mn0.14%、P0.016%、S＜0.008%；提供检测报告及检测发票、发票须体现检测报告名称，检测报告国家市场监督管理总局《全国认证认可信息公共服务平台》查询，发票税务总局网站查询。</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7、挡棒：</w:t>
      </w:r>
      <w:r>
        <w:rPr>
          <w:rFonts w:hint="eastAsia" w:ascii="宋体" w:hAnsi="宋体" w:eastAsia="宋体" w:cs="宋体"/>
          <w:color w:val="auto"/>
          <w:sz w:val="24"/>
          <w:szCs w:val="24"/>
          <w:lang w:eastAsia="zh-CN"/>
        </w:rPr>
        <w:t>采用</w:t>
      </w:r>
      <w:r>
        <w:rPr>
          <w:rFonts w:hint="eastAsia" w:ascii="宋体" w:hAnsi="宋体" w:eastAsia="宋体" w:cs="宋体"/>
          <w:color w:val="auto"/>
          <w:sz w:val="24"/>
          <w:szCs w:val="24"/>
        </w:rPr>
        <w:t>1.0mm的优质冷轧钢板压制成槽型，成型尺寸为15mm*15mm,四道弯边设计，三面压筋，顶面与侧面圆角过渡，圆角半径为R4，设计为自锁式档条，依靠档条和挂板之间的机械组合达到锁紧功能</w:t>
      </w:r>
      <w:r>
        <w:rPr>
          <w:rFonts w:hint="eastAsia" w:ascii="宋体" w:hAnsi="宋体" w:eastAsia="宋体" w:cs="宋体"/>
          <w:kern w:val="0"/>
          <w:sz w:val="24"/>
          <w:szCs w:val="24"/>
          <w:lang w:val="en-US" w:eastAsia="zh-CN"/>
        </w:rPr>
        <w:t>。</w:t>
      </w:r>
      <w:r>
        <w:rPr>
          <w:rFonts w:hint="eastAsia" w:ascii="宋体" w:hAnsi="宋体" w:eastAsia="宋体" w:cs="宋体"/>
          <w:sz w:val="24"/>
          <w:szCs w:val="24"/>
        </w:rPr>
        <w:t>▲提供</w:t>
      </w:r>
      <w:r>
        <w:rPr>
          <w:rFonts w:hint="eastAsia" w:ascii="宋体" w:hAnsi="宋体" w:eastAsia="宋体" w:cs="宋体"/>
          <w:kern w:val="0"/>
          <w:sz w:val="24"/>
          <w:szCs w:val="24"/>
        </w:rPr>
        <w:t>CMA标识的的</w:t>
      </w:r>
      <w:r>
        <w:rPr>
          <w:rFonts w:hint="eastAsia" w:ascii="宋体" w:hAnsi="宋体" w:eastAsia="宋体" w:cs="宋体"/>
          <w:sz w:val="24"/>
          <w:szCs w:val="24"/>
          <w:lang w:val="en-US" w:eastAsia="zh-CN"/>
        </w:rPr>
        <w:t>挡棒</w:t>
      </w:r>
      <w:r>
        <w:rPr>
          <w:rFonts w:hint="eastAsia" w:ascii="宋体" w:hAnsi="宋体" w:eastAsia="宋体" w:cs="宋体"/>
          <w:kern w:val="0"/>
          <w:sz w:val="24"/>
          <w:szCs w:val="24"/>
        </w:rPr>
        <w:t>检测报告，依据QB/T1951.2-2013、QB/T3826-1999、QB/T3832-1999，重金属：可溶性铅、可溶性镉、可溶性铬、可溶性汞均小于5mg/kg；金属表面耐腐蚀：涂层对基体的保护等级为10级，涂层本身的耐腐蚀等级为10级；</w:t>
      </w:r>
      <w:r>
        <w:rPr>
          <w:rFonts w:hint="eastAsia" w:ascii="宋体" w:hAnsi="宋体" w:eastAsia="宋体" w:cs="宋体"/>
          <w:sz w:val="24"/>
          <w:szCs w:val="24"/>
        </w:rPr>
        <w:t>提供检测报告及检测发票、发票须体现检测报告名称、检测报告提供国家市场监督管理总局《全国认证认可信息公共服务平台》查询、发票提供</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"https://www.baidu.com/link?url=R0zui5g2K8D55ybyhBUA-zoCyjufAwAmT0T-NY_sJ62EdBwa1kxwYozZgyQjGz-iXSe12eqganPQOixziwPfm_&amp;wd=&amp;eqid=e416665d00022d20000000066524bf51" \t "https://www.baidu.com/_blank"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国家税务总局全国增值税发票查验平台</w:t>
      </w:r>
      <w:r>
        <w:rPr>
          <w:rFonts w:hint="eastAsia" w:ascii="宋体" w:hAnsi="宋体" w:eastAsia="宋体" w:cs="宋体"/>
          <w:sz w:val="24"/>
          <w:szCs w:val="24"/>
        </w:rPr>
        <w:fldChar w:fldCharType="end"/>
      </w:r>
      <w:r>
        <w:rPr>
          <w:rFonts w:hint="eastAsia" w:ascii="宋体" w:hAnsi="宋体" w:eastAsia="宋体" w:cs="宋体"/>
          <w:sz w:val="24"/>
          <w:szCs w:val="24"/>
        </w:rPr>
        <w:t>查询</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    8、门板：采用1.0mm冷轧钢板。▲提供CMA标识的门板检测报告，依据GB/T13667.3-2013、GB/T13448-2019、 GB/T700-2006，化学成分：C≤0.20%，Si≤0.35%，Mn≤1.40%，P≤0.045%，S≤0.045%；力学性能：屈服强度334MPa，抗拉强度459MPa，断后伸长率36.0%；耐污染试验：污染物为洗涤剂溶液，经24h，涂层无变色、气泡和脱落现象；提供检测报告及检测发票、发票须体现检测报告名称，检测报告国家市场监督管理总局《全国认证认可信息公共服务平台》查询，发票税务总局网站查询。</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侧板：采用1.0mm优质冷轧钢板，分为上、中、下三节，中间隔色，整体设计新颖。▲提供CMA标识的侧板检测报告，依据GB/T10125-2021，中性盐雾测试；测量时间≥2000h，测试后，样品表面无明显变化，涂膜无裂纹、皱纹及剥落现象、涂膜无脱落现象，耐腐蚀等级为10级，合格；提供检测报告及检测发票、发票须体现检测报告名称及测试时间、检测报告提供国家市场监督管理总局《全国认证认可信息公共服务平台》查询、发票提供</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"https://www.baidu.com/link?url=R0zui5g2K8D55ybyhBUA-zoCyjufAwAmT0T-NY_sJ62EdBwa1kxwYozZgyQjGz-iXSe12eqganPQOixziwPfm_&amp;wd=&amp;eqid=e416665d00022d20000000066524bf51" \t "https://www.baidu.com/_blank"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国家税务总局全国增值税发票查验平台</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查询。</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    10、传动机构：折叠摇把，采用钢、锌合金或其它材料。传动系统：采用三分力、三变速、中间驱动方式自由挂档脱落装置。链轮为机械精加工而成,链条采用摩托车链条。滚珠轴承采用省力型。滚轮采用灰铸铁制造。</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    11、前期处理及表面处理：陶化剂是以有机硅烷水溶液为主要成分对金属或非金属材料进行表面处理的过程。工艺流程为：预脱脂——主脱脂——水清洗——水清洗——陶化硅烷——陶化硅烷---水清洗--烘干或晾干——后处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提供CMA标识的冷轧钢板（涂层）检测报告，酸性盐雾测试方法：GB/T10125-2021，收集盐水浓度：50g/L±5g/L，盐雾箱温度：35℃±2℃，盐水沉降量：1.5mL/h±0.5mL/h，PH值：3.1~3.3，测试时间≥2000h，无腐蚀，无裂纹、无异常及起皱；提供检测报告及检测发票、发票须体现检测报告名称及测试时间、检测报告提供国家市场监督管理总局《全国认证认可信息公共服务平台》查询、发票提供</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"https://www.baidu.com/link?url=R0zui5g2K8D55ybyhBUA-zoCyjufAwAmT0T-NY_sJ62EdBwa1kxwYozZgyQjGz-iXSe12eqganPQOixziwPfm_&amp;wd=&amp;eqid=e416665d00022d20000000066524bf51" \t "https://www.baidu.com/_blank"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国家税务总局全国增值税发票查验平台</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查询。</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12、传动机构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自动折叠摇把：采用钢、锌合金或其它材料，手柄可以自动缓慢折叠，使用方便、美观大方、轻便灵活，高端耐用，可避免通道障碍，摇动任何一列均不会带动其他手柄转动，自动挂档，可单列或多列一起移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传动系统：采用三分力、三变速、中间驱动方式自由挂档脱落装置。链轮为机械精加工而成,经锻压加工成型,回火去除应力,加工、滚点、插键槽、去毛齿、齿部经高频淬火HRC60-62。链条采用摩托车链条采用Φ8.5，节距12.7，G12420带短滚珠链。滚珠轴承采用省力型。链条破断力≥1800kg。滚轮采用铁芯的高分子材料外包轮；中轴和短轴采用Φ20mm45#冷拉实心圆钢；底盘轴承安装采用P204E级向心球高级轴承，精密度高，方向灵活，材料质量好，耐压与耐磨性能好，具有可靠的中心直线度，使架体滑动平衡、轻灵定位可靠，传动轻便灵活，摇手轻，运行平稳，性能达到和超过国家标准，即可单列移动也可多列同时移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13、制动装置，每列均装有刹车制动装置，使之做到每一列均可锁定，查阅资料和存放文件时能确保人身安全，存取更安全。每一组合团体均装有总锁装置，使之做到每个组合团体都可锁定.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14、密封装置，两列间的密封装置采用20mm磁性密封条。顶部有防尘板，每列架体上方安装防尘板，要求防尘、防光、防有害气体，底部有防鼠板，合拢后无缝隙，因而具有良好的防尘、防鼠、防火、防潮等功能。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15、前期处理及表面处理，采用乳化剂和碱性助洗脱脂剂脂。前期处理原料采用环氧树脂粉体涂料。其工艺过程如下：预脱脂——主脱脂——水清洗——水清洗——硅烷处理1——硅烷处理2——200℃烘干。</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16、制造要求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（1）凡需焊接的部位应焊接牢固，焊点均匀，焊痕高度以不大于1mm，焊点间距应控制在100mm以内，焊痕表面波纹平整，不得出现焊焦、焊穿等现象。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（2）冲压件必须平整无毛刺，不允许有裂痕，冲压尺寸的误差应控制在±2.0mm之内。</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（3）折弯必须到位，以确保工件折弯所需角度，其邻边垂直度、平行度控制在≤1.5mm内。</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（4）涂层表面应平整光滑，色泽均匀一致，不允许有流挂、起粒、皱皮、露底、剥落、伤痕等外观缺陷。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（5）各零件、组合件表面应光滑平整，不得有尖角凸起；各零件、组合件之间能保持互换性。所有标准件及紧固件均需氧化或镀锌处理。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17、载重性能要求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（1）搁板载重：搁板负载载重80kg，最大挠度3mm，24h卸载后，不得出现裂痕及钢性变形，残余变形量不大于0.3mm。</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（2）全负载载重：每标准节在全负载（搁板均匀载重80kg）的情况下，架体、立柱不应有明显变形，架体不应产生倾倒现象。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（3）载重运行：在全负载的情况下，各列密集架在手动操纵下，都应运行自如，不得有阻滞现象。每标准节手动摇力应不大于11.8N（每列密集架的手柄摇力为：11.8N×标准节数）。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（4）载重稳定性：在受全部载荷二十分之一外力（沿X、Y轴两个方向的水平外力）的作用反复100次后，取消外力，架体所产生的倾斜不得大于总高的百分之一。支架、立柱不得有明显变形。</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18、安装要求：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（1）各部安装应牢固可靠，不允许有松动现象，各结构件和架体无明显变形，架体无倾斜现象。每标准节组合后外型尺寸（长、宽、高）的极限偏差为正负2mm。</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（2）标准架组装后，侧面板与中腰带的对缝处的间隙不大于2mm。</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（3）门缝间隙在工装保障的前提下，均匀一致在1-2mm之间。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（4）导轨机构安装后，直线度不大于1.0mm/m。5m中不大于2.0mm。架体移动时与导向机构保持平行。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（5）架体平行度：正负在1—2mm/列之间，架体垂直度：正负在1—2mm/列之间，架体纵向同步度：正负在1—2mm/列之间。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19、质保期限：不低于10年。</w:t>
      </w:r>
    </w:p>
    <w:p>
      <w:pPr>
        <w:pStyle w:val="2"/>
        <w:rPr>
          <w:rFonts w:hint="eastAsia"/>
          <w:lang w:val="en-US" w:eastAsia="zh-CN"/>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bookmarkStart w:id="0" w:name="_GoBack"/>
      <w:bookmarkEnd w:id="0"/>
    </w:p>
    <w:sectPr>
      <w:headerReference r:id="rId3" w:type="default"/>
      <w:pgSz w:w="11910" w:h="16840"/>
      <w:pgMar w:top="400" w:right="1786" w:bottom="0" w:left="1186"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504020202030204"/>
    <w:charset w:val="00"/>
    <w:family w:val="auto"/>
    <w:pitch w:val="default"/>
    <w:sig w:usb0="00000007" w:usb1="00000000" w:usb2="00000000" w:usb3="00000000" w:csb0="0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
  <w:rsids>
    <w:rsidRoot w:val="00000000"/>
    <w:rsid w:val="024C3798"/>
    <w:rsid w:val="03534ADA"/>
    <w:rsid w:val="040F2E5A"/>
    <w:rsid w:val="0862095F"/>
    <w:rsid w:val="110F1749"/>
    <w:rsid w:val="118C0055"/>
    <w:rsid w:val="189F7241"/>
    <w:rsid w:val="1A6056CD"/>
    <w:rsid w:val="1A9019B9"/>
    <w:rsid w:val="1CA40790"/>
    <w:rsid w:val="1E064A7B"/>
    <w:rsid w:val="2315575F"/>
    <w:rsid w:val="24EF277D"/>
    <w:rsid w:val="33502F37"/>
    <w:rsid w:val="37F4169E"/>
    <w:rsid w:val="42615525"/>
    <w:rsid w:val="445508CF"/>
    <w:rsid w:val="445A3D33"/>
    <w:rsid w:val="50A7647C"/>
    <w:rsid w:val="59A32562"/>
    <w:rsid w:val="61550C14"/>
    <w:rsid w:val="676F7F26"/>
    <w:rsid w:val="6DD86195"/>
    <w:rsid w:val="73A343ED"/>
    <w:rsid w:val="79132DC0"/>
    <w:rsid w:val="7A836C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pPr>
    <w:rPr>
      <w:sz w:val="21"/>
    </w:r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First Indent 2"/>
    <w:basedOn w:val="5"/>
    <w:next w:val="1"/>
    <w:qFormat/>
    <w:uiPriority w:val="0"/>
    <w:pPr>
      <w:topLinePunct/>
      <w:autoSpaceDE w:val="0"/>
      <w:autoSpaceDN w:val="0"/>
      <w:adjustRightInd w:val="0"/>
      <w:snapToGrid w:val="0"/>
      <w:spacing w:afterLines="25" w:line="300" w:lineRule="auto"/>
      <w:ind w:firstLine="200" w:firstLineChars="200"/>
    </w:pPr>
    <w:rPr>
      <w:rFonts w:ascii="宋体"/>
      <w:kern w:val="0"/>
      <w:sz w:val="24"/>
      <w:szCs w:val="20"/>
      <w:lang w:val="zh-CN"/>
    </w:r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table" w:customStyle="1" w:styleId="10">
    <w:name w:val="Table Normal"/>
    <w:semiHidden/>
    <w:unhideWhenUsed/>
    <w:qFormat/>
    <w:uiPriority w:val="0"/>
    <w:tblPr>
      <w:tblLayout w:type="fixed"/>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4731</Words>
  <Characters>5592</Characters>
  <TotalTime>2</TotalTime>
  <ScaleCrop>false</ScaleCrop>
  <LinksUpToDate>false</LinksUpToDate>
  <CharactersWithSpaces>5630</CharactersWithSpaces>
  <Application>WPS Office_11.8.2.8593_F1E327BC-269C-435d-A152-05C5408002CA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2025-05-07T12:16:00Z</dcterms:created>
  <dc:creator>Deng美美</dc:creator>
  <cp:lastModifiedBy>XTX</cp:lastModifiedBy>
  <dcterms:modified xsi:type="dcterms:W3CDTF">2025-07-11T02:45:52Z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2025-05-08T08:41:15Z</vt:filetime>
  </property>
  <property fmtid="{D5CDD505-2E9C-101B-9397-08002B2CF9AE}" pid="4" name="KSOTemplateDocerSaveRecord">
    <vt:lpwstr>eyJoZGlkIjoiYTU3NGVhZjVlYzNjNTcwNGY4ODNjMDU4NTM2NDg1MjkiLCJ1c2VySWQiOiI0MzU0NTgyODkifQ==</vt:lpwstr>
  </property>
  <property fmtid="{D5CDD505-2E9C-101B-9397-08002B2CF9AE}" pid="5" name="KSOProductBuildVer">
    <vt:lpwstr>2052-11.8.2.8593</vt:lpwstr>
  </property>
  <property fmtid="{D5CDD505-2E9C-101B-9397-08002B2CF9AE}" pid="6" name="ICV">
    <vt:lpwstr>25D53ED114364EA18C1284FDED2FAEB1_12</vt:lpwstr>
  </property>
</Properties>
</file>