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0"/>
        <w:rPr>
          <w:rFonts w:hint="eastAsia" w:ascii="方正小标宋_GBK" w:hAnsi="方正小标宋_GBK" w:eastAsia="方正小标宋_GBK" w:cs="方正小标宋_GBK"/>
          <w:b w:val="0"/>
          <w:bCs/>
          <w:sz w:val="44"/>
          <w:szCs w:val="44"/>
          <w:lang w:eastAsia="zh-CN"/>
        </w:rPr>
      </w:pPr>
      <w:r>
        <w:rPr>
          <w:rFonts w:hint="eastAsia" w:ascii="方正小标宋_GBK" w:hAnsi="方正小标宋_GBK" w:eastAsia="方正小标宋_GBK" w:cs="方正小标宋_GBK"/>
          <w:b w:val="0"/>
          <w:bCs/>
          <w:sz w:val="44"/>
          <w:szCs w:val="44"/>
          <w:lang w:eastAsia="zh-CN"/>
        </w:rPr>
        <w:t>儋州市市场监督管理局</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0"/>
        <w:rPr>
          <w:rFonts w:hint="eastAsia" w:ascii="方正小标宋_GBK" w:hAnsi="方正小标宋_GBK" w:eastAsia="方正小标宋_GBK" w:cs="方正小标宋_GBK"/>
          <w:b w:val="0"/>
          <w:bCs/>
          <w:sz w:val="44"/>
          <w:szCs w:val="44"/>
        </w:rPr>
      </w:pPr>
      <w:r>
        <w:rPr>
          <w:rFonts w:hint="eastAsia" w:ascii="方正小标宋_GBK" w:hAnsi="方正小标宋_GBK" w:eastAsia="方正小标宋_GBK" w:cs="方正小标宋_GBK"/>
          <w:b w:val="0"/>
          <w:bCs/>
          <w:sz w:val="44"/>
          <w:szCs w:val="44"/>
          <w:lang w:val="en-US" w:eastAsia="zh-CN"/>
        </w:rPr>
        <w:t>2026</w:t>
      </w:r>
      <w:r>
        <w:rPr>
          <w:rFonts w:hint="eastAsia" w:ascii="方正小标宋_GBK" w:hAnsi="方正小标宋_GBK" w:eastAsia="方正小标宋_GBK" w:cs="方正小标宋_GBK"/>
          <w:b w:val="0"/>
          <w:bCs/>
          <w:sz w:val="44"/>
          <w:szCs w:val="44"/>
        </w:rPr>
        <w:t>年</w:t>
      </w:r>
      <w:r>
        <w:rPr>
          <w:rFonts w:hint="eastAsia" w:ascii="方正小标宋_GBK" w:hAnsi="方正小标宋_GBK" w:eastAsia="方正小标宋_GBK" w:cs="方正小标宋_GBK"/>
          <w:b w:val="0"/>
          <w:bCs/>
          <w:sz w:val="44"/>
          <w:szCs w:val="44"/>
          <w:lang w:eastAsia="zh-CN"/>
        </w:rPr>
        <w:t>第二批烟花爆竹产品质</w:t>
      </w:r>
      <w:r>
        <w:rPr>
          <w:rFonts w:hint="eastAsia" w:ascii="方正小标宋_GBK" w:hAnsi="方正小标宋_GBK" w:eastAsia="方正小标宋_GBK" w:cs="方正小标宋_GBK"/>
          <w:b w:val="0"/>
          <w:bCs/>
          <w:sz w:val="44"/>
          <w:szCs w:val="44"/>
        </w:rPr>
        <w:t>量监督抽查</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0"/>
        <w:rPr>
          <w:rFonts w:hint="eastAsia" w:ascii="方正小标宋_GBK" w:hAnsi="方正小标宋_GBK" w:eastAsia="方正小标宋_GBK" w:cs="方正小标宋_GBK"/>
          <w:b w:val="0"/>
          <w:bCs/>
          <w:sz w:val="44"/>
          <w:szCs w:val="44"/>
        </w:rPr>
      </w:pPr>
      <w:r>
        <w:rPr>
          <w:rFonts w:hint="eastAsia" w:ascii="方正小标宋_GBK" w:hAnsi="方正小标宋_GBK" w:eastAsia="方正小标宋_GBK" w:cs="方正小标宋_GBK"/>
          <w:b w:val="0"/>
          <w:bCs/>
          <w:sz w:val="44"/>
          <w:szCs w:val="44"/>
        </w:rPr>
        <w:t>实施方案</w:t>
      </w:r>
    </w:p>
    <w:p>
      <w:pPr>
        <w:autoSpaceDE w:val="0"/>
        <w:autoSpaceDN w:val="0"/>
        <w:adjustRightInd w:val="0"/>
        <w:ind w:firstLine="640" w:firstLineChars="200"/>
        <w:jc w:val="left"/>
        <w:rPr>
          <w:rFonts w:ascii="仿宋" w:hAnsi="仿宋" w:eastAsia="仿宋"/>
          <w:sz w:val="32"/>
          <w:szCs w:val="32"/>
        </w:rPr>
      </w:pPr>
    </w:p>
    <w:p>
      <w:pPr>
        <w:keepNext w:val="0"/>
        <w:keepLines w:val="0"/>
        <w:pageBreakBefore w:val="0"/>
        <w:kinsoku/>
        <w:wordWrap/>
        <w:overflowPunct/>
        <w:autoSpaceDE w:val="0"/>
        <w:autoSpaceDN w:val="0"/>
        <w:bidi w:val="0"/>
        <w:adjustRightInd w:val="0"/>
        <w:snapToGrid/>
        <w:spacing w:line="560" w:lineRule="exact"/>
        <w:ind w:firstLine="640" w:firstLineChars="20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为提高产品质量安全监管效能，预防化解产品质量领域重大风险，保障人民群众人身财产安全，着力营造公平竞争的市场环境和安全放心的消费环境，</w:t>
      </w:r>
      <w:r>
        <w:rPr>
          <w:rFonts w:hint="eastAsia" w:ascii="仿宋_GB2312" w:hAnsi="仿宋_GB2312" w:eastAsia="仿宋_GB2312" w:cs="仿宋_GB2312"/>
          <w:color w:val="000000"/>
          <w:sz w:val="32"/>
          <w:szCs w:val="32"/>
          <w:lang w:eastAsia="zh-CN"/>
        </w:rPr>
        <w:t>儋州市市场监督管理局</w:t>
      </w:r>
      <w:r>
        <w:rPr>
          <w:rFonts w:hint="eastAsia" w:ascii="仿宋_GB2312" w:hAnsi="仿宋_GB2312" w:eastAsia="仿宋_GB2312" w:cs="仿宋_GB2312"/>
          <w:color w:val="000000"/>
          <w:sz w:val="32"/>
          <w:szCs w:val="32"/>
        </w:rPr>
        <w:t>拟组织</w:t>
      </w:r>
      <w:r>
        <w:rPr>
          <w:rFonts w:hint="eastAsia" w:ascii="仿宋_GB2312" w:hAnsi="仿宋_GB2312" w:eastAsia="仿宋_GB2312" w:cs="仿宋_GB2312"/>
          <w:color w:val="000000"/>
          <w:sz w:val="32"/>
          <w:szCs w:val="32"/>
          <w:lang w:eastAsia="zh-CN"/>
        </w:rPr>
        <w:t>开展</w:t>
      </w:r>
      <w:r>
        <w:rPr>
          <w:rFonts w:hint="eastAsia" w:ascii="仿宋_GB2312" w:hAnsi="仿宋_GB2312" w:eastAsia="仿宋_GB2312" w:cs="仿宋_GB2312"/>
          <w:color w:val="000000"/>
          <w:sz w:val="32"/>
          <w:szCs w:val="32"/>
          <w:lang w:val="en-US" w:eastAsia="zh-CN"/>
        </w:rPr>
        <w:t>2026年第二批烟花爆竹</w:t>
      </w:r>
      <w:r>
        <w:rPr>
          <w:rFonts w:hint="eastAsia" w:ascii="仿宋_GB2312" w:hAnsi="仿宋_GB2312" w:eastAsia="仿宋_GB2312" w:cs="仿宋_GB2312"/>
          <w:color w:val="000000"/>
          <w:sz w:val="32"/>
          <w:szCs w:val="32"/>
          <w:lang w:eastAsia="zh-CN"/>
        </w:rPr>
        <w:t>产</w:t>
      </w:r>
      <w:r>
        <w:rPr>
          <w:rFonts w:hint="eastAsia" w:ascii="仿宋_GB2312" w:hAnsi="仿宋_GB2312" w:eastAsia="仿宋_GB2312" w:cs="仿宋_GB2312"/>
          <w:color w:val="000000"/>
          <w:sz w:val="32"/>
          <w:szCs w:val="32"/>
        </w:rPr>
        <w:t>品质量监督抽查，特制定方案如下。</w:t>
      </w:r>
    </w:p>
    <w:p>
      <w:pPr>
        <w:keepNext w:val="0"/>
        <w:keepLines w:val="0"/>
        <w:pageBreakBefore w:val="0"/>
        <w:widowControl/>
        <w:tabs>
          <w:tab w:val="left" w:pos="720"/>
        </w:tabs>
        <w:kinsoku/>
        <w:wordWrap/>
        <w:overflowPunct/>
        <w:bidi w:val="0"/>
        <w:adjustRightInd w:val="0"/>
        <w:snapToGrid/>
        <w:spacing w:line="560" w:lineRule="exact"/>
        <w:ind w:firstLine="640" w:firstLineChars="200"/>
        <w:jc w:val="left"/>
        <w:textAlignment w:val="auto"/>
        <w:outlineLvl w:val="0"/>
        <w:rPr>
          <w:rFonts w:hint="eastAsia" w:ascii="黑体" w:hAnsi="黑体" w:eastAsia="黑体" w:cs="黑体"/>
          <w:b w:val="0"/>
          <w:bCs/>
          <w:color w:val="000000"/>
          <w:sz w:val="32"/>
          <w:szCs w:val="32"/>
        </w:rPr>
      </w:pPr>
      <w:r>
        <w:rPr>
          <w:rFonts w:hint="eastAsia" w:ascii="黑体" w:hAnsi="黑体" w:eastAsia="黑体" w:cs="黑体"/>
          <w:b w:val="0"/>
          <w:bCs/>
          <w:color w:val="000000"/>
          <w:sz w:val="32"/>
          <w:szCs w:val="32"/>
        </w:rPr>
        <w:t>一、抽检品种及分类</w:t>
      </w:r>
    </w:p>
    <w:p>
      <w:pPr>
        <w:keepNext w:val="0"/>
        <w:keepLines w:val="0"/>
        <w:pageBreakBefore w:val="0"/>
        <w:kinsoku/>
        <w:wordWrap/>
        <w:overflowPunct/>
        <w:bidi w:val="0"/>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本次监督抽查的品种</w:t>
      </w:r>
      <w:r>
        <w:rPr>
          <w:rFonts w:hint="eastAsia" w:ascii="仿宋_GB2312" w:hAnsi="仿宋_GB2312" w:eastAsia="仿宋_GB2312" w:cs="仿宋_GB2312"/>
          <w:color w:val="000000"/>
          <w:sz w:val="32"/>
          <w:szCs w:val="32"/>
          <w:lang w:val="en-US" w:eastAsia="zh-CN"/>
        </w:rPr>
        <w:t>为烟花爆竹等</w:t>
      </w:r>
      <w:r>
        <w:rPr>
          <w:rFonts w:hint="eastAsia" w:ascii="仿宋_GB2312" w:hAnsi="仿宋_GB2312" w:eastAsia="仿宋_GB2312" w:cs="仿宋_GB2312"/>
          <w:color w:val="000000"/>
          <w:sz w:val="32"/>
          <w:szCs w:val="32"/>
          <w:lang w:val="en-US" w:eastAsia="zh"/>
        </w:rPr>
        <w:t>产</w:t>
      </w:r>
      <w:r>
        <w:rPr>
          <w:rFonts w:hint="eastAsia" w:ascii="仿宋_GB2312" w:hAnsi="仿宋_GB2312" w:eastAsia="仿宋_GB2312" w:cs="仿宋_GB2312"/>
          <w:sz w:val="32"/>
          <w:szCs w:val="32"/>
        </w:rPr>
        <w:t>品</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个品</w:t>
      </w:r>
      <w:r>
        <w:rPr>
          <w:rFonts w:hint="eastAsia" w:ascii="仿宋_GB2312" w:hAnsi="仿宋_GB2312" w:eastAsia="仿宋_GB2312" w:cs="仿宋_GB2312"/>
          <w:sz w:val="32"/>
          <w:szCs w:val="32"/>
          <w:lang w:val="en-US" w:eastAsia="zh-CN"/>
        </w:rPr>
        <w:t>种。</w:t>
      </w:r>
    </w:p>
    <w:p>
      <w:pPr>
        <w:keepNext w:val="0"/>
        <w:keepLines w:val="0"/>
        <w:pageBreakBefore w:val="0"/>
        <w:widowControl/>
        <w:tabs>
          <w:tab w:val="left" w:pos="720"/>
        </w:tabs>
        <w:kinsoku/>
        <w:wordWrap/>
        <w:overflowPunct/>
        <w:bidi w:val="0"/>
        <w:adjustRightInd w:val="0"/>
        <w:snapToGrid/>
        <w:spacing w:line="560" w:lineRule="exact"/>
        <w:ind w:firstLine="640" w:firstLineChars="200"/>
        <w:jc w:val="left"/>
        <w:textAlignment w:val="auto"/>
        <w:outlineLvl w:val="0"/>
        <w:rPr>
          <w:rFonts w:hint="eastAsia" w:ascii="黑体" w:hAnsi="黑体" w:eastAsia="黑体" w:cs="黑体"/>
          <w:b w:val="0"/>
          <w:bCs/>
          <w:color w:val="000000"/>
          <w:sz w:val="32"/>
          <w:szCs w:val="32"/>
        </w:rPr>
      </w:pPr>
      <w:r>
        <w:rPr>
          <w:rFonts w:hint="eastAsia" w:ascii="黑体" w:hAnsi="黑体" w:eastAsia="黑体" w:cs="黑体"/>
          <w:b w:val="0"/>
          <w:bCs/>
          <w:color w:val="000000"/>
          <w:sz w:val="32"/>
          <w:szCs w:val="32"/>
          <w:lang w:eastAsia="zh-CN"/>
        </w:rPr>
        <w:t>二</w:t>
      </w:r>
      <w:r>
        <w:rPr>
          <w:rFonts w:hint="eastAsia" w:ascii="黑体" w:hAnsi="黑体" w:eastAsia="黑体" w:cs="黑体"/>
          <w:b w:val="0"/>
          <w:bCs/>
          <w:color w:val="000000"/>
          <w:sz w:val="32"/>
          <w:szCs w:val="32"/>
        </w:rPr>
        <w:t>、抽样地点及场所</w:t>
      </w:r>
    </w:p>
    <w:p>
      <w:pPr>
        <w:keepNext w:val="0"/>
        <w:keepLines w:val="0"/>
        <w:pageBreakBefore w:val="0"/>
        <w:kinsoku/>
        <w:wordWrap/>
        <w:overflowPunct/>
        <w:topLinePunct/>
        <w:bidi w:val="0"/>
        <w:adjustRightInd w:val="0"/>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本次抽样地点</w:t>
      </w:r>
      <w:r>
        <w:rPr>
          <w:rFonts w:hint="eastAsia" w:ascii="仿宋_GB2312" w:hAnsi="仿宋_GB2312" w:eastAsia="仿宋_GB2312" w:cs="仿宋_GB2312"/>
          <w:color w:val="000000"/>
          <w:sz w:val="32"/>
          <w:szCs w:val="32"/>
          <w:lang w:eastAsia="zh-CN"/>
        </w:rPr>
        <w:t>为儋州市市场监督管理局所辖区域内。</w:t>
      </w:r>
    </w:p>
    <w:p>
      <w:pPr>
        <w:keepNext w:val="0"/>
        <w:keepLines w:val="0"/>
        <w:pageBreakBefore w:val="0"/>
        <w:widowControl/>
        <w:tabs>
          <w:tab w:val="left" w:pos="720"/>
        </w:tabs>
        <w:kinsoku/>
        <w:wordWrap/>
        <w:overflowPunct/>
        <w:bidi w:val="0"/>
        <w:adjustRightInd w:val="0"/>
        <w:snapToGrid/>
        <w:spacing w:line="560" w:lineRule="exact"/>
        <w:ind w:firstLine="640" w:firstLineChars="200"/>
        <w:jc w:val="left"/>
        <w:textAlignment w:val="auto"/>
        <w:outlineLvl w:val="0"/>
        <w:rPr>
          <w:rFonts w:hint="eastAsia" w:ascii="黑体" w:hAnsi="黑体" w:eastAsia="黑体" w:cs="黑体"/>
          <w:b w:val="0"/>
          <w:bCs/>
          <w:color w:val="000000"/>
          <w:sz w:val="32"/>
          <w:szCs w:val="32"/>
          <w:lang w:eastAsia="zh-CN"/>
        </w:rPr>
      </w:pPr>
      <w:r>
        <w:rPr>
          <w:rFonts w:hint="eastAsia" w:ascii="黑体" w:hAnsi="黑体" w:eastAsia="黑体" w:cs="黑体"/>
          <w:b w:val="0"/>
          <w:bCs/>
          <w:color w:val="000000"/>
          <w:sz w:val="32"/>
          <w:szCs w:val="32"/>
          <w:lang w:eastAsia="zh-CN"/>
        </w:rPr>
        <w:t>三、抽样方法</w:t>
      </w:r>
    </w:p>
    <w:p>
      <w:pPr>
        <w:keepNext w:val="0"/>
        <w:keepLines w:val="0"/>
        <w:pageBreakBefore w:val="0"/>
        <w:kinsoku/>
        <w:wordWrap/>
        <w:overflowPunct/>
        <w:autoSpaceDE w:val="0"/>
        <w:autoSpaceDN w:val="0"/>
        <w:bidi w:val="0"/>
        <w:adjustRightInd w:val="0"/>
        <w:snapToGrid/>
        <w:spacing w:line="560" w:lineRule="exact"/>
        <w:ind w:firstLine="640" w:firstLineChars="200"/>
        <w:jc w:val="left"/>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rPr>
        <w:t>在市场上，随机抽取同一品牌、同一生产厂家、同一规格型号、同一批次的，并有产品质量检验合格证明或者以其他形式表明合格的产品。抽样基数应不少于抽取样品量，备份样品封存于销售者处。</w:t>
      </w:r>
      <w:r>
        <w:rPr>
          <w:rFonts w:hint="eastAsia" w:ascii="仿宋_GB2312" w:hAnsi="仿宋_GB2312" w:eastAsia="仿宋_GB2312" w:cs="仿宋_GB2312"/>
          <w:color w:val="000000"/>
          <w:sz w:val="32"/>
          <w:szCs w:val="32"/>
          <w:lang w:eastAsia="zh-CN"/>
        </w:rPr>
        <w:t>每批次产品检验样品数量按表1、表2、表3的规定执行，同时抽取同等数量的备用样品。</w:t>
      </w:r>
    </w:p>
    <w:p>
      <w:pPr>
        <w:snapToGrid w:val="0"/>
        <w:spacing w:line="440" w:lineRule="exact"/>
        <w:jc w:val="center"/>
        <w:rPr>
          <w:rFonts w:hint="eastAsia" w:ascii="仿宋" w:hAnsi="仿宋" w:eastAsia="仿宋" w:cs="仿宋"/>
          <w:sz w:val="24"/>
          <w:szCs w:val="24"/>
        </w:rPr>
      </w:pPr>
    </w:p>
    <w:p>
      <w:pPr>
        <w:snapToGrid w:val="0"/>
        <w:spacing w:line="440" w:lineRule="exact"/>
        <w:jc w:val="center"/>
        <w:rPr>
          <w:rFonts w:hint="eastAsia" w:ascii="仿宋" w:hAnsi="仿宋" w:eastAsia="仿宋" w:cs="仿宋"/>
          <w:b/>
          <w:bCs/>
          <w:sz w:val="24"/>
          <w:szCs w:val="24"/>
        </w:rPr>
      </w:pPr>
      <w:r>
        <w:rPr>
          <w:rFonts w:hint="eastAsia" w:ascii="仿宋" w:hAnsi="仿宋" w:eastAsia="仿宋" w:cs="仿宋"/>
          <w:b/>
          <w:bCs/>
          <w:sz w:val="24"/>
          <w:szCs w:val="24"/>
        </w:rPr>
        <w:t>表1 结鞭爆竹抽样样本量</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1749"/>
        <w:gridCol w:w="1919"/>
        <w:gridCol w:w="2151"/>
        <w:gridCol w:w="19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384" w:type="dxa"/>
            <w:vMerge w:val="restart"/>
            <w:noWrap w:val="0"/>
            <w:vAlign w:val="top"/>
          </w:tcPr>
          <w:p>
            <w:pPr>
              <w:jc w:val="center"/>
              <w:rPr>
                <w:rFonts w:hint="eastAsia" w:ascii="仿宋" w:hAnsi="仿宋" w:eastAsia="仿宋" w:cs="仿宋"/>
                <w:sz w:val="24"/>
                <w:szCs w:val="24"/>
              </w:rPr>
            </w:pPr>
            <w:r>
              <w:rPr>
                <w:rFonts w:hint="eastAsia" w:ascii="仿宋" w:hAnsi="仿宋" w:eastAsia="仿宋" w:cs="仿宋"/>
                <w:sz w:val="24"/>
                <w:szCs w:val="24"/>
              </w:rPr>
              <w:t>批量范围</w:t>
            </w:r>
          </w:p>
          <w:p>
            <w:pPr>
              <w:jc w:val="center"/>
              <w:rPr>
                <w:rFonts w:hint="eastAsia" w:ascii="仿宋" w:hAnsi="仿宋" w:eastAsia="仿宋" w:cs="仿宋"/>
                <w:sz w:val="24"/>
                <w:szCs w:val="24"/>
              </w:rPr>
            </w:pPr>
            <w:r>
              <w:rPr>
                <w:rFonts w:hint="eastAsia" w:ascii="仿宋" w:hAnsi="仿宋" w:eastAsia="仿宋" w:cs="仿宋"/>
                <w:sz w:val="24"/>
                <w:szCs w:val="24"/>
              </w:rPr>
              <w:t>N（挂、卷）</w:t>
            </w:r>
          </w:p>
        </w:tc>
        <w:tc>
          <w:tcPr>
            <w:tcW w:w="7790" w:type="dxa"/>
            <w:gridSpan w:val="4"/>
            <w:noWrap w:val="0"/>
            <w:vAlign w:val="top"/>
          </w:tcPr>
          <w:p>
            <w:pPr>
              <w:jc w:val="center"/>
              <w:rPr>
                <w:rFonts w:hint="eastAsia" w:ascii="仿宋" w:hAnsi="仿宋" w:eastAsia="仿宋" w:cs="仿宋"/>
                <w:sz w:val="24"/>
                <w:szCs w:val="24"/>
              </w:rPr>
            </w:pPr>
            <w:r>
              <w:rPr>
                <w:rFonts w:hint="eastAsia" w:ascii="仿宋" w:hAnsi="仿宋" w:eastAsia="仿宋" w:cs="仿宋"/>
                <w:sz w:val="24"/>
                <w:szCs w:val="24"/>
              </w:rPr>
              <w:t>样本量n （挂、卷）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384" w:type="dxa"/>
            <w:vMerge w:val="continue"/>
            <w:noWrap w:val="0"/>
            <w:vAlign w:val="top"/>
          </w:tcPr>
          <w:p>
            <w:pPr>
              <w:jc w:val="center"/>
              <w:rPr>
                <w:rFonts w:hint="eastAsia" w:ascii="仿宋" w:hAnsi="仿宋" w:eastAsia="仿宋" w:cs="仿宋"/>
                <w:sz w:val="24"/>
                <w:szCs w:val="24"/>
              </w:rPr>
            </w:pPr>
          </w:p>
        </w:tc>
        <w:tc>
          <w:tcPr>
            <w:tcW w:w="1749" w:type="dxa"/>
            <w:noWrap w:val="0"/>
            <w:vAlign w:val="top"/>
          </w:tcPr>
          <w:p>
            <w:pPr>
              <w:jc w:val="center"/>
              <w:rPr>
                <w:rFonts w:hint="eastAsia" w:ascii="仿宋" w:hAnsi="仿宋" w:eastAsia="仿宋" w:cs="仿宋"/>
                <w:sz w:val="24"/>
                <w:szCs w:val="24"/>
              </w:rPr>
            </w:pPr>
            <w:r>
              <w:rPr>
                <w:rFonts w:hint="eastAsia" w:ascii="仿宋" w:hAnsi="仿宋" w:eastAsia="仿宋" w:cs="仿宋"/>
                <w:sz w:val="24"/>
                <w:szCs w:val="24"/>
              </w:rPr>
              <w:t>≤50个/（挂、卷）</w:t>
            </w:r>
          </w:p>
        </w:tc>
        <w:tc>
          <w:tcPr>
            <w:tcW w:w="1919" w:type="dxa"/>
            <w:noWrap w:val="0"/>
            <w:vAlign w:val="top"/>
          </w:tcPr>
          <w:p>
            <w:pPr>
              <w:jc w:val="center"/>
              <w:rPr>
                <w:rFonts w:hint="eastAsia" w:ascii="仿宋" w:hAnsi="仿宋" w:eastAsia="仿宋" w:cs="仿宋"/>
                <w:sz w:val="24"/>
                <w:szCs w:val="24"/>
              </w:rPr>
            </w:pPr>
            <w:r>
              <w:rPr>
                <w:rFonts w:hint="eastAsia" w:ascii="仿宋" w:hAnsi="仿宋" w:eastAsia="仿宋" w:cs="仿宋"/>
                <w:sz w:val="24"/>
                <w:szCs w:val="24"/>
              </w:rPr>
              <w:t>51~500个/（挂、卷）</w:t>
            </w:r>
          </w:p>
        </w:tc>
        <w:tc>
          <w:tcPr>
            <w:tcW w:w="2151" w:type="dxa"/>
            <w:noWrap w:val="0"/>
            <w:vAlign w:val="top"/>
          </w:tcPr>
          <w:p>
            <w:pPr>
              <w:jc w:val="center"/>
              <w:rPr>
                <w:rFonts w:hint="eastAsia" w:ascii="仿宋" w:hAnsi="仿宋" w:eastAsia="仿宋" w:cs="仿宋"/>
                <w:sz w:val="24"/>
                <w:szCs w:val="24"/>
              </w:rPr>
            </w:pPr>
            <w:r>
              <w:rPr>
                <w:rFonts w:hint="eastAsia" w:ascii="仿宋" w:hAnsi="仿宋" w:eastAsia="仿宋" w:cs="仿宋"/>
                <w:sz w:val="24"/>
                <w:szCs w:val="24"/>
              </w:rPr>
              <w:t>501~2000个/（挂、卷）</w:t>
            </w:r>
          </w:p>
        </w:tc>
        <w:tc>
          <w:tcPr>
            <w:tcW w:w="1971" w:type="dxa"/>
            <w:noWrap w:val="0"/>
            <w:vAlign w:val="top"/>
          </w:tcPr>
          <w:p>
            <w:pPr>
              <w:jc w:val="center"/>
              <w:rPr>
                <w:rFonts w:hint="eastAsia" w:ascii="仿宋" w:hAnsi="仿宋" w:eastAsia="仿宋" w:cs="仿宋"/>
                <w:sz w:val="24"/>
                <w:szCs w:val="24"/>
              </w:rPr>
            </w:pPr>
            <w:r>
              <w:rPr>
                <w:rFonts w:hint="eastAsia" w:ascii="仿宋" w:hAnsi="仿宋" w:eastAsia="仿宋" w:cs="仿宋"/>
                <w:sz w:val="24"/>
                <w:szCs w:val="24"/>
              </w:rPr>
              <w:t>＞2000个/（挂、卷）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84" w:type="dxa"/>
            <w:noWrap w:val="0"/>
            <w:vAlign w:val="top"/>
          </w:tcPr>
          <w:p>
            <w:pPr>
              <w:jc w:val="center"/>
              <w:rPr>
                <w:rFonts w:hint="eastAsia" w:ascii="仿宋" w:hAnsi="仿宋" w:eastAsia="仿宋" w:cs="仿宋"/>
                <w:sz w:val="24"/>
                <w:szCs w:val="24"/>
              </w:rPr>
            </w:pPr>
            <w:r>
              <w:rPr>
                <w:rFonts w:hint="eastAsia" w:ascii="仿宋" w:hAnsi="仿宋" w:eastAsia="仿宋" w:cs="仿宋"/>
                <w:sz w:val="24"/>
                <w:szCs w:val="24"/>
              </w:rPr>
              <w:t xml:space="preserve">≤500 </w:t>
            </w:r>
          </w:p>
        </w:tc>
        <w:tc>
          <w:tcPr>
            <w:tcW w:w="1749" w:type="dxa"/>
            <w:noWrap w:val="0"/>
            <w:vAlign w:val="top"/>
          </w:tcPr>
          <w:p>
            <w:pPr>
              <w:jc w:val="center"/>
              <w:rPr>
                <w:rFonts w:hint="eastAsia" w:ascii="仿宋" w:hAnsi="仿宋" w:eastAsia="仿宋" w:cs="仿宋"/>
                <w:sz w:val="24"/>
                <w:szCs w:val="24"/>
              </w:rPr>
            </w:pPr>
            <w:r>
              <w:rPr>
                <w:rFonts w:hint="eastAsia" w:ascii="仿宋" w:hAnsi="仿宋" w:eastAsia="仿宋" w:cs="仿宋"/>
                <w:sz w:val="24"/>
                <w:szCs w:val="24"/>
              </w:rPr>
              <w:t>8</w:t>
            </w:r>
          </w:p>
        </w:tc>
        <w:tc>
          <w:tcPr>
            <w:tcW w:w="1919" w:type="dxa"/>
            <w:noWrap w:val="0"/>
            <w:vAlign w:val="top"/>
          </w:tcPr>
          <w:p>
            <w:pPr>
              <w:jc w:val="center"/>
              <w:rPr>
                <w:rFonts w:hint="eastAsia" w:ascii="仿宋" w:hAnsi="仿宋" w:eastAsia="仿宋" w:cs="仿宋"/>
                <w:sz w:val="24"/>
                <w:szCs w:val="24"/>
              </w:rPr>
            </w:pPr>
            <w:r>
              <w:rPr>
                <w:rFonts w:hint="eastAsia" w:ascii="仿宋" w:hAnsi="仿宋" w:eastAsia="仿宋" w:cs="仿宋"/>
                <w:sz w:val="24"/>
                <w:szCs w:val="24"/>
              </w:rPr>
              <w:t>6</w:t>
            </w:r>
          </w:p>
        </w:tc>
        <w:tc>
          <w:tcPr>
            <w:tcW w:w="2151" w:type="dxa"/>
            <w:noWrap w:val="0"/>
            <w:vAlign w:val="top"/>
          </w:tcPr>
          <w:p>
            <w:pPr>
              <w:jc w:val="center"/>
              <w:rPr>
                <w:rFonts w:hint="eastAsia" w:ascii="仿宋" w:hAnsi="仿宋" w:eastAsia="仿宋" w:cs="仿宋"/>
                <w:sz w:val="24"/>
                <w:szCs w:val="24"/>
              </w:rPr>
            </w:pPr>
            <w:r>
              <w:rPr>
                <w:rFonts w:hint="eastAsia" w:ascii="仿宋" w:hAnsi="仿宋" w:eastAsia="仿宋" w:cs="仿宋"/>
                <w:sz w:val="24"/>
                <w:szCs w:val="24"/>
              </w:rPr>
              <w:t>5</w:t>
            </w:r>
          </w:p>
        </w:tc>
        <w:tc>
          <w:tcPr>
            <w:tcW w:w="1971" w:type="dxa"/>
            <w:noWrap w:val="0"/>
            <w:vAlign w:val="top"/>
          </w:tcPr>
          <w:p>
            <w:pPr>
              <w:jc w:val="center"/>
              <w:rPr>
                <w:rFonts w:hint="eastAsia" w:ascii="仿宋" w:hAnsi="仿宋" w:eastAsia="仿宋" w:cs="仿宋"/>
                <w:sz w:val="24"/>
                <w:szCs w:val="24"/>
              </w:rPr>
            </w:pPr>
            <w:r>
              <w:rPr>
                <w:rFonts w:hint="eastAsia" w:ascii="仿宋" w:hAnsi="仿宋" w:eastAsia="仿宋" w:cs="仿宋"/>
                <w:sz w:val="24"/>
                <w:szCs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384" w:type="dxa"/>
            <w:noWrap w:val="0"/>
            <w:vAlign w:val="top"/>
          </w:tcPr>
          <w:p>
            <w:pPr>
              <w:jc w:val="center"/>
              <w:rPr>
                <w:rFonts w:hint="eastAsia" w:ascii="仿宋" w:hAnsi="仿宋" w:eastAsia="仿宋" w:cs="仿宋"/>
                <w:sz w:val="24"/>
                <w:szCs w:val="24"/>
              </w:rPr>
            </w:pPr>
            <w:r>
              <w:rPr>
                <w:rFonts w:hint="eastAsia" w:ascii="仿宋" w:hAnsi="仿宋" w:eastAsia="仿宋" w:cs="仿宋"/>
                <w:sz w:val="24"/>
                <w:szCs w:val="24"/>
              </w:rPr>
              <w:t>501~2000</w:t>
            </w:r>
          </w:p>
        </w:tc>
        <w:tc>
          <w:tcPr>
            <w:tcW w:w="1749" w:type="dxa"/>
            <w:noWrap w:val="0"/>
            <w:vAlign w:val="top"/>
          </w:tcPr>
          <w:p>
            <w:pPr>
              <w:jc w:val="center"/>
              <w:rPr>
                <w:rFonts w:hint="eastAsia" w:ascii="仿宋" w:hAnsi="仿宋" w:eastAsia="仿宋" w:cs="仿宋"/>
                <w:sz w:val="24"/>
                <w:szCs w:val="24"/>
              </w:rPr>
            </w:pPr>
            <w:r>
              <w:rPr>
                <w:rFonts w:hint="eastAsia" w:ascii="仿宋" w:hAnsi="仿宋" w:eastAsia="仿宋" w:cs="仿宋"/>
                <w:sz w:val="24"/>
                <w:szCs w:val="24"/>
              </w:rPr>
              <w:t>10</w:t>
            </w:r>
          </w:p>
        </w:tc>
        <w:tc>
          <w:tcPr>
            <w:tcW w:w="1919" w:type="dxa"/>
            <w:noWrap w:val="0"/>
            <w:vAlign w:val="top"/>
          </w:tcPr>
          <w:p>
            <w:pPr>
              <w:jc w:val="center"/>
              <w:rPr>
                <w:rFonts w:hint="eastAsia" w:ascii="仿宋" w:hAnsi="仿宋" w:eastAsia="仿宋" w:cs="仿宋"/>
                <w:sz w:val="24"/>
                <w:szCs w:val="24"/>
              </w:rPr>
            </w:pPr>
            <w:r>
              <w:rPr>
                <w:rFonts w:hint="eastAsia" w:ascii="仿宋" w:hAnsi="仿宋" w:eastAsia="仿宋" w:cs="仿宋"/>
                <w:sz w:val="24"/>
                <w:szCs w:val="24"/>
              </w:rPr>
              <w:t>8</w:t>
            </w:r>
          </w:p>
        </w:tc>
        <w:tc>
          <w:tcPr>
            <w:tcW w:w="2151" w:type="dxa"/>
            <w:noWrap w:val="0"/>
            <w:vAlign w:val="top"/>
          </w:tcPr>
          <w:p>
            <w:pPr>
              <w:jc w:val="center"/>
              <w:rPr>
                <w:rFonts w:hint="eastAsia" w:ascii="仿宋" w:hAnsi="仿宋" w:eastAsia="仿宋" w:cs="仿宋"/>
                <w:sz w:val="24"/>
                <w:szCs w:val="24"/>
              </w:rPr>
            </w:pPr>
            <w:r>
              <w:rPr>
                <w:rFonts w:hint="eastAsia" w:ascii="仿宋" w:hAnsi="仿宋" w:eastAsia="仿宋" w:cs="仿宋"/>
                <w:sz w:val="24"/>
                <w:szCs w:val="24"/>
              </w:rPr>
              <w:t>6</w:t>
            </w:r>
          </w:p>
        </w:tc>
        <w:tc>
          <w:tcPr>
            <w:tcW w:w="1971" w:type="dxa"/>
            <w:noWrap w:val="0"/>
            <w:vAlign w:val="top"/>
          </w:tcPr>
          <w:p>
            <w:pPr>
              <w:jc w:val="center"/>
              <w:rPr>
                <w:rFonts w:hint="eastAsia" w:ascii="仿宋" w:hAnsi="仿宋" w:eastAsia="仿宋" w:cs="仿宋"/>
                <w:sz w:val="24"/>
                <w:szCs w:val="24"/>
              </w:rPr>
            </w:pPr>
            <w:r>
              <w:rPr>
                <w:rFonts w:hint="eastAsia" w:ascii="仿宋" w:hAnsi="仿宋" w:eastAsia="仿宋" w:cs="仿宋"/>
                <w:sz w:val="24"/>
                <w:szCs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384" w:type="dxa"/>
            <w:noWrap w:val="0"/>
            <w:vAlign w:val="top"/>
          </w:tcPr>
          <w:p>
            <w:pPr>
              <w:ind w:firstLine="120" w:firstLineChars="50"/>
              <w:rPr>
                <w:rFonts w:hint="eastAsia" w:ascii="仿宋" w:hAnsi="仿宋" w:eastAsia="仿宋" w:cs="仿宋"/>
                <w:sz w:val="24"/>
                <w:szCs w:val="24"/>
              </w:rPr>
            </w:pPr>
            <w:r>
              <w:rPr>
                <w:rFonts w:hint="eastAsia" w:ascii="仿宋" w:hAnsi="仿宋" w:eastAsia="仿宋" w:cs="仿宋"/>
                <w:sz w:val="24"/>
                <w:szCs w:val="24"/>
              </w:rPr>
              <w:t>2001~5000</w:t>
            </w:r>
          </w:p>
        </w:tc>
        <w:tc>
          <w:tcPr>
            <w:tcW w:w="1749" w:type="dxa"/>
            <w:noWrap w:val="0"/>
            <w:vAlign w:val="top"/>
          </w:tcPr>
          <w:p>
            <w:pPr>
              <w:jc w:val="center"/>
              <w:rPr>
                <w:rFonts w:hint="eastAsia" w:ascii="仿宋" w:hAnsi="仿宋" w:eastAsia="仿宋" w:cs="仿宋"/>
                <w:sz w:val="24"/>
                <w:szCs w:val="24"/>
              </w:rPr>
            </w:pPr>
            <w:r>
              <w:rPr>
                <w:rFonts w:hint="eastAsia" w:ascii="仿宋" w:hAnsi="仿宋" w:eastAsia="仿宋" w:cs="仿宋"/>
                <w:sz w:val="24"/>
                <w:szCs w:val="24"/>
              </w:rPr>
              <w:t>13</w:t>
            </w:r>
          </w:p>
        </w:tc>
        <w:tc>
          <w:tcPr>
            <w:tcW w:w="1919" w:type="dxa"/>
            <w:noWrap w:val="0"/>
            <w:vAlign w:val="top"/>
          </w:tcPr>
          <w:p>
            <w:pPr>
              <w:jc w:val="center"/>
              <w:rPr>
                <w:rFonts w:hint="eastAsia" w:ascii="仿宋" w:hAnsi="仿宋" w:eastAsia="仿宋" w:cs="仿宋"/>
                <w:sz w:val="24"/>
                <w:szCs w:val="24"/>
              </w:rPr>
            </w:pPr>
            <w:r>
              <w:rPr>
                <w:rFonts w:hint="eastAsia" w:ascii="仿宋" w:hAnsi="仿宋" w:eastAsia="仿宋" w:cs="仿宋"/>
                <w:sz w:val="24"/>
                <w:szCs w:val="24"/>
              </w:rPr>
              <w:t>10</w:t>
            </w:r>
          </w:p>
        </w:tc>
        <w:tc>
          <w:tcPr>
            <w:tcW w:w="2151" w:type="dxa"/>
            <w:noWrap w:val="0"/>
            <w:vAlign w:val="top"/>
          </w:tcPr>
          <w:p>
            <w:pPr>
              <w:jc w:val="center"/>
              <w:rPr>
                <w:rFonts w:hint="eastAsia" w:ascii="仿宋" w:hAnsi="仿宋" w:eastAsia="仿宋" w:cs="仿宋"/>
                <w:sz w:val="24"/>
                <w:szCs w:val="24"/>
              </w:rPr>
            </w:pPr>
            <w:r>
              <w:rPr>
                <w:rFonts w:hint="eastAsia" w:ascii="仿宋" w:hAnsi="仿宋" w:eastAsia="仿宋" w:cs="仿宋"/>
                <w:sz w:val="24"/>
                <w:szCs w:val="24"/>
              </w:rPr>
              <w:t>8</w:t>
            </w:r>
          </w:p>
        </w:tc>
        <w:tc>
          <w:tcPr>
            <w:tcW w:w="1971" w:type="dxa"/>
            <w:noWrap w:val="0"/>
            <w:vAlign w:val="top"/>
          </w:tcPr>
          <w:p>
            <w:pPr>
              <w:jc w:val="center"/>
              <w:rPr>
                <w:rFonts w:hint="eastAsia" w:ascii="仿宋" w:hAnsi="仿宋" w:eastAsia="仿宋" w:cs="仿宋"/>
                <w:sz w:val="24"/>
                <w:szCs w:val="24"/>
              </w:rPr>
            </w:pPr>
            <w:r>
              <w:rPr>
                <w:rFonts w:hint="eastAsia" w:ascii="仿宋" w:hAnsi="仿宋" w:eastAsia="仿宋" w:cs="仿宋"/>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384" w:type="dxa"/>
            <w:noWrap w:val="0"/>
            <w:vAlign w:val="top"/>
          </w:tcPr>
          <w:p>
            <w:pPr>
              <w:jc w:val="center"/>
              <w:rPr>
                <w:rFonts w:hint="eastAsia" w:ascii="仿宋" w:hAnsi="仿宋" w:eastAsia="仿宋" w:cs="仿宋"/>
                <w:sz w:val="24"/>
                <w:szCs w:val="24"/>
              </w:rPr>
            </w:pPr>
            <w:r>
              <w:rPr>
                <w:rFonts w:hint="eastAsia" w:ascii="仿宋" w:hAnsi="仿宋" w:eastAsia="仿宋" w:cs="仿宋"/>
                <w:sz w:val="24"/>
                <w:szCs w:val="24"/>
              </w:rPr>
              <w:t>≥5001</w:t>
            </w:r>
          </w:p>
        </w:tc>
        <w:tc>
          <w:tcPr>
            <w:tcW w:w="1749" w:type="dxa"/>
            <w:noWrap w:val="0"/>
            <w:vAlign w:val="top"/>
          </w:tcPr>
          <w:p>
            <w:pPr>
              <w:jc w:val="center"/>
              <w:rPr>
                <w:rFonts w:hint="eastAsia" w:ascii="仿宋" w:hAnsi="仿宋" w:eastAsia="仿宋" w:cs="仿宋"/>
                <w:sz w:val="24"/>
                <w:szCs w:val="24"/>
              </w:rPr>
            </w:pPr>
            <w:r>
              <w:rPr>
                <w:rFonts w:hint="eastAsia" w:ascii="仿宋" w:hAnsi="仿宋" w:eastAsia="仿宋" w:cs="仿宋"/>
                <w:sz w:val="24"/>
                <w:szCs w:val="24"/>
              </w:rPr>
              <w:t>13</w:t>
            </w:r>
          </w:p>
        </w:tc>
        <w:tc>
          <w:tcPr>
            <w:tcW w:w="1919" w:type="dxa"/>
            <w:noWrap w:val="0"/>
            <w:vAlign w:val="top"/>
          </w:tcPr>
          <w:p>
            <w:pPr>
              <w:jc w:val="center"/>
              <w:rPr>
                <w:rFonts w:hint="eastAsia" w:ascii="仿宋" w:hAnsi="仿宋" w:eastAsia="仿宋" w:cs="仿宋"/>
                <w:sz w:val="24"/>
                <w:szCs w:val="24"/>
              </w:rPr>
            </w:pPr>
            <w:r>
              <w:rPr>
                <w:rFonts w:hint="eastAsia" w:ascii="仿宋" w:hAnsi="仿宋" w:eastAsia="仿宋" w:cs="仿宋"/>
                <w:sz w:val="24"/>
                <w:szCs w:val="24"/>
              </w:rPr>
              <w:t>12</w:t>
            </w:r>
          </w:p>
        </w:tc>
        <w:tc>
          <w:tcPr>
            <w:tcW w:w="2151" w:type="dxa"/>
            <w:noWrap w:val="0"/>
            <w:vAlign w:val="top"/>
          </w:tcPr>
          <w:p>
            <w:pPr>
              <w:jc w:val="center"/>
              <w:rPr>
                <w:rFonts w:hint="eastAsia" w:ascii="仿宋" w:hAnsi="仿宋" w:eastAsia="仿宋" w:cs="仿宋"/>
                <w:sz w:val="24"/>
                <w:szCs w:val="24"/>
              </w:rPr>
            </w:pPr>
            <w:r>
              <w:rPr>
                <w:rFonts w:hint="eastAsia" w:ascii="仿宋" w:hAnsi="仿宋" w:eastAsia="仿宋" w:cs="仿宋"/>
                <w:sz w:val="24"/>
                <w:szCs w:val="24"/>
              </w:rPr>
              <w:t>10</w:t>
            </w:r>
          </w:p>
        </w:tc>
        <w:tc>
          <w:tcPr>
            <w:tcW w:w="1971" w:type="dxa"/>
            <w:noWrap w:val="0"/>
            <w:vAlign w:val="top"/>
          </w:tcPr>
          <w:p>
            <w:pPr>
              <w:jc w:val="center"/>
              <w:rPr>
                <w:rFonts w:hint="eastAsia" w:ascii="仿宋" w:hAnsi="仿宋" w:eastAsia="仿宋" w:cs="仿宋"/>
                <w:sz w:val="24"/>
                <w:szCs w:val="24"/>
              </w:rPr>
            </w:pPr>
            <w:r>
              <w:rPr>
                <w:rFonts w:hint="eastAsia" w:ascii="仿宋" w:hAnsi="仿宋" w:eastAsia="仿宋" w:cs="仿宋"/>
                <w:sz w:val="24"/>
                <w:szCs w:val="24"/>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174" w:type="dxa"/>
            <w:gridSpan w:val="5"/>
            <w:noWrap w:val="0"/>
            <w:vAlign w:val="top"/>
          </w:tcPr>
          <w:p>
            <w:pPr>
              <w:jc w:val="left"/>
              <w:rPr>
                <w:rFonts w:hint="eastAsia" w:ascii="仿宋" w:hAnsi="仿宋" w:eastAsia="仿宋" w:cs="仿宋"/>
                <w:sz w:val="24"/>
                <w:szCs w:val="24"/>
              </w:rPr>
            </w:pPr>
            <w:bookmarkStart w:id="0" w:name="OLE_LINK4"/>
            <w:r>
              <w:rPr>
                <w:rFonts w:hint="eastAsia" w:ascii="仿宋" w:hAnsi="仿宋" w:eastAsia="仿宋" w:cs="仿宋"/>
                <w:sz w:val="24"/>
                <w:szCs w:val="24"/>
              </w:rPr>
              <w:t>注：成箱产品中抽取样本，根据所抽样品种类，按表中规定的样本量数的50 %以上（进位取整）确定开箱检查数，再在随机抽取的箱中随机抽取至少1个样品组成所需样本量。</w:t>
            </w:r>
            <w:bookmarkEnd w:id="0"/>
          </w:p>
        </w:tc>
      </w:tr>
    </w:tbl>
    <w:p>
      <w:pPr>
        <w:snapToGrid w:val="0"/>
        <w:spacing w:line="440" w:lineRule="exact"/>
        <w:jc w:val="center"/>
        <w:rPr>
          <w:rFonts w:hint="eastAsia" w:ascii="仿宋" w:hAnsi="仿宋" w:eastAsia="仿宋" w:cs="仿宋"/>
          <w:sz w:val="24"/>
          <w:szCs w:val="24"/>
        </w:rPr>
      </w:pPr>
    </w:p>
    <w:p>
      <w:pPr>
        <w:snapToGrid w:val="0"/>
        <w:spacing w:line="440" w:lineRule="exact"/>
        <w:jc w:val="center"/>
        <w:rPr>
          <w:rFonts w:hint="eastAsia" w:ascii="仿宋" w:hAnsi="仿宋" w:eastAsia="仿宋" w:cs="仿宋"/>
          <w:b/>
          <w:bCs/>
          <w:sz w:val="24"/>
          <w:szCs w:val="24"/>
        </w:rPr>
      </w:pPr>
      <w:r>
        <w:rPr>
          <w:rFonts w:hint="eastAsia" w:ascii="仿宋" w:hAnsi="仿宋" w:eastAsia="仿宋" w:cs="仿宋"/>
          <w:b/>
          <w:bCs/>
          <w:sz w:val="24"/>
          <w:szCs w:val="24"/>
        </w:rPr>
        <w:t>表2 组合烟花抽样样本量</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7"/>
        <w:gridCol w:w="1259"/>
        <w:gridCol w:w="1240"/>
        <w:gridCol w:w="1300"/>
        <w:gridCol w:w="1295"/>
        <w:gridCol w:w="1246"/>
        <w:gridCol w:w="11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07" w:type="dxa"/>
            <w:vMerge w:val="restart"/>
            <w:noWrap w:val="0"/>
            <w:vAlign w:val="center"/>
          </w:tcPr>
          <w:p>
            <w:pPr>
              <w:pStyle w:val="58"/>
              <w:ind w:firstLine="0" w:firstLineChars="0"/>
              <w:jc w:val="center"/>
              <w:rPr>
                <w:rFonts w:hint="eastAsia" w:ascii="仿宋" w:hAnsi="仿宋" w:eastAsia="仿宋" w:cs="仿宋"/>
                <w:sz w:val="24"/>
                <w:szCs w:val="24"/>
              </w:rPr>
            </w:pPr>
            <w:r>
              <w:rPr>
                <w:rFonts w:hint="eastAsia" w:ascii="仿宋" w:hAnsi="仿宋" w:eastAsia="仿宋" w:cs="仿宋"/>
                <w:sz w:val="24"/>
                <w:szCs w:val="24"/>
              </w:rPr>
              <w:t>批量范围</w:t>
            </w:r>
          </w:p>
          <w:p>
            <w:pPr>
              <w:pStyle w:val="58"/>
              <w:ind w:firstLine="0" w:firstLineChars="0"/>
              <w:jc w:val="center"/>
              <w:rPr>
                <w:rFonts w:hint="eastAsia" w:ascii="仿宋" w:hAnsi="仿宋" w:eastAsia="仿宋" w:cs="仿宋"/>
                <w:sz w:val="24"/>
                <w:szCs w:val="24"/>
              </w:rPr>
            </w:pPr>
            <w:r>
              <w:rPr>
                <w:rFonts w:hint="eastAsia" w:ascii="仿宋" w:hAnsi="仿宋" w:eastAsia="仿宋" w:cs="仿宋"/>
                <w:sz w:val="24"/>
                <w:szCs w:val="24"/>
              </w:rPr>
              <w:t>N（个）</w:t>
            </w:r>
          </w:p>
        </w:tc>
        <w:tc>
          <w:tcPr>
            <w:tcW w:w="7467" w:type="dxa"/>
            <w:gridSpan w:val="6"/>
            <w:noWrap w:val="0"/>
            <w:vAlign w:val="center"/>
          </w:tcPr>
          <w:p>
            <w:pPr>
              <w:pStyle w:val="58"/>
              <w:ind w:firstLine="0" w:firstLineChars="0"/>
              <w:jc w:val="center"/>
              <w:rPr>
                <w:rFonts w:hint="eastAsia" w:ascii="仿宋" w:hAnsi="仿宋" w:eastAsia="仿宋" w:cs="仿宋"/>
                <w:sz w:val="24"/>
                <w:szCs w:val="24"/>
              </w:rPr>
            </w:pPr>
            <w:r>
              <w:rPr>
                <w:rFonts w:hint="eastAsia" w:ascii="仿宋" w:hAnsi="仿宋" w:eastAsia="仿宋" w:cs="仿宋"/>
                <w:sz w:val="24"/>
                <w:szCs w:val="24"/>
              </w:rPr>
              <w:t>样本量 n /个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07" w:type="dxa"/>
            <w:vMerge w:val="continue"/>
            <w:noWrap w:val="0"/>
            <w:vAlign w:val="center"/>
          </w:tcPr>
          <w:p>
            <w:pPr>
              <w:pStyle w:val="58"/>
              <w:ind w:firstLine="420"/>
              <w:jc w:val="center"/>
              <w:rPr>
                <w:rFonts w:hint="eastAsia" w:ascii="仿宋" w:hAnsi="仿宋" w:eastAsia="仿宋" w:cs="仿宋"/>
                <w:sz w:val="24"/>
                <w:szCs w:val="24"/>
              </w:rPr>
            </w:pPr>
          </w:p>
        </w:tc>
        <w:tc>
          <w:tcPr>
            <w:tcW w:w="7467" w:type="dxa"/>
            <w:gridSpan w:val="6"/>
            <w:noWrap w:val="0"/>
            <w:vAlign w:val="center"/>
          </w:tcPr>
          <w:p>
            <w:pPr>
              <w:pStyle w:val="58"/>
              <w:ind w:firstLine="0" w:firstLineChars="0"/>
              <w:jc w:val="center"/>
              <w:rPr>
                <w:rFonts w:hint="eastAsia" w:ascii="仿宋" w:hAnsi="仿宋" w:eastAsia="仿宋" w:cs="仿宋"/>
                <w:sz w:val="24"/>
                <w:szCs w:val="24"/>
              </w:rPr>
            </w:pPr>
            <w:r>
              <w:rPr>
                <w:rFonts w:hint="eastAsia" w:ascii="仿宋" w:hAnsi="仿宋" w:eastAsia="仿宋" w:cs="仿宋"/>
                <w:sz w:val="24"/>
                <w:szCs w:val="24"/>
              </w:rPr>
              <w:t>单个样品组合发数（发/个）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07" w:type="dxa"/>
            <w:vMerge w:val="continue"/>
            <w:noWrap w:val="0"/>
            <w:vAlign w:val="center"/>
          </w:tcPr>
          <w:p>
            <w:pPr>
              <w:pStyle w:val="58"/>
              <w:ind w:firstLine="420"/>
              <w:jc w:val="center"/>
              <w:rPr>
                <w:rFonts w:hint="eastAsia" w:ascii="仿宋" w:hAnsi="仿宋" w:eastAsia="仿宋" w:cs="仿宋"/>
                <w:sz w:val="24"/>
                <w:szCs w:val="24"/>
              </w:rPr>
            </w:pPr>
          </w:p>
        </w:tc>
        <w:tc>
          <w:tcPr>
            <w:tcW w:w="2499" w:type="dxa"/>
            <w:gridSpan w:val="2"/>
            <w:noWrap w:val="0"/>
            <w:vAlign w:val="center"/>
          </w:tcPr>
          <w:p>
            <w:pPr>
              <w:pStyle w:val="58"/>
              <w:ind w:firstLine="0" w:firstLineChars="0"/>
              <w:jc w:val="center"/>
              <w:rPr>
                <w:rFonts w:hint="eastAsia" w:ascii="仿宋" w:hAnsi="仿宋" w:eastAsia="仿宋" w:cs="仿宋"/>
                <w:kern w:val="2"/>
                <w:sz w:val="24"/>
                <w:szCs w:val="24"/>
              </w:rPr>
            </w:pPr>
            <w:bookmarkStart w:id="1" w:name="OLE_LINK5"/>
            <w:bookmarkStart w:id="2" w:name="OLE_LINK6"/>
            <w:r>
              <w:rPr>
                <w:rFonts w:hint="eastAsia" w:ascii="仿宋" w:hAnsi="仿宋" w:eastAsia="仿宋" w:cs="仿宋"/>
                <w:kern w:val="2"/>
                <w:sz w:val="24"/>
                <w:szCs w:val="24"/>
              </w:rPr>
              <w:t>≤</w:t>
            </w:r>
            <w:bookmarkEnd w:id="1"/>
            <w:bookmarkEnd w:id="2"/>
            <w:r>
              <w:rPr>
                <w:rFonts w:hint="eastAsia" w:ascii="仿宋" w:hAnsi="仿宋" w:eastAsia="仿宋" w:cs="仿宋"/>
                <w:kern w:val="2"/>
                <w:sz w:val="24"/>
                <w:szCs w:val="24"/>
              </w:rPr>
              <w:t xml:space="preserve">20 </w:t>
            </w:r>
          </w:p>
        </w:tc>
        <w:tc>
          <w:tcPr>
            <w:tcW w:w="2595" w:type="dxa"/>
            <w:gridSpan w:val="2"/>
            <w:noWrap w:val="0"/>
            <w:vAlign w:val="center"/>
          </w:tcPr>
          <w:p>
            <w:pPr>
              <w:pStyle w:val="58"/>
              <w:ind w:firstLine="0" w:firstLineChars="0"/>
              <w:jc w:val="center"/>
              <w:rPr>
                <w:rFonts w:hint="eastAsia" w:ascii="仿宋" w:hAnsi="仿宋" w:eastAsia="仿宋" w:cs="仿宋"/>
                <w:sz w:val="24"/>
                <w:szCs w:val="24"/>
              </w:rPr>
            </w:pPr>
            <w:r>
              <w:rPr>
                <w:rFonts w:hint="eastAsia" w:ascii="仿宋" w:hAnsi="仿宋" w:eastAsia="仿宋" w:cs="仿宋"/>
                <w:sz w:val="24"/>
                <w:szCs w:val="24"/>
              </w:rPr>
              <w:t>21～50</w:t>
            </w:r>
          </w:p>
        </w:tc>
        <w:tc>
          <w:tcPr>
            <w:tcW w:w="2373" w:type="dxa"/>
            <w:gridSpan w:val="2"/>
            <w:noWrap w:val="0"/>
            <w:vAlign w:val="center"/>
          </w:tcPr>
          <w:p>
            <w:pPr>
              <w:pStyle w:val="58"/>
              <w:ind w:firstLine="0" w:firstLineChars="0"/>
              <w:jc w:val="center"/>
              <w:rPr>
                <w:rFonts w:hint="eastAsia" w:ascii="仿宋" w:hAnsi="仿宋" w:eastAsia="仿宋" w:cs="仿宋"/>
                <w:kern w:val="2"/>
                <w:sz w:val="24"/>
                <w:szCs w:val="24"/>
              </w:rPr>
            </w:pPr>
            <w:r>
              <w:rPr>
                <w:rFonts w:hint="eastAsia" w:ascii="仿宋" w:hAnsi="仿宋" w:eastAsia="仿宋" w:cs="仿宋"/>
                <w:kern w:val="2"/>
                <w:sz w:val="24"/>
                <w:szCs w:val="24"/>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07" w:type="dxa"/>
            <w:vMerge w:val="continue"/>
            <w:noWrap w:val="0"/>
            <w:vAlign w:val="center"/>
          </w:tcPr>
          <w:p>
            <w:pPr>
              <w:pStyle w:val="58"/>
              <w:ind w:firstLine="420"/>
              <w:jc w:val="center"/>
              <w:rPr>
                <w:rFonts w:hint="eastAsia" w:ascii="仿宋" w:hAnsi="仿宋" w:eastAsia="仿宋" w:cs="仿宋"/>
                <w:sz w:val="24"/>
                <w:szCs w:val="24"/>
              </w:rPr>
            </w:pPr>
          </w:p>
        </w:tc>
        <w:tc>
          <w:tcPr>
            <w:tcW w:w="7467" w:type="dxa"/>
            <w:gridSpan w:val="6"/>
            <w:noWrap w:val="0"/>
            <w:vAlign w:val="center"/>
          </w:tcPr>
          <w:p>
            <w:pPr>
              <w:pStyle w:val="58"/>
              <w:ind w:firstLine="0" w:firstLineChars="0"/>
              <w:jc w:val="center"/>
              <w:rPr>
                <w:rFonts w:hint="eastAsia" w:ascii="仿宋" w:hAnsi="仿宋" w:eastAsia="仿宋" w:cs="仿宋"/>
                <w:sz w:val="24"/>
                <w:szCs w:val="24"/>
              </w:rPr>
            </w:pPr>
            <w:r>
              <w:rPr>
                <w:rFonts w:hint="eastAsia" w:ascii="仿宋" w:hAnsi="仿宋" w:eastAsia="仿宋" w:cs="仿宋"/>
                <w:sz w:val="24"/>
                <w:szCs w:val="24"/>
              </w:rPr>
              <w:t>单筒内径/mm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07" w:type="dxa"/>
            <w:vMerge w:val="continue"/>
            <w:noWrap w:val="0"/>
            <w:vAlign w:val="center"/>
          </w:tcPr>
          <w:p>
            <w:pPr>
              <w:pStyle w:val="58"/>
              <w:ind w:firstLine="420"/>
              <w:jc w:val="center"/>
              <w:rPr>
                <w:rFonts w:hint="eastAsia" w:ascii="仿宋" w:hAnsi="仿宋" w:eastAsia="仿宋" w:cs="仿宋"/>
                <w:sz w:val="24"/>
                <w:szCs w:val="24"/>
              </w:rPr>
            </w:pPr>
          </w:p>
        </w:tc>
        <w:tc>
          <w:tcPr>
            <w:tcW w:w="1259" w:type="dxa"/>
            <w:noWrap w:val="0"/>
            <w:vAlign w:val="center"/>
          </w:tcPr>
          <w:p>
            <w:pPr>
              <w:pStyle w:val="58"/>
              <w:ind w:firstLine="0" w:firstLineChars="0"/>
              <w:jc w:val="center"/>
              <w:rPr>
                <w:rFonts w:hint="eastAsia" w:ascii="仿宋" w:hAnsi="仿宋" w:eastAsia="仿宋" w:cs="仿宋"/>
                <w:kern w:val="2"/>
                <w:sz w:val="24"/>
                <w:szCs w:val="24"/>
              </w:rPr>
            </w:pPr>
            <w:r>
              <w:rPr>
                <w:rFonts w:hint="eastAsia" w:ascii="仿宋" w:hAnsi="仿宋" w:eastAsia="仿宋" w:cs="仿宋"/>
                <w:kern w:val="2"/>
                <w:sz w:val="24"/>
                <w:szCs w:val="24"/>
              </w:rPr>
              <w:t>＞30</w:t>
            </w:r>
          </w:p>
        </w:tc>
        <w:tc>
          <w:tcPr>
            <w:tcW w:w="1240" w:type="dxa"/>
            <w:noWrap w:val="0"/>
            <w:vAlign w:val="center"/>
          </w:tcPr>
          <w:p>
            <w:pPr>
              <w:pStyle w:val="58"/>
              <w:ind w:firstLine="0" w:firstLineChars="0"/>
              <w:jc w:val="center"/>
              <w:rPr>
                <w:rFonts w:hint="eastAsia" w:ascii="仿宋" w:hAnsi="仿宋" w:eastAsia="仿宋" w:cs="仿宋"/>
                <w:kern w:val="2"/>
                <w:sz w:val="24"/>
                <w:szCs w:val="24"/>
              </w:rPr>
            </w:pPr>
            <w:r>
              <w:rPr>
                <w:rFonts w:hint="eastAsia" w:ascii="仿宋" w:hAnsi="仿宋" w:eastAsia="仿宋" w:cs="仿宋"/>
                <w:kern w:val="2"/>
                <w:sz w:val="24"/>
                <w:szCs w:val="24"/>
              </w:rPr>
              <w:t>≤30</w:t>
            </w:r>
          </w:p>
        </w:tc>
        <w:tc>
          <w:tcPr>
            <w:tcW w:w="1300" w:type="dxa"/>
            <w:noWrap w:val="0"/>
            <w:vAlign w:val="center"/>
          </w:tcPr>
          <w:p>
            <w:pPr>
              <w:pStyle w:val="58"/>
              <w:ind w:firstLine="0" w:firstLineChars="0"/>
              <w:jc w:val="center"/>
              <w:rPr>
                <w:rFonts w:hint="eastAsia" w:ascii="仿宋" w:hAnsi="仿宋" w:eastAsia="仿宋" w:cs="仿宋"/>
                <w:kern w:val="2"/>
                <w:sz w:val="24"/>
                <w:szCs w:val="24"/>
              </w:rPr>
            </w:pPr>
            <w:r>
              <w:rPr>
                <w:rFonts w:hint="eastAsia" w:ascii="仿宋" w:hAnsi="仿宋" w:eastAsia="仿宋" w:cs="仿宋"/>
                <w:kern w:val="2"/>
                <w:sz w:val="24"/>
                <w:szCs w:val="24"/>
              </w:rPr>
              <w:t>＞30</w:t>
            </w:r>
          </w:p>
        </w:tc>
        <w:tc>
          <w:tcPr>
            <w:tcW w:w="1295" w:type="dxa"/>
            <w:noWrap w:val="0"/>
            <w:vAlign w:val="center"/>
          </w:tcPr>
          <w:p>
            <w:pPr>
              <w:pStyle w:val="58"/>
              <w:ind w:firstLine="0" w:firstLineChars="0"/>
              <w:jc w:val="center"/>
              <w:rPr>
                <w:rFonts w:hint="eastAsia" w:ascii="仿宋" w:hAnsi="仿宋" w:eastAsia="仿宋" w:cs="仿宋"/>
                <w:sz w:val="24"/>
                <w:szCs w:val="24"/>
              </w:rPr>
            </w:pPr>
            <w:r>
              <w:rPr>
                <w:rFonts w:hint="eastAsia" w:ascii="仿宋" w:hAnsi="仿宋" w:eastAsia="仿宋" w:cs="仿宋"/>
                <w:kern w:val="2"/>
                <w:sz w:val="24"/>
                <w:szCs w:val="24"/>
              </w:rPr>
              <w:t>≤</w:t>
            </w:r>
            <w:r>
              <w:rPr>
                <w:rFonts w:hint="eastAsia" w:ascii="仿宋" w:hAnsi="仿宋" w:eastAsia="仿宋" w:cs="仿宋"/>
                <w:sz w:val="24"/>
                <w:szCs w:val="24"/>
              </w:rPr>
              <w:t>30</w:t>
            </w:r>
          </w:p>
        </w:tc>
        <w:tc>
          <w:tcPr>
            <w:tcW w:w="1246" w:type="dxa"/>
            <w:noWrap w:val="0"/>
            <w:vAlign w:val="center"/>
          </w:tcPr>
          <w:p>
            <w:pPr>
              <w:pStyle w:val="58"/>
              <w:ind w:firstLine="0" w:firstLineChars="0"/>
              <w:jc w:val="center"/>
              <w:rPr>
                <w:rFonts w:hint="eastAsia" w:ascii="仿宋" w:hAnsi="仿宋" w:eastAsia="仿宋" w:cs="仿宋"/>
                <w:sz w:val="24"/>
                <w:szCs w:val="24"/>
              </w:rPr>
            </w:pPr>
            <w:r>
              <w:rPr>
                <w:rFonts w:hint="eastAsia" w:ascii="仿宋" w:hAnsi="仿宋" w:eastAsia="仿宋" w:cs="仿宋"/>
                <w:sz w:val="24"/>
                <w:szCs w:val="24"/>
              </w:rPr>
              <w:t>＞30</w:t>
            </w:r>
          </w:p>
        </w:tc>
        <w:tc>
          <w:tcPr>
            <w:tcW w:w="1127" w:type="dxa"/>
            <w:noWrap w:val="0"/>
            <w:vAlign w:val="center"/>
          </w:tcPr>
          <w:p>
            <w:pPr>
              <w:pStyle w:val="58"/>
              <w:ind w:firstLine="0" w:firstLineChars="0"/>
              <w:jc w:val="center"/>
              <w:rPr>
                <w:rFonts w:hint="eastAsia" w:ascii="仿宋" w:hAnsi="仿宋" w:eastAsia="仿宋" w:cs="仿宋"/>
                <w:kern w:val="2"/>
                <w:sz w:val="24"/>
                <w:szCs w:val="24"/>
              </w:rPr>
            </w:pPr>
            <w:r>
              <w:rPr>
                <w:rFonts w:hint="eastAsia" w:ascii="仿宋" w:hAnsi="仿宋" w:eastAsia="仿宋" w:cs="仿宋"/>
                <w:kern w:val="2"/>
                <w:sz w:val="24"/>
                <w:szCs w:val="24"/>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07" w:type="dxa"/>
            <w:noWrap w:val="0"/>
            <w:vAlign w:val="center"/>
          </w:tcPr>
          <w:p>
            <w:pPr>
              <w:pStyle w:val="58"/>
              <w:ind w:firstLine="0" w:firstLineChars="0"/>
              <w:jc w:val="center"/>
              <w:rPr>
                <w:rFonts w:hint="eastAsia" w:ascii="仿宋" w:hAnsi="仿宋" w:eastAsia="仿宋" w:cs="仿宋"/>
                <w:sz w:val="24"/>
                <w:szCs w:val="24"/>
              </w:rPr>
            </w:pPr>
            <w:bookmarkStart w:id="3" w:name="OLE_LINK9"/>
            <w:bookmarkStart w:id="4" w:name="OLE_LINK10"/>
            <w:r>
              <w:rPr>
                <w:rFonts w:hint="eastAsia" w:ascii="仿宋" w:hAnsi="仿宋" w:eastAsia="仿宋" w:cs="仿宋"/>
                <w:sz w:val="24"/>
                <w:szCs w:val="24"/>
              </w:rPr>
              <w:t>≤</w:t>
            </w:r>
            <w:bookmarkEnd w:id="3"/>
            <w:bookmarkEnd w:id="4"/>
            <w:r>
              <w:rPr>
                <w:rFonts w:hint="eastAsia" w:ascii="仿宋" w:hAnsi="仿宋" w:eastAsia="仿宋" w:cs="仿宋"/>
                <w:sz w:val="24"/>
                <w:szCs w:val="24"/>
              </w:rPr>
              <w:t>500</w:t>
            </w:r>
          </w:p>
        </w:tc>
        <w:tc>
          <w:tcPr>
            <w:tcW w:w="1259" w:type="dxa"/>
            <w:noWrap w:val="0"/>
            <w:vAlign w:val="center"/>
          </w:tcPr>
          <w:p>
            <w:pPr>
              <w:pStyle w:val="58"/>
              <w:ind w:firstLine="0" w:firstLineChars="0"/>
              <w:jc w:val="center"/>
              <w:rPr>
                <w:rFonts w:hint="eastAsia" w:ascii="仿宋" w:hAnsi="仿宋" w:eastAsia="仿宋" w:cs="仿宋"/>
                <w:sz w:val="24"/>
                <w:szCs w:val="24"/>
              </w:rPr>
            </w:pPr>
            <w:r>
              <w:rPr>
                <w:rFonts w:hint="eastAsia" w:ascii="仿宋" w:hAnsi="仿宋" w:eastAsia="仿宋" w:cs="仿宋"/>
                <w:sz w:val="24"/>
                <w:szCs w:val="24"/>
              </w:rPr>
              <w:t>5</w:t>
            </w:r>
          </w:p>
        </w:tc>
        <w:tc>
          <w:tcPr>
            <w:tcW w:w="1240" w:type="dxa"/>
            <w:noWrap w:val="0"/>
            <w:vAlign w:val="center"/>
          </w:tcPr>
          <w:p>
            <w:pPr>
              <w:pStyle w:val="58"/>
              <w:ind w:firstLine="0" w:firstLineChars="0"/>
              <w:jc w:val="center"/>
              <w:rPr>
                <w:rFonts w:hint="eastAsia" w:ascii="仿宋" w:hAnsi="仿宋" w:eastAsia="仿宋" w:cs="仿宋"/>
                <w:sz w:val="24"/>
                <w:szCs w:val="24"/>
              </w:rPr>
            </w:pPr>
            <w:r>
              <w:rPr>
                <w:rFonts w:hint="eastAsia" w:ascii="仿宋" w:hAnsi="仿宋" w:eastAsia="仿宋" w:cs="仿宋"/>
                <w:sz w:val="24"/>
                <w:szCs w:val="24"/>
              </w:rPr>
              <w:t>6</w:t>
            </w:r>
          </w:p>
        </w:tc>
        <w:tc>
          <w:tcPr>
            <w:tcW w:w="1300" w:type="dxa"/>
            <w:noWrap w:val="0"/>
            <w:vAlign w:val="center"/>
          </w:tcPr>
          <w:p>
            <w:pPr>
              <w:pStyle w:val="58"/>
              <w:ind w:firstLine="0" w:firstLineChars="0"/>
              <w:jc w:val="center"/>
              <w:rPr>
                <w:rFonts w:hint="eastAsia" w:ascii="仿宋" w:hAnsi="仿宋" w:eastAsia="仿宋" w:cs="仿宋"/>
                <w:sz w:val="24"/>
                <w:szCs w:val="24"/>
              </w:rPr>
            </w:pPr>
            <w:r>
              <w:rPr>
                <w:rFonts w:hint="eastAsia" w:ascii="仿宋" w:hAnsi="仿宋" w:eastAsia="仿宋" w:cs="仿宋"/>
                <w:sz w:val="24"/>
                <w:szCs w:val="24"/>
              </w:rPr>
              <w:t>4</w:t>
            </w:r>
          </w:p>
        </w:tc>
        <w:tc>
          <w:tcPr>
            <w:tcW w:w="1295" w:type="dxa"/>
            <w:noWrap w:val="0"/>
            <w:vAlign w:val="center"/>
          </w:tcPr>
          <w:p>
            <w:pPr>
              <w:pStyle w:val="58"/>
              <w:ind w:firstLine="0" w:firstLineChars="0"/>
              <w:jc w:val="center"/>
              <w:rPr>
                <w:rFonts w:hint="eastAsia" w:ascii="仿宋" w:hAnsi="仿宋" w:eastAsia="仿宋" w:cs="仿宋"/>
                <w:sz w:val="24"/>
                <w:szCs w:val="24"/>
              </w:rPr>
            </w:pPr>
            <w:r>
              <w:rPr>
                <w:rFonts w:hint="eastAsia" w:ascii="仿宋" w:hAnsi="仿宋" w:eastAsia="仿宋" w:cs="仿宋"/>
                <w:sz w:val="24"/>
                <w:szCs w:val="24"/>
              </w:rPr>
              <w:t>5</w:t>
            </w:r>
          </w:p>
        </w:tc>
        <w:tc>
          <w:tcPr>
            <w:tcW w:w="1246" w:type="dxa"/>
            <w:noWrap w:val="0"/>
            <w:vAlign w:val="center"/>
          </w:tcPr>
          <w:p>
            <w:pPr>
              <w:pStyle w:val="58"/>
              <w:ind w:firstLine="0" w:firstLineChars="0"/>
              <w:jc w:val="center"/>
              <w:rPr>
                <w:rFonts w:hint="eastAsia" w:ascii="仿宋" w:hAnsi="仿宋" w:eastAsia="仿宋" w:cs="仿宋"/>
                <w:sz w:val="24"/>
                <w:szCs w:val="24"/>
              </w:rPr>
            </w:pPr>
            <w:r>
              <w:rPr>
                <w:rFonts w:hint="eastAsia" w:ascii="仿宋" w:hAnsi="仿宋" w:eastAsia="仿宋" w:cs="仿宋"/>
                <w:sz w:val="24"/>
                <w:szCs w:val="24"/>
              </w:rPr>
              <w:t>4</w:t>
            </w:r>
          </w:p>
        </w:tc>
        <w:tc>
          <w:tcPr>
            <w:tcW w:w="1127" w:type="dxa"/>
            <w:noWrap w:val="0"/>
            <w:vAlign w:val="center"/>
          </w:tcPr>
          <w:p>
            <w:pPr>
              <w:pStyle w:val="58"/>
              <w:ind w:firstLine="0" w:firstLineChars="0"/>
              <w:jc w:val="center"/>
              <w:rPr>
                <w:rFonts w:hint="eastAsia" w:ascii="仿宋" w:hAnsi="仿宋" w:eastAsia="仿宋" w:cs="仿宋"/>
                <w:sz w:val="24"/>
                <w:szCs w:val="24"/>
              </w:rPr>
            </w:pPr>
            <w:r>
              <w:rPr>
                <w:rFonts w:hint="eastAsia" w:ascii="仿宋" w:hAnsi="仿宋" w:eastAsia="仿宋" w:cs="仿宋"/>
                <w:sz w:val="24"/>
                <w:szCs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07" w:type="dxa"/>
            <w:noWrap w:val="0"/>
            <w:vAlign w:val="center"/>
          </w:tcPr>
          <w:p>
            <w:pPr>
              <w:pStyle w:val="58"/>
              <w:ind w:firstLine="0" w:firstLineChars="0"/>
              <w:jc w:val="center"/>
              <w:rPr>
                <w:rFonts w:hint="eastAsia" w:ascii="仿宋" w:hAnsi="仿宋" w:eastAsia="仿宋" w:cs="仿宋"/>
                <w:sz w:val="24"/>
                <w:szCs w:val="24"/>
              </w:rPr>
            </w:pPr>
            <w:bookmarkStart w:id="5" w:name="OLE_LINK2"/>
            <w:r>
              <w:rPr>
                <w:rFonts w:hint="eastAsia" w:ascii="仿宋" w:hAnsi="仿宋" w:eastAsia="仿宋" w:cs="仿宋"/>
                <w:sz w:val="24"/>
                <w:szCs w:val="24"/>
              </w:rPr>
              <w:t>501~2000</w:t>
            </w:r>
            <w:bookmarkEnd w:id="5"/>
          </w:p>
        </w:tc>
        <w:tc>
          <w:tcPr>
            <w:tcW w:w="1259" w:type="dxa"/>
            <w:noWrap w:val="0"/>
            <w:vAlign w:val="center"/>
          </w:tcPr>
          <w:p>
            <w:pPr>
              <w:pStyle w:val="58"/>
              <w:ind w:firstLine="0" w:firstLineChars="0"/>
              <w:jc w:val="center"/>
              <w:rPr>
                <w:rFonts w:hint="eastAsia" w:ascii="仿宋" w:hAnsi="仿宋" w:eastAsia="仿宋" w:cs="仿宋"/>
                <w:sz w:val="24"/>
                <w:szCs w:val="24"/>
              </w:rPr>
            </w:pPr>
            <w:r>
              <w:rPr>
                <w:rFonts w:hint="eastAsia" w:ascii="仿宋" w:hAnsi="仿宋" w:eastAsia="仿宋" w:cs="仿宋"/>
                <w:sz w:val="24"/>
                <w:szCs w:val="24"/>
              </w:rPr>
              <w:t>6</w:t>
            </w:r>
          </w:p>
        </w:tc>
        <w:tc>
          <w:tcPr>
            <w:tcW w:w="1240" w:type="dxa"/>
            <w:noWrap w:val="0"/>
            <w:vAlign w:val="center"/>
          </w:tcPr>
          <w:p>
            <w:pPr>
              <w:pStyle w:val="58"/>
              <w:ind w:firstLine="0" w:firstLineChars="0"/>
              <w:jc w:val="center"/>
              <w:rPr>
                <w:rFonts w:hint="eastAsia" w:ascii="仿宋" w:hAnsi="仿宋" w:eastAsia="仿宋" w:cs="仿宋"/>
                <w:sz w:val="24"/>
                <w:szCs w:val="24"/>
              </w:rPr>
            </w:pPr>
            <w:r>
              <w:rPr>
                <w:rFonts w:hint="eastAsia" w:ascii="仿宋" w:hAnsi="仿宋" w:eastAsia="仿宋" w:cs="仿宋"/>
                <w:sz w:val="24"/>
                <w:szCs w:val="24"/>
              </w:rPr>
              <w:t>7</w:t>
            </w:r>
          </w:p>
        </w:tc>
        <w:tc>
          <w:tcPr>
            <w:tcW w:w="1300" w:type="dxa"/>
            <w:noWrap w:val="0"/>
            <w:vAlign w:val="center"/>
          </w:tcPr>
          <w:p>
            <w:pPr>
              <w:pStyle w:val="58"/>
              <w:ind w:firstLine="0" w:firstLineChars="0"/>
              <w:jc w:val="center"/>
              <w:rPr>
                <w:rFonts w:hint="eastAsia" w:ascii="仿宋" w:hAnsi="仿宋" w:eastAsia="仿宋" w:cs="仿宋"/>
                <w:sz w:val="24"/>
                <w:szCs w:val="24"/>
              </w:rPr>
            </w:pPr>
            <w:r>
              <w:rPr>
                <w:rFonts w:hint="eastAsia" w:ascii="仿宋" w:hAnsi="仿宋" w:eastAsia="仿宋" w:cs="仿宋"/>
                <w:sz w:val="24"/>
                <w:szCs w:val="24"/>
              </w:rPr>
              <w:t>5</w:t>
            </w:r>
          </w:p>
        </w:tc>
        <w:tc>
          <w:tcPr>
            <w:tcW w:w="1295" w:type="dxa"/>
            <w:noWrap w:val="0"/>
            <w:vAlign w:val="center"/>
          </w:tcPr>
          <w:p>
            <w:pPr>
              <w:pStyle w:val="58"/>
              <w:ind w:firstLine="0" w:firstLineChars="0"/>
              <w:jc w:val="center"/>
              <w:rPr>
                <w:rFonts w:hint="eastAsia" w:ascii="仿宋" w:hAnsi="仿宋" w:eastAsia="仿宋" w:cs="仿宋"/>
                <w:sz w:val="24"/>
                <w:szCs w:val="24"/>
              </w:rPr>
            </w:pPr>
            <w:r>
              <w:rPr>
                <w:rFonts w:hint="eastAsia" w:ascii="仿宋" w:hAnsi="仿宋" w:eastAsia="仿宋" w:cs="仿宋"/>
                <w:sz w:val="24"/>
                <w:szCs w:val="24"/>
              </w:rPr>
              <w:t>6</w:t>
            </w:r>
          </w:p>
        </w:tc>
        <w:tc>
          <w:tcPr>
            <w:tcW w:w="1246" w:type="dxa"/>
            <w:noWrap w:val="0"/>
            <w:vAlign w:val="center"/>
          </w:tcPr>
          <w:p>
            <w:pPr>
              <w:pStyle w:val="58"/>
              <w:ind w:firstLine="0" w:firstLineChars="0"/>
              <w:jc w:val="center"/>
              <w:rPr>
                <w:rFonts w:hint="eastAsia" w:ascii="仿宋" w:hAnsi="仿宋" w:eastAsia="仿宋" w:cs="仿宋"/>
                <w:sz w:val="24"/>
                <w:szCs w:val="24"/>
              </w:rPr>
            </w:pPr>
            <w:r>
              <w:rPr>
                <w:rFonts w:hint="eastAsia" w:ascii="仿宋" w:hAnsi="仿宋" w:eastAsia="仿宋" w:cs="仿宋"/>
                <w:sz w:val="24"/>
                <w:szCs w:val="24"/>
              </w:rPr>
              <w:t>4</w:t>
            </w:r>
          </w:p>
        </w:tc>
        <w:tc>
          <w:tcPr>
            <w:tcW w:w="1127" w:type="dxa"/>
            <w:noWrap w:val="0"/>
            <w:vAlign w:val="center"/>
          </w:tcPr>
          <w:p>
            <w:pPr>
              <w:pStyle w:val="58"/>
              <w:ind w:firstLine="0" w:firstLineChars="0"/>
              <w:jc w:val="center"/>
              <w:rPr>
                <w:rFonts w:hint="eastAsia" w:ascii="仿宋" w:hAnsi="仿宋" w:eastAsia="仿宋" w:cs="仿宋"/>
                <w:sz w:val="24"/>
                <w:szCs w:val="24"/>
              </w:rPr>
            </w:pPr>
            <w:r>
              <w:rPr>
                <w:rFonts w:hint="eastAsia" w:ascii="仿宋" w:hAnsi="仿宋" w:eastAsia="仿宋" w:cs="仿宋"/>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07" w:type="dxa"/>
            <w:noWrap w:val="0"/>
            <w:vAlign w:val="center"/>
          </w:tcPr>
          <w:p>
            <w:pPr>
              <w:pStyle w:val="58"/>
              <w:ind w:firstLine="0" w:firstLineChars="0"/>
              <w:jc w:val="center"/>
              <w:rPr>
                <w:rFonts w:hint="eastAsia" w:ascii="仿宋" w:hAnsi="仿宋" w:eastAsia="仿宋" w:cs="仿宋"/>
                <w:sz w:val="24"/>
                <w:szCs w:val="24"/>
              </w:rPr>
            </w:pPr>
            <w:r>
              <w:rPr>
                <w:rFonts w:hint="eastAsia" w:ascii="仿宋" w:hAnsi="仿宋" w:eastAsia="仿宋" w:cs="仿宋"/>
                <w:sz w:val="24"/>
                <w:szCs w:val="24"/>
              </w:rPr>
              <w:t>2001~5000</w:t>
            </w:r>
          </w:p>
        </w:tc>
        <w:tc>
          <w:tcPr>
            <w:tcW w:w="1259" w:type="dxa"/>
            <w:noWrap w:val="0"/>
            <w:vAlign w:val="center"/>
          </w:tcPr>
          <w:p>
            <w:pPr>
              <w:pStyle w:val="58"/>
              <w:ind w:firstLine="0" w:firstLineChars="0"/>
              <w:jc w:val="center"/>
              <w:rPr>
                <w:rFonts w:hint="eastAsia" w:ascii="仿宋" w:hAnsi="仿宋" w:eastAsia="仿宋" w:cs="仿宋"/>
                <w:sz w:val="24"/>
                <w:szCs w:val="24"/>
              </w:rPr>
            </w:pPr>
            <w:r>
              <w:rPr>
                <w:rFonts w:hint="eastAsia" w:ascii="仿宋" w:hAnsi="仿宋" w:eastAsia="仿宋" w:cs="仿宋"/>
                <w:sz w:val="24"/>
                <w:szCs w:val="24"/>
              </w:rPr>
              <w:t>7</w:t>
            </w:r>
          </w:p>
        </w:tc>
        <w:tc>
          <w:tcPr>
            <w:tcW w:w="1240" w:type="dxa"/>
            <w:noWrap w:val="0"/>
            <w:vAlign w:val="center"/>
          </w:tcPr>
          <w:p>
            <w:pPr>
              <w:pStyle w:val="58"/>
              <w:ind w:firstLine="0" w:firstLineChars="0"/>
              <w:jc w:val="center"/>
              <w:rPr>
                <w:rFonts w:hint="eastAsia" w:ascii="仿宋" w:hAnsi="仿宋" w:eastAsia="仿宋" w:cs="仿宋"/>
                <w:sz w:val="24"/>
                <w:szCs w:val="24"/>
              </w:rPr>
            </w:pPr>
            <w:r>
              <w:rPr>
                <w:rFonts w:hint="eastAsia" w:ascii="仿宋" w:hAnsi="仿宋" w:eastAsia="仿宋" w:cs="仿宋"/>
                <w:sz w:val="24"/>
                <w:szCs w:val="24"/>
              </w:rPr>
              <w:t>8</w:t>
            </w:r>
          </w:p>
        </w:tc>
        <w:tc>
          <w:tcPr>
            <w:tcW w:w="1300" w:type="dxa"/>
            <w:noWrap w:val="0"/>
            <w:vAlign w:val="center"/>
          </w:tcPr>
          <w:p>
            <w:pPr>
              <w:pStyle w:val="58"/>
              <w:ind w:firstLine="0" w:firstLineChars="0"/>
              <w:jc w:val="center"/>
              <w:rPr>
                <w:rFonts w:hint="eastAsia" w:ascii="仿宋" w:hAnsi="仿宋" w:eastAsia="仿宋" w:cs="仿宋"/>
                <w:sz w:val="24"/>
                <w:szCs w:val="24"/>
              </w:rPr>
            </w:pPr>
            <w:r>
              <w:rPr>
                <w:rFonts w:hint="eastAsia" w:ascii="仿宋" w:hAnsi="仿宋" w:eastAsia="仿宋" w:cs="仿宋"/>
                <w:sz w:val="24"/>
                <w:szCs w:val="24"/>
              </w:rPr>
              <w:t>6</w:t>
            </w:r>
          </w:p>
        </w:tc>
        <w:tc>
          <w:tcPr>
            <w:tcW w:w="1295" w:type="dxa"/>
            <w:noWrap w:val="0"/>
            <w:vAlign w:val="center"/>
          </w:tcPr>
          <w:p>
            <w:pPr>
              <w:pStyle w:val="58"/>
              <w:ind w:firstLine="0" w:firstLineChars="0"/>
              <w:jc w:val="center"/>
              <w:rPr>
                <w:rFonts w:hint="eastAsia" w:ascii="仿宋" w:hAnsi="仿宋" w:eastAsia="仿宋" w:cs="仿宋"/>
                <w:sz w:val="24"/>
                <w:szCs w:val="24"/>
              </w:rPr>
            </w:pPr>
            <w:r>
              <w:rPr>
                <w:rFonts w:hint="eastAsia" w:ascii="仿宋" w:hAnsi="仿宋" w:eastAsia="仿宋" w:cs="仿宋"/>
                <w:sz w:val="24"/>
                <w:szCs w:val="24"/>
              </w:rPr>
              <w:t>7</w:t>
            </w:r>
          </w:p>
        </w:tc>
        <w:tc>
          <w:tcPr>
            <w:tcW w:w="1246" w:type="dxa"/>
            <w:noWrap w:val="0"/>
            <w:vAlign w:val="center"/>
          </w:tcPr>
          <w:p>
            <w:pPr>
              <w:pStyle w:val="58"/>
              <w:ind w:firstLine="0" w:firstLineChars="0"/>
              <w:jc w:val="center"/>
              <w:rPr>
                <w:rFonts w:hint="eastAsia" w:ascii="仿宋" w:hAnsi="仿宋" w:eastAsia="仿宋" w:cs="仿宋"/>
                <w:sz w:val="24"/>
                <w:szCs w:val="24"/>
              </w:rPr>
            </w:pPr>
            <w:r>
              <w:rPr>
                <w:rFonts w:hint="eastAsia" w:ascii="仿宋" w:hAnsi="仿宋" w:eastAsia="仿宋" w:cs="仿宋"/>
                <w:sz w:val="24"/>
                <w:szCs w:val="24"/>
              </w:rPr>
              <w:t>5</w:t>
            </w:r>
          </w:p>
        </w:tc>
        <w:tc>
          <w:tcPr>
            <w:tcW w:w="1127" w:type="dxa"/>
            <w:noWrap w:val="0"/>
            <w:vAlign w:val="center"/>
          </w:tcPr>
          <w:p>
            <w:pPr>
              <w:pStyle w:val="58"/>
              <w:ind w:firstLine="0" w:firstLineChars="0"/>
              <w:jc w:val="center"/>
              <w:rPr>
                <w:rFonts w:hint="eastAsia" w:ascii="仿宋" w:hAnsi="仿宋" w:eastAsia="仿宋" w:cs="仿宋"/>
                <w:sz w:val="24"/>
                <w:szCs w:val="24"/>
              </w:rPr>
            </w:pPr>
            <w:r>
              <w:rPr>
                <w:rFonts w:hint="eastAsia" w:ascii="仿宋" w:hAnsi="仿宋" w:eastAsia="仿宋" w:cs="仿宋"/>
                <w:sz w:val="24"/>
                <w:szCs w:val="24"/>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07" w:type="dxa"/>
            <w:noWrap w:val="0"/>
            <w:vAlign w:val="center"/>
          </w:tcPr>
          <w:p>
            <w:pPr>
              <w:pStyle w:val="58"/>
              <w:ind w:firstLine="0" w:firstLineChars="0"/>
              <w:jc w:val="center"/>
              <w:rPr>
                <w:rFonts w:hint="eastAsia" w:ascii="仿宋" w:hAnsi="仿宋" w:eastAsia="仿宋" w:cs="仿宋"/>
                <w:sz w:val="24"/>
                <w:szCs w:val="24"/>
              </w:rPr>
            </w:pPr>
            <w:bookmarkStart w:id="6" w:name="OLE_LINK8"/>
            <w:bookmarkStart w:id="7" w:name="OLE_LINK7"/>
            <w:r>
              <w:rPr>
                <w:rFonts w:hint="eastAsia" w:ascii="仿宋" w:hAnsi="仿宋" w:eastAsia="仿宋" w:cs="仿宋"/>
                <w:sz w:val="24"/>
                <w:szCs w:val="24"/>
              </w:rPr>
              <w:t>≥</w:t>
            </w:r>
            <w:bookmarkEnd w:id="6"/>
            <w:bookmarkEnd w:id="7"/>
            <w:r>
              <w:rPr>
                <w:rFonts w:hint="eastAsia" w:ascii="仿宋" w:hAnsi="仿宋" w:eastAsia="仿宋" w:cs="仿宋"/>
                <w:sz w:val="24"/>
                <w:szCs w:val="24"/>
              </w:rPr>
              <w:t>5001</w:t>
            </w:r>
          </w:p>
        </w:tc>
        <w:tc>
          <w:tcPr>
            <w:tcW w:w="1259" w:type="dxa"/>
            <w:noWrap w:val="0"/>
            <w:vAlign w:val="center"/>
          </w:tcPr>
          <w:p>
            <w:pPr>
              <w:pStyle w:val="58"/>
              <w:ind w:firstLine="0" w:firstLineChars="0"/>
              <w:jc w:val="center"/>
              <w:rPr>
                <w:rFonts w:hint="eastAsia" w:ascii="仿宋" w:hAnsi="仿宋" w:eastAsia="仿宋" w:cs="仿宋"/>
                <w:sz w:val="24"/>
                <w:szCs w:val="24"/>
              </w:rPr>
            </w:pPr>
            <w:r>
              <w:rPr>
                <w:rFonts w:hint="eastAsia" w:ascii="仿宋" w:hAnsi="仿宋" w:eastAsia="仿宋" w:cs="仿宋"/>
                <w:sz w:val="24"/>
                <w:szCs w:val="24"/>
              </w:rPr>
              <w:t>9</w:t>
            </w:r>
          </w:p>
        </w:tc>
        <w:tc>
          <w:tcPr>
            <w:tcW w:w="1240" w:type="dxa"/>
            <w:noWrap w:val="0"/>
            <w:vAlign w:val="center"/>
          </w:tcPr>
          <w:p>
            <w:pPr>
              <w:pStyle w:val="58"/>
              <w:ind w:firstLine="0" w:firstLineChars="0"/>
              <w:jc w:val="center"/>
              <w:rPr>
                <w:rFonts w:hint="eastAsia" w:ascii="仿宋" w:hAnsi="仿宋" w:eastAsia="仿宋" w:cs="仿宋"/>
                <w:sz w:val="24"/>
                <w:szCs w:val="24"/>
              </w:rPr>
            </w:pPr>
            <w:r>
              <w:rPr>
                <w:rFonts w:hint="eastAsia" w:ascii="仿宋" w:hAnsi="仿宋" w:eastAsia="仿宋" w:cs="仿宋"/>
                <w:sz w:val="24"/>
                <w:szCs w:val="24"/>
              </w:rPr>
              <w:t>10</w:t>
            </w:r>
          </w:p>
        </w:tc>
        <w:tc>
          <w:tcPr>
            <w:tcW w:w="1300" w:type="dxa"/>
            <w:noWrap w:val="0"/>
            <w:vAlign w:val="center"/>
          </w:tcPr>
          <w:p>
            <w:pPr>
              <w:pStyle w:val="58"/>
              <w:ind w:firstLine="0" w:firstLineChars="0"/>
              <w:jc w:val="center"/>
              <w:rPr>
                <w:rFonts w:hint="eastAsia" w:ascii="仿宋" w:hAnsi="仿宋" w:eastAsia="仿宋" w:cs="仿宋"/>
                <w:sz w:val="24"/>
                <w:szCs w:val="24"/>
              </w:rPr>
            </w:pPr>
            <w:r>
              <w:rPr>
                <w:rFonts w:hint="eastAsia" w:ascii="仿宋" w:hAnsi="仿宋" w:eastAsia="仿宋" w:cs="仿宋"/>
                <w:sz w:val="24"/>
                <w:szCs w:val="24"/>
              </w:rPr>
              <w:t>8</w:t>
            </w:r>
          </w:p>
        </w:tc>
        <w:tc>
          <w:tcPr>
            <w:tcW w:w="1295" w:type="dxa"/>
            <w:noWrap w:val="0"/>
            <w:vAlign w:val="center"/>
          </w:tcPr>
          <w:p>
            <w:pPr>
              <w:pStyle w:val="58"/>
              <w:ind w:firstLine="0" w:firstLineChars="0"/>
              <w:jc w:val="center"/>
              <w:rPr>
                <w:rFonts w:hint="eastAsia" w:ascii="仿宋" w:hAnsi="仿宋" w:eastAsia="仿宋" w:cs="仿宋"/>
                <w:sz w:val="24"/>
                <w:szCs w:val="24"/>
              </w:rPr>
            </w:pPr>
            <w:r>
              <w:rPr>
                <w:rFonts w:hint="eastAsia" w:ascii="仿宋" w:hAnsi="仿宋" w:eastAsia="仿宋" w:cs="仿宋"/>
                <w:sz w:val="24"/>
                <w:szCs w:val="24"/>
              </w:rPr>
              <w:t>9</w:t>
            </w:r>
          </w:p>
        </w:tc>
        <w:tc>
          <w:tcPr>
            <w:tcW w:w="1246" w:type="dxa"/>
            <w:noWrap w:val="0"/>
            <w:vAlign w:val="center"/>
          </w:tcPr>
          <w:p>
            <w:pPr>
              <w:pStyle w:val="58"/>
              <w:ind w:firstLine="0" w:firstLineChars="0"/>
              <w:jc w:val="center"/>
              <w:rPr>
                <w:rFonts w:hint="eastAsia" w:ascii="仿宋" w:hAnsi="仿宋" w:eastAsia="仿宋" w:cs="仿宋"/>
                <w:sz w:val="24"/>
                <w:szCs w:val="24"/>
              </w:rPr>
            </w:pPr>
            <w:r>
              <w:rPr>
                <w:rFonts w:hint="eastAsia" w:ascii="仿宋" w:hAnsi="仿宋" w:eastAsia="仿宋" w:cs="仿宋"/>
                <w:sz w:val="24"/>
                <w:szCs w:val="24"/>
              </w:rPr>
              <w:t>7</w:t>
            </w:r>
          </w:p>
        </w:tc>
        <w:tc>
          <w:tcPr>
            <w:tcW w:w="1127" w:type="dxa"/>
            <w:noWrap w:val="0"/>
            <w:vAlign w:val="center"/>
          </w:tcPr>
          <w:p>
            <w:pPr>
              <w:pStyle w:val="58"/>
              <w:ind w:firstLine="0" w:firstLineChars="0"/>
              <w:jc w:val="center"/>
              <w:rPr>
                <w:rFonts w:hint="eastAsia" w:ascii="仿宋" w:hAnsi="仿宋" w:eastAsia="仿宋" w:cs="仿宋"/>
                <w:sz w:val="24"/>
                <w:szCs w:val="24"/>
              </w:rPr>
            </w:pPr>
            <w:r>
              <w:rPr>
                <w:rFonts w:hint="eastAsia" w:ascii="仿宋" w:hAnsi="仿宋" w:eastAsia="仿宋" w:cs="仿宋"/>
                <w:sz w:val="24"/>
                <w:szCs w:val="24"/>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74" w:type="dxa"/>
            <w:gridSpan w:val="7"/>
            <w:noWrap w:val="0"/>
            <w:vAlign w:val="center"/>
          </w:tcPr>
          <w:p>
            <w:pPr>
              <w:widowControl/>
              <w:jc w:val="left"/>
              <w:rPr>
                <w:rFonts w:hint="eastAsia" w:ascii="仿宋" w:hAnsi="仿宋" w:eastAsia="仿宋" w:cs="仿宋"/>
                <w:sz w:val="24"/>
                <w:szCs w:val="24"/>
              </w:rPr>
            </w:pPr>
            <w:r>
              <w:rPr>
                <w:rFonts w:hint="eastAsia" w:ascii="仿宋" w:hAnsi="仿宋" w:eastAsia="仿宋" w:cs="仿宋"/>
                <w:sz w:val="24"/>
                <w:szCs w:val="24"/>
              </w:rPr>
              <w:t>注：1.当运输包装和销售包装等同时，最大抽样基数为5000；</w:t>
            </w:r>
          </w:p>
          <w:p>
            <w:pPr>
              <w:widowControl/>
              <w:ind w:firstLine="480" w:firstLineChars="200"/>
              <w:jc w:val="left"/>
              <w:rPr>
                <w:rFonts w:hint="eastAsia" w:ascii="仿宋" w:hAnsi="仿宋" w:eastAsia="仿宋" w:cs="仿宋"/>
                <w:sz w:val="24"/>
                <w:szCs w:val="24"/>
              </w:rPr>
            </w:pPr>
            <w:r>
              <w:rPr>
                <w:rFonts w:hint="eastAsia" w:ascii="仿宋" w:hAnsi="仿宋" w:eastAsia="仿宋" w:cs="仿宋"/>
                <w:sz w:val="24"/>
                <w:szCs w:val="24"/>
              </w:rPr>
              <w:t>2.小礼花同类组合、含小礼花不同类组合，包括小礼花中含不同内径筒体，以小礼花最小单筒内径和样品总发数抽取样本量；</w:t>
            </w:r>
          </w:p>
          <w:p>
            <w:pPr>
              <w:widowControl/>
              <w:ind w:firstLine="480" w:firstLineChars="200"/>
              <w:jc w:val="left"/>
              <w:rPr>
                <w:rFonts w:hint="eastAsia" w:ascii="仿宋" w:hAnsi="仿宋" w:eastAsia="仿宋" w:cs="仿宋"/>
                <w:sz w:val="24"/>
                <w:szCs w:val="24"/>
              </w:rPr>
            </w:pPr>
            <w:r>
              <w:rPr>
                <w:rFonts w:hint="eastAsia" w:ascii="仿宋" w:hAnsi="仿宋" w:eastAsia="仿宋" w:cs="仿宋"/>
                <w:sz w:val="24"/>
                <w:szCs w:val="24"/>
              </w:rPr>
              <w:t>3.吐珠组合、吐珠和喷花不同类组合，包括吐珠中含不同内径筒体，以吐珠类最小单筒内径和吐珠总发数抽取样本量；</w:t>
            </w:r>
          </w:p>
          <w:p>
            <w:pPr>
              <w:widowControl/>
              <w:ind w:firstLine="480" w:firstLineChars="200"/>
              <w:jc w:val="left"/>
              <w:rPr>
                <w:rFonts w:hint="eastAsia" w:ascii="仿宋" w:hAnsi="仿宋" w:eastAsia="仿宋" w:cs="仿宋"/>
                <w:sz w:val="24"/>
                <w:szCs w:val="24"/>
              </w:rPr>
            </w:pPr>
            <w:r>
              <w:rPr>
                <w:rFonts w:hint="eastAsia" w:ascii="仿宋" w:hAnsi="仿宋" w:eastAsia="仿宋" w:cs="仿宋"/>
                <w:sz w:val="24"/>
                <w:szCs w:val="24"/>
              </w:rPr>
              <w:t>4.喷花组合以喷花类最小单筒内径和总发数抽取样本量；</w:t>
            </w:r>
          </w:p>
          <w:p>
            <w:pPr>
              <w:widowControl/>
              <w:ind w:firstLine="480" w:firstLineChars="200"/>
              <w:jc w:val="left"/>
              <w:rPr>
                <w:rFonts w:hint="eastAsia" w:ascii="仿宋" w:hAnsi="仿宋" w:eastAsia="仿宋" w:cs="仿宋"/>
                <w:sz w:val="24"/>
                <w:szCs w:val="24"/>
              </w:rPr>
            </w:pPr>
            <w:r>
              <w:rPr>
                <w:rFonts w:hint="eastAsia" w:ascii="仿宋" w:hAnsi="仿宋" w:eastAsia="仿宋" w:cs="仿宋"/>
                <w:sz w:val="24"/>
                <w:szCs w:val="24"/>
              </w:rPr>
              <w:t>5.</w:t>
            </w:r>
            <w:bookmarkStart w:id="8" w:name="OLE_LINK3"/>
            <w:r>
              <w:rPr>
                <w:rFonts w:hint="eastAsia" w:ascii="仿宋" w:hAnsi="仿宋" w:eastAsia="仿宋" w:cs="仿宋"/>
                <w:sz w:val="24"/>
                <w:szCs w:val="24"/>
              </w:rPr>
              <w:t>成箱产品中抽取样本，根据所抽样品种类，按表中规定的样本量数的50 %以上（进位取整）确定开箱检查数，再在随机抽取的箱中随机抽取至少1个样品组成所需样本量</w:t>
            </w:r>
            <w:bookmarkEnd w:id="8"/>
            <w:r>
              <w:rPr>
                <w:rFonts w:hint="eastAsia" w:ascii="仿宋" w:hAnsi="仿宋" w:eastAsia="仿宋" w:cs="仿宋"/>
                <w:sz w:val="24"/>
                <w:szCs w:val="24"/>
              </w:rPr>
              <w:t>。</w:t>
            </w:r>
          </w:p>
        </w:tc>
      </w:tr>
    </w:tbl>
    <w:p>
      <w:pPr>
        <w:snapToGrid w:val="0"/>
        <w:spacing w:line="440" w:lineRule="exact"/>
        <w:jc w:val="center"/>
        <w:rPr>
          <w:rFonts w:hint="eastAsia" w:ascii="仿宋" w:hAnsi="仿宋" w:eastAsia="仿宋" w:cs="仿宋"/>
          <w:sz w:val="24"/>
          <w:szCs w:val="24"/>
        </w:rPr>
      </w:pPr>
    </w:p>
    <w:p>
      <w:pPr>
        <w:snapToGrid w:val="0"/>
        <w:spacing w:line="440" w:lineRule="exact"/>
        <w:jc w:val="center"/>
        <w:rPr>
          <w:rFonts w:hint="eastAsia" w:ascii="仿宋" w:hAnsi="仿宋" w:eastAsia="仿宋" w:cs="仿宋"/>
          <w:b/>
          <w:bCs/>
          <w:sz w:val="24"/>
          <w:szCs w:val="24"/>
        </w:rPr>
      </w:pPr>
      <w:r>
        <w:rPr>
          <w:rFonts w:hint="eastAsia" w:ascii="仿宋" w:hAnsi="仿宋" w:eastAsia="仿宋" w:cs="仿宋"/>
          <w:b/>
          <w:bCs/>
          <w:sz w:val="24"/>
          <w:szCs w:val="24"/>
        </w:rPr>
        <w:t>表3 其他产品抽样样本量</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8"/>
        <w:gridCol w:w="1554"/>
        <w:gridCol w:w="1866"/>
        <w:gridCol w:w="1713"/>
        <w:gridCol w:w="15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88" w:type="dxa"/>
            <w:noWrap w:val="0"/>
            <w:vAlign w:val="center"/>
          </w:tcPr>
          <w:p>
            <w:pPr>
              <w:snapToGrid w:val="0"/>
              <w:jc w:val="center"/>
              <w:rPr>
                <w:rFonts w:hint="eastAsia" w:ascii="仿宋" w:hAnsi="仿宋" w:eastAsia="仿宋" w:cs="仿宋"/>
                <w:sz w:val="24"/>
                <w:szCs w:val="24"/>
              </w:rPr>
            </w:pPr>
            <w:r>
              <w:rPr>
                <w:rFonts w:hint="eastAsia" w:ascii="仿宋" w:hAnsi="仿宋" w:eastAsia="仿宋" w:cs="仿宋"/>
                <w:sz w:val="24"/>
                <w:szCs w:val="24"/>
              </w:rPr>
              <w:t>批量范围N</w:t>
            </w:r>
          </w:p>
        </w:tc>
        <w:tc>
          <w:tcPr>
            <w:tcW w:w="1554" w:type="dxa"/>
            <w:noWrap w:val="0"/>
            <w:vAlign w:val="center"/>
          </w:tcPr>
          <w:p>
            <w:pPr>
              <w:snapToGrid w:val="0"/>
              <w:jc w:val="center"/>
              <w:rPr>
                <w:rFonts w:hint="eastAsia" w:ascii="仿宋" w:hAnsi="仿宋" w:eastAsia="仿宋" w:cs="仿宋"/>
                <w:sz w:val="24"/>
                <w:szCs w:val="24"/>
              </w:rPr>
            </w:pPr>
            <w:r>
              <w:rPr>
                <w:rFonts w:hint="eastAsia" w:ascii="仿宋" w:hAnsi="仿宋" w:eastAsia="仿宋" w:cs="仿宋"/>
                <w:sz w:val="24"/>
                <w:szCs w:val="24"/>
              </w:rPr>
              <w:t>≤500</w:t>
            </w:r>
          </w:p>
        </w:tc>
        <w:tc>
          <w:tcPr>
            <w:tcW w:w="1866" w:type="dxa"/>
            <w:noWrap w:val="0"/>
            <w:vAlign w:val="center"/>
          </w:tcPr>
          <w:p>
            <w:pPr>
              <w:snapToGrid w:val="0"/>
              <w:jc w:val="center"/>
              <w:rPr>
                <w:rFonts w:hint="eastAsia" w:ascii="仿宋" w:hAnsi="仿宋" w:eastAsia="仿宋" w:cs="仿宋"/>
                <w:sz w:val="24"/>
                <w:szCs w:val="24"/>
              </w:rPr>
            </w:pPr>
            <w:r>
              <w:rPr>
                <w:rFonts w:hint="eastAsia" w:ascii="仿宋" w:hAnsi="仿宋" w:eastAsia="仿宋" w:cs="仿宋"/>
                <w:sz w:val="24"/>
                <w:szCs w:val="24"/>
              </w:rPr>
              <w:t>501~2000</w:t>
            </w:r>
          </w:p>
        </w:tc>
        <w:tc>
          <w:tcPr>
            <w:tcW w:w="1713" w:type="dxa"/>
            <w:noWrap w:val="0"/>
            <w:vAlign w:val="center"/>
          </w:tcPr>
          <w:p>
            <w:pPr>
              <w:snapToGrid w:val="0"/>
              <w:jc w:val="center"/>
              <w:rPr>
                <w:rFonts w:hint="eastAsia" w:ascii="仿宋" w:hAnsi="仿宋" w:eastAsia="仿宋" w:cs="仿宋"/>
                <w:sz w:val="24"/>
                <w:szCs w:val="24"/>
              </w:rPr>
            </w:pPr>
            <w:r>
              <w:rPr>
                <w:rFonts w:hint="eastAsia" w:ascii="仿宋" w:hAnsi="仿宋" w:eastAsia="仿宋" w:cs="仿宋"/>
                <w:sz w:val="24"/>
                <w:szCs w:val="24"/>
              </w:rPr>
              <w:t>2001~5000</w:t>
            </w:r>
          </w:p>
        </w:tc>
        <w:tc>
          <w:tcPr>
            <w:tcW w:w="1553" w:type="dxa"/>
            <w:noWrap w:val="0"/>
            <w:vAlign w:val="center"/>
          </w:tcPr>
          <w:p>
            <w:pPr>
              <w:snapToGrid w:val="0"/>
              <w:jc w:val="center"/>
              <w:rPr>
                <w:rFonts w:hint="eastAsia" w:ascii="仿宋" w:hAnsi="仿宋" w:eastAsia="仿宋" w:cs="仿宋"/>
                <w:sz w:val="24"/>
                <w:szCs w:val="24"/>
              </w:rPr>
            </w:pPr>
            <w:r>
              <w:rPr>
                <w:rFonts w:hint="eastAsia" w:ascii="仿宋" w:hAnsi="仿宋" w:eastAsia="仿宋" w:cs="仿宋"/>
                <w:sz w:val="24"/>
                <w:szCs w:val="24"/>
              </w:rPr>
              <w:t>≥5001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88" w:type="dxa"/>
            <w:noWrap w:val="0"/>
            <w:vAlign w:val="center"/>
          </w:tcPr>
          <w:p>
            <w:pPr>
              <w:snapToGrid w:val="0"/>
              <w:jc w:val="center"/>
              <w:rPr>
                <w:rFonts w:hint="eastAsia" w:ascii="仿宋" w:hAnsi="仿宋" w:eastAsia="仿宋" w:cs="仿宋"/>
                <w:sz w:val="24"/>
                <w:szCs w:val="24"/>
              </w:rPr>
            </w:pPr>
            <w:r>
              <w:rPr>
                <w:rFonts w:hint="eastAsia" w:ascii="仿宋" w:hAnsi="仿宋" w:eastAsia="仿宋" w:cs="仿宋"/>
                <w:sz w:val="24"/>
                <w:szCs w:val="24"/>
              </w:rPr>
              <w:t>样本量n</w:t>
            </w:r>
          </w:p>
        </w:tc>
        <w:tc>
          <w:tcPr>
            <w:tcW w:w="1554" w:type="dxa"/>
            <w:noWrap w:val="0"/>
            <w:vAlign w:val="center"/>
          </w:tcPr>
          <w:p>
            <w:pPr>
              <w:snapToGrid w:val="0"/>
              <w:jc w:val="center"/>
              <w:rPr>
                <w:rFonts w:hint="eastAsia" w:ascii="仿宋" w:hAnsi="仿宋" w:eastAsia="仿宋" w:cs="仿宋"/>
                <w:sz w:val="24"/>
                <w:szCs w:val="24"/>
              </w:rPr>
            </w:pPr>
            <w:r>
              <w:rPr>
                <w:rFonts w:hint="eastAsia" w:ascii="仿宋" w:hAnsi="仿宋" w:eastAsia="仿宋" w:cs="仿宋"/>
                <w:sz w:val="24"/>
                <w:szCs w:val="24"/>
              </w:rPr>
              <w:t>5</w:t>
            </w:r>
          </w:p>
        </w:tc>
        <w:tc>
          <w:tcPr>
            <w:tcW w:w="1866" w:type="dxa"/>
            <w:noWrap w:val="0"/>
            <w:vAlign w:val="center"/>
          </w:tcPr>
          <w:p>
            <w:pPr>
              <w:snapToGrid w:val="0"/>
              <w:jc w:val="center"/>
              <w:rPr>
                <w:rFonts w:hint="eastAsia" w:ascii="仿宋" w:hAnsi="仿宋" w:eastAsia="仿宋" w:cs="仿宋"/>
                <w:sz w:val="24"/>
                <w:szCs w:val="24"/>
              </w:rPr>
            </w:pPr>
            <w:r>
              <w:rPr>
                <w:rFonts w:hint="eastAsia" w:ascii="仿宋" w:hAnsi="仿宋" w:eastAsia="仿宋" w:cs="仿宋"/>
                <w:sz w:val="24"/>
                <w:szCs w:val="24"/>
              </w:rPr>
              <w:t>8</w:t>
            </w:r>
          </w:p>
        </w:tc>
        <w:tc>
          <w:tcPr>
            <w:tcW w:w="1713" w:type="dxa"/>
            <w:noWrap w:val="0"/>
            <w:vAlign w:val="center"/>
          </w:tcPr>
          <w:p>
            <w:pPr>
              <w:snapToGrid w:val="0"/>
              <w:jc w:val="center"/>
              <w:rPr>
                <w:rFonts w:hint="eastAsia" w:ascii="仿宋" w:hAnsi="仿宋" w:eastAsia="仿宋" w:cs="仿宋"/>
                <w:sz w:val="24"/>
                <w:szCs w:val="24"/>
              </w:rPr>
            </w:pPr>
            <w:r>
              <w:rPr>
                <w:rFonts w:hint="eastAsia" w:ascii="仿宋" w:hAnsi="仿宋" w:eastAsia="仿宋" w:cs="仿宋"/>
                <w:sz w:val="24"/>
                <w:szCs w:val="24"/>
              </w:rPr>
              <w:t>10</w:t>
            </w:r>
          </w:p>
        </w:tc>
        <w:tc>
          <w:tcPr>
            <w:tcW w:w="1553" w:type="dxa"/>
            <w:noWrap w:val="0"/>
            <w:vAlign w:val="center"/>
          </w:tcPr>
          <w:p>
            <w:pPr>
              <w:snapToGrid w:val="0"/>
              <w:jc w:val="center"/>
              <w:rPr>
                <w:rFonts w:hint="eastAsia" w:ascii="仿宋" w:hAnsi="仿宋" w:eastAsia="仿宋" w:cs="仿宋"/>
                <w:sz w:val="24"/>
                <w:szCs w:val="24"/>
              </w:rPr>
            </w:pPr>
            <w:r>
              <w:rPr>
                <w:rFonts w:hint="eastAsia" w:ascii="仿宋" w:hAnsi="仿宋" w:eastAsia="仿宋" w:cs="仿宋"/>
                <w:sz w:val="24"/>
                <w:szCs w:val="24"/>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74" w:type="dxa"/>
            <w:gridSpan w:val="5"/>
            <w:noWrap w:val="0"/>
            <w:vAlign w:val="center"/>
          </w:tcPr>
          <w:p>
            <w:pPr>
              <w:snapToGrid w:val="0"/>
              <w:jc w:val="left"/>
              <w:rPr>
                <w:rFonts w:hint="eastAsia" w:ascii="仿宋" w:hAnsi="仿宋" w:eastAsia="仿宋" w:cs="仿宋"/>
                <w:sz w:val="24"/>
                <w:szCs w:val="24"/>
              </w:rPr>
            </w:pPr>
            <w:r>
              <w:rPr>
                <w:rFonts w:hint="eastAsia" w:ascii="仿宋" w:hAnsi="仿宋" w:eastAsia="仿宋" w:cs="仿宋"/>
                <w:sz w:val="24"/>
                <w:szCs w:val="24"/>
              </w:rPr>
              <w:t>注：成箱产品中抽取样本，根据所抽样品种类，按表中规定的样本量数的50 %以上（进位取整）确定开箱检查数，再在随机抽取的箱中随机抽取至少1个样品组成所需样本量。</w:t>
            </w:r>
          </w:p>
        </w:tc>
      </w:tr>
    </w:tbl>
    <w:p>
      <w:pPr>
        <w:keepNext w:val="0"/>
        <w:keepLines w:val="0"/>
        <w:pageBreakBefore w:val="0"/>
        <w:widowControl/>
        <w:tabs>
          <w:tab w:val="left" w:pos="720"/>
        </w:tabs>
        <w:kinsoku/>
        <w:wordWrap/>
        <w:overflowPunct/>
        <w:bidi w:val="0"/>
        <w:adjustRightInd w:val="0"/>
        <w:snapToGrid/>
        <w:spacing w:line="560" w:lineRule="exact"/>
        <w:ind w:firstLine="640" w:firstLineChars="200"/>
        <w:jc w:val="left"/>
        <w:textAlignment w:val="auto"/>
        <w:outlineLvl w:val="0"/>
        <w:rPr>
          <w:rFonts w:hint="eastAsia" w:ascii="黑体" w:hAnsi="黑体" w:eastAsia="黑体" w:cs="黑体"/>
          <w:b w:val="0"/>
          <w:bCs/>
          <w:color w:val="000000"/>
          <w:sz w:val="32"/>
          <w:szCs w:val="32"/>
          <w:lang w:eastAsia="zh-CN"/>
        </w:rPr>
      </w:pPr>
    </w:p>
    <w:p>
      <w:pPr>
        <w:keepNext w:val="0"/>
        <w:keepLines w:val="0"/>
        <w:pageBreakBefore w:val="0"/>
        <w:widowControl/>
        <w:tabs>
          <w:tab w:val="left" w:pos="720"/>
        </w:tabs>
        <w:kinsoku/>
        <w:wordWrap/>
        <w:overflowPunct/>
        <w:bidi w:val="0"/>
        <w:adjustRightInd w:val="0"/>
        <w:snapToGrid/>
        <w:spacing w:line="560" w:lineRule="exact"/>
        <w:ind w:firstLine="640" w:firstLineChars="200"/>
        <w:jc w:val="left"/>
        <w:textAlignment w:val="auto"/>
        <w:outlineLvl w:val="0"/>
        <w:rPr>
          <w:rFonts w:hint="eastAsia" w:ascii="黑体" w:hAnsi="黑体" w:eastAsia="黑体" w:cs="黑体"/>
          <w:b w:val="0"/>
          <w:bCs/>
          <w:color w:val="000000"/>
          <w:sz w:val="32"/>
          <w:szCs w:val="32"/>
          <w:lang w:val="en-US" w:eastAsia="zh-CN"/>
        </w:rPr>
      </w:pPr>
      <w:r>
        <w:rPr>
          <w:rFonts w:hint="eastAsia" w:ascii="黑体" w:hAnsi="黑体" w:eastAsia="黑体" w:cs="黑体"/>
          <w:b w:val="0"/>
          <w:bCs/>
          <w:color w:val="000000"/>
          <w:sz w:val="32"/>
          <w:szCs w:val="32"/>
          <w:lang w:eastAsia="zh-CN"/>
        </w:rPr>
        <w:t>四、抽查检验项目</w:t>
      </w:r>
      <w:r>
        <w:rPr>
          <w:rFonts w:hint="eastAsia" w:ascii="黑体" w:hAnsi="黑体" w:eastAsia="黑体" w:cs="黑体"/>
          <w:b w:val="0"/>
          <w:bCs/>
          <w:color w:val="000000"/>
          <w:sz w:val="32"/>
          <w:szCs w:val="32"/>
          <w:lang w:val="en-US" w:eastAsia="zh-CN"/>
        </w:rPr>
        <w:t>及</w:t>
      </w:r>
      <w:r>
        <w:rPr>
          <w:rFonts w:hint="eastAsia" w:ascii="黑体" w:hAnsi="黑体" w:eastAsia="黑体" w:cs="黑体"/>
          <w:b w:val="0"/>
          <w:bCs/>
          <w:color w:val="000000"/>
          <w:sz w:val="32"/>
          <w:szCs w:val="32"/>
          <w:lang w:eastAsia="zh-CN"/>
        </w:rPr>
        <w:t>执行标准表</w:t>
      </w:r>
      <w:r>
        <w:rPr>
          <w:rFonts w:hint="eastAsia" w:ascii="黑体" w:hAnsi="黑体" w:eastAsia="黑体" w:cs="黑体"/>
          <w:b w:val="0"/>
          <w:bCs/>
          <w:color w:val="000000"/>
          <w:sz w:val="32"/>
          <w:szCs w:val="32"/>
          <w:lang w:val="en-US" w:eastAsia="zh-CN"/>
        </w:rPr>
        <w:t>4</w:t>
      </w:r>
    </w:p>
    <w:p>
      <w:pPr>
        <w:snapToGrid w:val="0"/>
        <w:spacing w:line="440" w:lineRule="exact"/>
        <w:jc w:val="center"/>
        <w:rPr>
          <w:rFonts w:hint="eastAsia" w:ascii="仿宋" w:hAnsi="仿宋" w:eastAsia="仿宋" w:cs="仿宋"/>
          <w:b/>
          <w:bCs/>
          <w:sz w:val="24"/>
          <w:szCs w:val="24"/>
          <w:lang w:val="en-US" w:eastAsia="zh-CN"/>
        </w:rPr>
      </w:pPr>
    </w:p>
    <w:p>
      <w:pPr>
        <w:snapToGrid w:val="0"/>
        <w:spacing w:line="440" w:lineRule="exact"/>
        <w:jc w:val="center"/>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表4 抽查检验项目、执行标准</w:t>
      </w:r>
    </w:p>
    <w:tbl>
      <w:tblPr>
        <w:tblStyle w:val="25"/>
        <w:tblW w:w="925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70"/>
        <w:gridCol w:w="825"/>
        <w:gridCol w:w="3735"/>
        <w:gridCol w:w="2655"/>
        <w:gridCol w:w="9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产品名称</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序号</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检测项目</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执行标准</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批次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107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烟花爆竹</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标志（运输包装标志、销售包装标志）</w:t>
            </w:r>
          </w:p>
        </w:tc>
        <w:tc>
          <w:tcPr>
            <w:tcW w:w="26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GB 10631-2025 烟花爆竹 安全与质量</w:t>
            </w:r>
          </w:p>
        </w:tc>
        <w:tc>
          <w:tcPr>
            <w:tcW w:w="9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107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包装（运输包装、销售包装）</w:t>
            </w:r>
          </w:p>
        </w:tc>
        <w:tc>
          <w:tcPr>
            <w:tcW w:w="26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4"/>
                <w:szCs w:val="24"/>
                <w:u w:val="none"/>
              </w:rPr>
            </w:pPr>
          </w:p>
        </w:tc>
        <w:tc>
          <w:tcPr>
            <w:tcW w:w="9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107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外观</w:t>
            </w:r>
          </w:p>
        </w:tc>
        <w:tc>
          <w:tcPr>
            <w:tcW w:w="26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4"/>
                <w:szCs w:val="24"/>
                <w:u w:val="none"/>
              </w:rPr>
            </w:pPr>
          </w:p>
        </w:tc>
        <w:tc>
          <w:tcPr>
            <w:tcW w:w="9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107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部件（底座、引燃装置、手持部位、燃放导向装置、其他要求）</w:t>
            </w:r>
          </w:p>
        </w:tc>
        <w:tc>
          <w:tcPr>
            <w:tcW w:w="26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4"/>
                <w:szCs w:val="24"/>
                <w:u w:val="none"/>
              </w:rPr>
            </w:pPr>
          </w:p>
        </w:tc>
        <w:tc>
          <w:tcPr>
            <w:tcW w:w="9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107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结构</w:t>
            </w:r>
          </w:p>
        </w:tc>
        <w:tc>
          <w:tcPr>
            <w:tcW w:w="26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4"/>
                <w:szCs w:val="24"/>
                <w:u w:val="none"/>
              </w:rPr>
            </w:pPr>
          </w:p>
        </w:tc>
        <w:tc>
          <w:tcPr>
            <w:tcW w:w="9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107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材质</w:t>
            </w:r>
          </w:p>
        </w:tc>
        <w:tc>
          <w:tcPr>
            <w:tcW w:w="26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4"/>
                <w:szCs w:val="24"/>
                <w:u w:val="none"/>
              </w:rPr>
            </w:pPr>
          </w:p>
        </w:tc>
        <w:tc>
          <w:tcPr>
            <w:tcW w:w="9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107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药种</w:t>
            </w:r>
          </w:p>
        </w:tc>
        <w:tc>
          <w:tcPr>
            <w:tcW w:w="26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4"/>
                <w:szCs w:val="24"/>
                <w:u w:val="none"/>
              </w:rPr>
            </w:pPr>
          </w:p>
        </w:tc>
        <w:tc>
          <w:tcPr>
            <w:tcW w:w="9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107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药量</w:t>
            </w:r>
          </w:p>
        </w:tc>
        <w:tc>
          <w:tcPr>
            <w:tcW w:w="26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4"/>
                <w:szCs w:val="24"/>
                <w:u w:val="none"/>
              </w:rPr>
            </w:pPr>
          </w:p>
        </w:tc>
        <w:tc>
          <w:tcPr>
            <w:tcW w:w="9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107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燃放性能</w:t>
            </w:r>
          </w:p>
        </w:tc>
        <w:tc>
          <w:tcPr>
            <w:tcW w:w="26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4"/>
                <w:szCs w:val="24"/>
                <w:u w:val="none"/>
              </w:rPr>
            </w:pPr>
          </w:p>
        </w:tc>
        <w:tc>
          <w:tcPr>
            <w:tcW w:w="9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4"/>
                <w:szCs w:val="24"/>
                <w:u w:val="none"/>
              </w:rPr>
            </w:pPr>
          </w:p>
        </w:tc>
      </w:tr>
    </w:tbl>
    <w:p>
      <w:pPr>
        <w:keepNext w:val="0"/>
        <w:keepLines w:val="0"/>
        <w:pageBreakBefore w:val="0"/>
        <w:widowControl/>
        <w:tabs>
          <w:tab w:val="left" w:pos="720"/>
        </w:tabs>
        <w:kinsoku/>
        <w:wordWrap/>
        <w:overflowPunct/>
        <w:bidi w:val="0"/>
        <w:adjustRightInd w:val="0"/>
        <w:snapToGrid/>
        <w:spacing w:line="560" w:lineRule="exact"/>
        <w:ind w:firstLine="640" w:firstLineChars="200"/>
        <w:jc w:val="left"/>
        <w:textAlignment w:val="auto"/>
        <w:outlineLvl w:val="0"/>
        <w:rPr>
          <w:rFonts w:hint="eastAsia" w:ascii="黑体" w:hAnsi="黑体" w:eastAsia="黑体" w:cs="黑体"/>
          <w:b w:val="0"/>
          <w:bCs/>
          <w:color w:val="000000"/>
          <w:sz w:val="32"/>
          <w:szCs w:val="32"/>
          <w:lang w:eastAsia="zh-CN"/>
        </w:rPr>
      </w:pPr>
    </w:p>
    <w:p>
      <w:pPr>
        <w:keepNext w:val="0"/>
        <w:keepLines w:val="0"/>
        <w:pageBreakBefore w:val="0"/>
        <w:widowControl/>
        <w:tabs>
          <w:tab w:val="left" w:pos="720"/>
        </w:tabs>
        <w:kinsoku/>
        <w:wordWrap/>
        <w:overflowPunct/>
        <w:bidi w:val="0"/>
        <w:adjustRightInd w:val="0"/>
        <w:snapToGrid/>
        <w:spacing w:line="560" w:lineRule="exact"/>
        <w:ind w:firstLine="640" w:firstLineChars="200"/>
        <w:jc w:val="left"/>
        <w:textAlignment w:val="auto"/>
        <w:outlineLvl w:val="0"/>
        <w:rPr>
          <w:rFonts w:hint="eastAsia"/>
          <w:lang w:eastAsia="zh-CN"/>
        </w:rPr>
      </w:pPr>
      <w:r>
        <w:rPr>
          <w:rFonts w:hint="eastAsia" w:ascii="黑体" w:hAnsi="黑体" w:eastAsia="黑体" w:cs="黑体"/>
          <w:b w:val="0"/>
          <w:bCs/>
          <w:color w:val="000000"/>
          <w:sz w:val="32"/>
          <w:szCs w:val="32"/>
          <w:lang w:eastAsia="zh-CN"/>
        </w:rPr>
        <w:t>五、进度要求</w:t>
      </w:r>
    </w:p>
    <w:tbl>
      <w:tblPr>
        <w:tblStyle w:val="26"/>
        <w:tblW w:w="91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48"/>
        <w:gridCol w:w="2776"/>
        <w:gridCol w:w="28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8" w:type="dxa"/>
          </w:tcPr>
          <w:p>
            <w:pPr>
              <w:numPr>
                <w:ilvl w:val="0"/>
                <w:numId w:val="0"/>
              </w:numPr>
              <w:jc w:val="center"/>
              <w:rPr>
                <w:rFonts w:hint="eastAsia"/>
                <w:vertAlign w:val="baseline"/>
                <w:lang w:eastAsia="zh-CN"/>
              </w:rPr>
            </w:pPr>
            <w:r>
              <w:rPr>
                <w:rFonts w:hint="eastAsia" w:ascii="仿宋" w:hAnsi="仿宋" w:eastAsia="仿宋" w:cs="仿宋"/>
                <w:color w:val="auto"/>
                <w:kern w:val="2"/>
                <w:sz w:val="28"/>
                <w:szCs w:val="28"/>
                <w:lang w:val="en-US" w:eastAsia="zh-CN" w:bidi="ar-SA"/>
              </w:rPr>
              <w:t>工作过程</w:t>
            </w:r>
          </w:p>
        </w:tc>
        <w:tc>
          <w:tcPr>
            <w:tcW w:w="5604" w:type="dxa"/>
            <w:gridSpan w:val="2"/>
          </w:tcPr>
          <w:p>
            <w:pPr>
              <w:numPr>
                <w:ilvl w:val="0"/>
                <w:numId w:val="0"/>
              </w:numPr>
              <w:jc w:val="center"/>
              <w:rPr>
                <w:rFonts w:hint="eastAsia"/>
                <w:vertAlign w:val="baseline"/>
                <w:lang w:eastAsia="zh-CN"/>
              </w:rPr>
            </w:pPr>
            <w:r>
              <w:rPr>
                <w:rFonts w:hint="eastAsia" w:ascii="仿宋" w:hAnsi="仿宋" w:eastAsia="仿宋" w:cs="仿宋"/>
                <w:color w:val="auto"/>
                <w:kern w:val="2"/>
                <w:sz w:val="28"/>
                <w:szCs w:val="28"/>
                <w:lang w:val="en-US" w:eastAsia="zh-CN" w:bidi="ar-SA"/>
              </w:rPr>
              <w:t>分工和进度要求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8" w:type="dxa"/>
            <w:vMerge w:val="restart"/>
          </w:tcPr>
          <w:p>
            <w:pPr>
              <w:numPr>
                <w:ilvl w:val="0"/>
                <w:numId w:val="0"/>
              </w:numPr>
              <w:rPr>
                <w:rFonts w:hint="eastAsia"/>
                <w:vertAlign w:val="baseline"/>
                <w:lang w:eastAsia="zh-CN"/>
              </w:rPr>
            </w:pPr>
            <w:r>
              <w:rPr>
                <w:rFonts w:hint="eastAsia" w:ascii="仿宋" w:hAnsi="仿宋" w:eastAsia="仿宋" w:cs="仿宋"/>
                <w:color w:val="auto"/>
                <w:kern w:val="2"/>
                <w:sz w:val="28"/>
                <w:szCs w:val="28"/>
                <w:lang w:val="en-US" w:eastAsia="zh-CN" w:bidi="ar-SA"/>
              </w:rPr>
              <w:t>组织、承检机构</w:t>
            </w:r>
          </w:p>
        </w:tc>
        <w:tc>
          <w:tcPr>
            <w:tcW w:w="2776" w:type="dxa"/>
            <w:vAlign w:val="center"/>
          </w:tcPr>
          <w:p>
            <w:pPr>
              <w:spacing w:line="440" w:lineRule="exact"/>
              <w:jc w:val="center"/>
              <w:rPr>
                <w:rFonts w:hint="eastAsia"/>
                <w:vertAlign w:val="baseline"/>
                <w:lang w:eastAsia="zh-CN"/>
              </w:rPr>
            </w:pPr>
            <w:r>
              <w:rPr>
                <w:rFonts w:hint="eastAsia" w:ascii="仿宋" w:hAnsi="仿宋" w:eastAsia="仿宋" w:cs="仿宋"/>
                <w:color w:val="auto"/>
                <w:kern w:val="2"/>
                <w:sz w:val="28"/>
                <w:szCs w:val="28"/>
                <w:lang w:val="en-US" w:eastAsia="zh-CN" w:bidi="ar-SA"/>
              </w:rPr>
              <w:t>组织单位</w:t>
            </w:r>
          </w:p>
        </w:tc>
        <w:tc>
          <w:tcPr>
            <w:tcW w:w="2828" w:type="dxa"/>
            <w:vAlign w:val="center"/>
          </w:tcPr>
          <w:p>
            <w:pPr>
              <w:spacing w:line="440" w:lineRule="exact"/>
              <w:jc w:val="center"/>
              <w:rPr>
                <w:rFonts w:hint="eastAsia"/>
                <w:vertAlign w:val="baseline"/>
                <w:lang w:eastAsia="zh-CN"/>
              </w:rPr>
            </w:pPr>
            <w:r>
              <w:rPr>
                <w:rFonts w:hint="eastAsia" w:ascii="仿宋" w:hAnsi="仿宋" w:eastAsia="仿宋" w:cs="仿宋"/>
                <w:color w:val="auto"/>
                <w:kern w:val="2"/>
                <w:sz w:val="28"/>
                <w:szCs w:val="28"/>
                <w:lang w:val="en-US" w:eastAsia="zh-CN" w:bidi="ar-SA"/>
              </w:rPr>
              <w:t>承检单位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8" w:type="dxa"/>
            <w:vMerge w:val="continue"/>
          </w:tcPr>
          <w:p>
            <w:pPr>
              <w:numPr>
                <w:ilvl w:val="0"/>
                <w:numId w:val="0"/>
              </w:numPr>
              <w:rPr>
                <w:rFonts w:hint="eastAsia"/>
                <w:vertAlign w:val="baseline"/>
                <w:lang w:eastAsia="zh-CN"/>
              </w:rPr>
            </w:pPr>
          </w:p>
        </w:tc>
        <w:tc>
          <w:tcPr>
            <w:tcW w:w="2776" w:type="dxa"/>
            <w:vAlign w:val="center"/>
          </w:tcPr>
          <w:p>
            <w:pPr>
              <w:spacing w:line="440" w:lineRule="exact"/>
              <w:jc w:val="center"/>
              <w:rPr>
                <w:rFonts w:hint="eastAsia"/>
                <w:vertAlign w:val="baseline"/>
                <w:lang w:eastAsia="zh-CN"/>
              </w:rPr>
            </w:pPr>
            <w:r>
              <w:rPr>
                <w:rFonts w:hint="eastAsia" w:ascii="仿宋" w:hAnsi="仿宋" w:eastAsia="仿宋" w:cs="仿宋"/>
                <w:color w:val="auto"/>
                <w:kern w:val="2"/>
                <w:sz w:val="28"/>
                <w:szCs w:val="28"/>
                <w:lang w:val="en-US" w:eastAsia="zh-CN" w:bidi="ar-SA"/>
              </w:rPr>
              <w:t>儋州市市场监督管理局</w:t>
            </w:r>
          </w:p>
        </w:tc>
        <w:tc>
          <w:tcPr>
            <w:tcW w:w="2828" w:type="dxa"/>
            <w:vAlign w:val="center"/>
          </w:tcPr>
          <w:p>
            <w:pPr>
              <w:spacing w:line="440" w:lineRule="exact"/>
              <w:jc w:val="center"/>
              <w:rPr>
                <w:rFonts w:hint="eastAsia"/>
                <w:vertAlign w:val="baseline"/>
                <w:lang w:eastAsia="zh-CN"/>
              </w:rPr>
            </w:pPr>
            <w:r>
              <w:rPr>
                <w:rFonts w:hint="eastAsia" w:ascii="仿宋" w:hAnsi="仿宋" w:eastAsia="仿宋" w:cs="仿宋"/>
                <w:color w:val="auto"/>
                <w:kern w:val="2"/>
                <w:sz w:val="28"/>
                <w:szCs w:val="28"/>
                <w:lang w:val="en-US" w:eastAsia="zh-CN" w:bidi="ar-SA"/>
              </w:rPr>
              <w:t>山东精准产品质量检测有限公司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548" w:type="dxa"/>
            <w:vAlign w:val="center"/>
          </w:tcPr>
          <w:p>
            <w:pPr>
              <w:spacing w:line="440" w:lineRule="exact"/>
              <w:rPr>
                <w:rFonts w:hint="eastAsia"/>
                <w:vertAlign w:val="baseline"/>
                <w:lang w:eastAsia="zh-CN"/>
              </w:rPr>
            </w:pPr>
            <w:r>
              <w:rPr>
                <w:rFonts w:hint="eastAsia" w:ascii="仿宋" w:hAnsi="仿宋" w:eastAsia="仿宋" w:cs="仿宋"/>
                <w:color w:val="auto"/>
                <w:kern w:val="2"/>
                <w:sz w:val="28"/>
                <w:szCs w:val="28"/>
                <w:lang w:val="en-US" w:eastAsia="zh-CN" w:bidi="ar-SA"/>
              </w:rPr>
              <w:t>抽样人员名单表报送</w:t>
            </w:r>
          </w:p>
        </w:tc>
        <w:tc>
          <w:tcPr>
            <w:tcW w:w="5604" w:type="dxa"/>
            <w:gridSpan w:val="2"/>
            <w:vAlign w:val="center"/>
          </w:tcPr>
          <w:p>
            <w:pPr>
              <w:spacing w:line="440" w:lineRule="exact"/>
              <w:rPr>
                <w:rFonts w:hint="eastAsia"/>
                <w:vertAlign w:val="baseline"/>
                <w:lang w:eastAsia="zh-CN"/>
              </w:rPr>
            </w:pPr>
            <w:r>
              <w:rPr>
                <w:rFonts w:hint="eastAsia" w:ascii="仿宋" w:hAnsi="仿宋" w:eastAsia="仿宋" w:cs="仿宋"/>
                <w:color w:val="auto"/>
                <w:kern w:val="2"/>
                <w:sz w:val="28"/>
                <w:szCs w:val="28"/>
                <w:lang w:val="en-US" w:eastAsia="zh-CN" w:bidi="ar-SA"/>
              </w:rPr>
              <w:t>任务部署后5日内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8" w:type="dxa"/>
            <w:vAlign w:val="center"/>
          </w:tcPr>
          <w:p>
            <w:pPr>
              <w:spacing w:line="440" w:lineRule="exact"/>
              <w:rPr>
                <w:rFonts w:hint="eastAsia"/>
                <w:vertAlign w:val="baseline"/>
                <w:lang w:eastAsia="zh-CN"/>
              </w:rPr>
            </w:pPr>
            <w:r>
              <w:rPr>
                <w:rFonts w:hint="eastAsia" w:ascii="仿宋" w:hAnsi="仿宋" w:eastAsia="仿宋" w:cs="仿宋"/>
                <w:color w:val="auto"/>
                <w:kern w:val="2"/>
                <w:sz w:val="28"/>
                <w:szCs w:val="28"/>
                <w:lang w:val="en-US" w:eastAsia="zh-CN" w:bidi="ar-SA"/>
              </w:rPr>
              <w:t>样品抽取时间</w:t>
            </w:r>
          </w:p>
        </w:tc>
        <w:tc>
          <w:tcPr>
            <w:tcW w:w="5604" w:type="dxa"/>
            <w:gridSpan w:val="2"/>
            <w:vAlign w:val="center"/>
          </w:tcPr>
          <w:p>
            <w:pPr>
              <w:spacing w:line="440" w:lineRule="exact"/>
              <w:rPr>
                <w:rFonts w:hint="eastAsia"/>
                <w:vertAlign w:val="baseline"/>
                <w:lang w:eastAsia="zh-CN"/>
              </w:rPr>
            </w:pPr>
            <w:r>
              <w:rPr>
                <w:rFonts w:hint="eastAsia" w:ascii="仿宋" w:hAnsi="仿宋" w:eastAsia="仿宋" w:cs="仿宋"/>
                <w:color w:val="auto"/>
                <w:kern w:val="2"/>
                <w:sz w:val="28"/>
                <w:szCs w:val="28"/>
                <w:lang w:val="en-US" w:eastAsia="zh-CN" w:bidi="ar-SA"/>
              </w:rPr>
              <w:t>具体时间以部署文件为准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8" w:type="dxa"/>
            <w:vAlign w:val="center"/>
          </w:tcPr>
          <w:p>
            <w:pPr>
              <w:spacing w:line="440" w:lineRule="exact"/>
              <w:rPr>
                <w:rFonts w:hint="eastAsia"/>
                <w:vertAlign w:val="baseline"/>
                <w:lang w:eastAsia="zh-CN"/>
              </w:rPr>
            </w:pPr>
            <w:r>
              <w:rPr>
                <w:rFonts w:hint="eastAsia" w:ascii="仿宋" w:hAnsi="仿宋" w:eastAsia="仿宋" w:cs="仿宋"/>
                <w:color w:val="auto"/>
                <w:kern w:val="2"/>
                <w:sz w:val="28"/>
                <w:szCs w:val="28"/>
                <w:lang w:val="en-US" w:eastAsia="zh-CN" w:bidi="ar-SA"/>
              </w:rPr>
              <w:t>样品检验时间</w:t>
            </w:r>
          </w:p>
        </w:tc>
        <w:tc>
          <w:tcPr>
            <w:tcW w:w="5604" w:type="dxa"/>
            <w:gridSpan w:val="2"/>
            <w:vAlign w:val="center"/>
          </w:tcPr>
          <w:p>
            <w:pPr>
              <w:spacing w:line="440" w:lineRule="exact"/>
              <w:rPr>
                <w:rFonts w:hint="eastAsia"/>
                <w:vertAlign w:val="baseline"/>
                <w:lang w:eastAsia="zh-CN"/>
              </w:rPr>
            </w:pPr>
            <w:r>
              <w:rPr>
                <w:rFonts w:hint="eastAsia" w:ascii="仿宋" w:hAnsi="仿宋" w:eastAsia="仿宋" w:cs="仿宋"/>
                <w:color w:val="auto"/>
                <w:kern w:val="2"/>
                <w:sz w:val="28"/>
                <w:szCs w:val="28"/>
                <w:lang w:val="en-US" w:eastAsia="zh-CN" w:bidi="ar-SA"/>
              </w:rPr>
              <w:t>任务部署后的1个整体抽检工作完成周期内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8" w:type="dxa"/>
            <w:vAlign w:val="center"/>
          </w:tcPr>
          <w:p>
            <w:pPr>
              <w:spacing w:line="440" w:lineRule="exact"/>
              <w:rPr>
                <w:rFonts w:hint="eastAsia"/>
                <w:vertAlign w:val="baseline"/>
                <w:lang w:eastAsia="zh-CN"/>
              </w:rPr>
            </w:pPr>
            <w:r>
              <w:rPr>
                <w:rFonts w:hint="eastAsia" w:ascii="仿宋" w:hAnsi="仿宋" w:eastAsia="仿宋" w:cs="仿宋"/>
                <w:color w:val="auto"/>
                <w:kern w:val="2"/>
                <w:sz w:val="28"/>
                <w:szCs w:val="28"/>
                <w:lang w:val="en-US" w:eastAsia="zh-CN" w:bidi="ar-SA"/>
              </w:rPr>
              <w:t>检验报告及结果通知发放</w:t>
            </w:r>
          </w:p>
        </w:tc>
        <w:tc>
          <w:tcPr>
            <w:tcW w:w="5604" w:type="dxa"/>
            <w:gridSpan w:val="2"/>
            <w:vAlign w:val="center"/>
          </w:tcPr>
          <w:p>
            <w:pPr>
              <w:spacing w:line="440" w:lineRule="exact"/>
              <w:rPr>
                <w:rFonts w:hint="eastAsia"/>
                <w:vertAlign w:val="baseline"/>
                <w:lang w:eastAsia="zh-CN"/>
              </w:rPr>
            </w:pPr>
            <w:r>
              <w:rPr>
                <w:rFonts w:hint="eastAsia" w:ascii="仿宋" w:hAnsi="仿宋" w:eastAsia="仿宋" w:cs="仿宋"/>
                <w:color w:val="auto"/>
                <w:kern w:val="2"/>
                <w:sz w:val="28"/>
                <w:szCs w:val="28"/>
                <w:lang w:val="en-US" w:eastAsia="zh-CN" w:bidi="ar-SA"/>
              </w:rPr>
              <w:t>检验工作完成5日内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548" w:type="dxa"/>
            <w:vAlign w:val="center"/>
          </w:tcPr>
          <w:p>
            <w:pPr>
              <w:spacing w:line="440" w:lineRule="exact"/>
              <w:rPr>
                <w:rFonts w:hint="eastAsia"/>
                <w:vertAlign w:val="baseline"/>
                <w:lang w:eastAsia="zh-CN"/>
              </w:rPr>
            </w:pPr>
            <w:r>
              <w:rPr>
                <w:rFonts w:hint="eastAsia" w:ascii="仿宋" w:hAnsi="仿宋" w:eastAsia="仿宋" w:cs="仿宋"/>
                <w:color w:val="auto"/>
                <w:kern w:val="2"/>
                <w:sz w:val="28"/>
                <w:szCs w:val="28"/>
                <w:lang w:val="en-US" w:eastAsia="zh-CN" w:bidi="ar-SA"/>
              </w:rPr>
              <w:t>承检单位提供资料</w:t>
            </w:r>
          </w:p>
        </w:tc>
        <w:tc>
          <w:tcPr>
            <w:tcW w:w="5604" w:type="dxa"/>
            <w:gridSpan w:val="2"/>
            <w:vAlign w:val="center"/>
          </w:tcPr>
          <w:p>
            <w:pPr>
              <w:spacing w:line="440" w:lineRule="exact"/>
              <w:rPr>
                <w:rFonts w:hint="eastAsia"/>
                <w:vertAlign w:val="baseline"/>
                <w:lang w:eastAsia="zh-CN"/>
              </w:rPr>
            </w:pPr>
            <w:r>
              <w:rPr>
                <w:rFonts w:hint="eastAsia" w:ascii="仿宋" w:hAnsi="仿宋" w:eastAsia="仿宋" w:cs="仿宋"/>
                <w:color w:val="auto"/>
                <w:kern w:val="2"/>
                <w:sz w:val="28"/>
                <w:szCs w:val="28"/>
                <w:lang w:val="en-US" w:eastAsia="zh-CN" w:bidi="ar-SA"/>
              </w:rPr>
              <w:t>检验工作完成10日内</w:t>
            </w:r>
          </w:p>
        </w:tc>
      </w:tr>
    </w:tbl>
    <w:p>
      <w:pPr>
        <w:numPr>
          <w:ilvl w:val="0"/>
          <w:numId w:val="0"/>
        </w:numPr>
        <w:rPr>
          <w:rFonts w:hint="eastAsia"/>
          <w:lang w:eastAsia="zh-CN"/>
        </w:rPr>
      </w:pPr>
    </w:p>
    <w:p>
      <w:pPr>
        <w:numPr>
          <w:ilvl w:val="0"/>
          <w:numId w:val="0"/>
        </w:numPr>
        <w:rPr>
          <w:rFonts w:hint="eastAsia"/>
          <w:lang w:eastAsia="zh-CN"/>
        </w:rPr>
      </w:pPr>
    </w:p>
    <w:p>
      <w:pPr>
        <w:keepNext w:val="0"/>
        <w:keepLines w:val="0"/>
        <w:pageBreakBefore w:val="0"/>
        <w:widowControl/>
        <w:tabs>
          <w:tab w:val="left" w:pos="720"/>
        </w:tabs>
        <w:kinsoku/>
        <w:wordWrap/>
        <w:overflowPunct/>
        <w:autoSpaceDE/>
        <w:autoSpaceDN/>
        <w:bidi w:val="0"/>
        <w:adjustRightInd w:val="0"/>
        <w:snapToGrid/>
        <w:spacing w:line="560" w:lineRule="exact"/>
        <w:ind w:firstLine="640" w:firstLineChars="200"/>
        <w:jc w:val="left"/>
        <w:textAlignment w:val="auto"/>
        <w:outlineLvl w:val="0"/>
        <w:rPr>
          <w:rFonts w:hint="eastAsia" w:ascii="黑体" w:hAnsi="黑体" w:eastAsia="黑体" w:cs="黑体"/>
          <w:b w:val="0"/>
          <w:bCs/>
          <w:color w:val="000000"/>
          <w:sz w:val="32"/>
          <w:szCs w:val="32"/>
          <w:lang w:eastAsia="zh-CN"/>
        </w:rPr>
      </w:pPr>
      <w:r>
        <w:rPr>
          <w:rFonts w:hint="eastAsia" w:ascii="黑体" w:hAnsi="黑体" w:eastAsia="黑体" w:cs="黑体"/>
          <w:b w:val="0"/>
          <w:bCs/>
          <w:color w:val="000000"/>
          <w:sz w:val="32"/>
          <w:szCs w:val="32"/>
          <w:lang w:eastAsia="zh-CN"/>
        </w:rPr>
        <w:t>六、工作分工</w:t>
      </w:r>
    </w:p>
    <w:p>
      <w:pPr>
        <w:pStyle w:val="40"/>
        <w:keepNext w:val="0"/>
        <w:keepLines w:val="0"/>
        <w:pageBreakBefore w:val="0"/>
        <w:numPr>
          <w:ilvl w:val="0"/>
          <w:numId w:val="0"/>
        </w:numPr>
        <w:kinsoku/>
        <w:wordWrap/>
        <w:overflowPunct/>
        <w:autoSpaceDE/>
        <w:autoSpaceDN/>
        <w:bidi w:val="0"/>
        <w:spacing w:line="560" w:lineRule="exact"/>
        <w:ind w:leftChars="0" w:firstLine="642" w:firstLineChars="200"/>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b/>
          <w:bCs/>
          <w:color w:val="auto"/>
          <w:sz w:val="32"/>
          <w:szCs w:val="32"/>
          <w:lang w:val="en-US" w:eastAsia="zh-CN"/>
        </w:rPr>
        <w:t xml:space="preserve"> </w:t>
      </w:r>
      <w:r>
        <w:rPr>
          <w:rFonts w:hint="eastAsia" w:ascii="仿宋_GB2312" w:hAnsi="仿宋_GB2312" w:eastAsia="仿宋_GB2312" w:cs="仿宋_GB2312"/>
          <w:color w:val="000000"/>
          <w:kern w:val="2"/>
          <w:sz w:val="32"/>
          <w:szCs w:val="32"/>
          <w:lang w:val="en-US" w:eastAsia="zh-CN" w:bidi="ar-SA"/>
        </w:rPr>
        <w:t>组织单位：儋州市市场监督管理局</w:t>
      </w:r>
    </w:p>
    <w:p>
      <w:pPr>
        <w:pStyle w:val="40"/>
        <w:keepNext w:val="0"/>
        <w:keepLines w:val="0"/>
        <w:pageBreakBefore w:val="0"/>
        <w:numPr>
          <w:ilvl w:val="0"/>
          <w:numId w:val="0"/>
        </w:numPr>
        <w:kinsoku/>
        <w:wordWrap/>
        <w:overflowPunct/>
        <w:autoSpaceDE/>
        <w:autoSpaceDN/>
        <w:bidi w:val="0"/>
        <w:spacing w:line="560" w:lineRule="exact"/>
        <w:ind w:leftChars="0" w:firstLine="640" w:firstLineChars="200"/>
        <w:textAlignment w:val="auto"/>
        <w:rPr>
          <w:rFonts w:hint="eastAsia" w:ascii="仿宋_GB2312" w:hAnsi="仿宋_GB2312" w:eastAsia="仿宋_GB2312" w:cs="仿宋_GB2312"/>
          <w:b/>
          <w:bCs/>
          <w:color w:val="auto"/>
          <w:sz w:val="32"/>
          <w:szCs w:val="32"/>
          <w:lang w:eastAsia="zh-CN"/>
        </w:rPr>
      </w:pPr>
      <w:r>
        <w:rPr>
          <w:rFonts w:hint="eastAsia" w:ascii="仿宋_GB2312" w:hAnsi="仿宋_GB2312" w:eastAsia="仿宋_GB2312" w:cs="仿宋_GB2312"/>
          <w:color w:val="000000"/>
          <w:kern w:val="2"/>
          <w:sz w:val="32"/>
          <w:szCs w:val="32"/>
          <w:lang w:val="en-US" w:eastAsia="zh-CN" w:bidi="ar-SA"/>
        </w:rPr>
        <w:t xml:space="preserve"> 承检单位：山东精准产品质量检测有限公司</w:t>
      </w:r>
    </w:p>
    <w:p>
      <w:pPr>
        <w:keepNext w:val="0"/>
        <w:keepLines w:val="0"/>
        <w:pageBreakBefore w:val="0"/>
        <w:kinsoku/>
        <w:wordWrap/>
        <w:overflowPunct/>
        <w:topLinePunct/>
        <w:autoSpaceDE/>
        <w:autoSpaceDN/>
        <w:bidi w:val="0"/>
        <w:adjustRightInd w:val="0"/>
        <w:spacing w:line="560" w:lineRule="exact"/>
        <w:ind w:firstLine="640" w:firstLineChars="200"/>
        <w:textAlignment w:val="auto"/>
        <w:rPr>
          <w:rFonts w:hint="eastAsia" w:ascii="楷体" w:hAnsi="楷体" w:eastAsia="楷体" w:cs="楷体"/>
          <w:color w:val="000000"/>
          <w:sz w:val="32"/>
          <w:szCs w:val="32"/>
          <w:lang w:val="en-US" w:eastAsia="zh-CN"/>
        </w:rPr>
      </w:pPr>
      <w:r>
        <w:rPr>
          <w:rFonts w:hint="eastAsia" w:ascii="楷体" w:hAnsi="楷体" w:eastAsia="楷体" w:cs="楷体"/>
          <w:color w:val="000000"/>
          <w:sz w:val="32"/>
          <w:szCs w:val="32"/>
          <w:lang w:val="en-US" w:eastAsia="zh-CN"/>
        </w:rPr>
        <w:t>（一）抽样</w:t>
      </w:r>
    </w:p>
    <w:p>
      <w:pPr>
        <w:keepNext w:val="0"/>
        <w:keepLines w:val="0"/>
        <w:pageBreakBefore w:val="0"/>
        <w:kinsoku/>
        <w:wordWrap/>
        <w:overflowPunct/>
        <w:topLinePunct/>
        <w:autoSpaceDE/>
        <w:autoSpaceDN/>
        <w:bidi w:val="0"/>
        <w:adjustRightInd w:val="0"/>
        <w:spacing w:line="560"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市场监督管理部门委托抽样机构抽样，并按照有关规定随机抽取被抽样生产者、销售者，随机选派抽样人员。</w:t>
      </w:r>
    </w:p>
    <w:p>
      <w:pPr>
        <w:pStyle w:val="30"/>
        <w:keepNext w:val="0"/>
        <w:keepLines w:val="0"/>
        <w:pageBreakBefore w:val="0"/>
        <w:kinsoku/>
        <w:wordWrap/>
        <w:overflowPunct/>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000000"/>
          <w:sz w:val="32"/>
          <w:szCs w:val="32"/>
          <w:lang w:val="en-US" w:eastAsia="zh-CN"/>
        </w:rPr>
        <w:t>实行抽检分离制度。除现场检验外，抽样人员不得承担其抽样产品的检验工作。</w:t>
      </w:r>
    </w:p>
    <w:p>
      <w:pPr>
        <w:keepNext w:val="0"/>
        <w:keepLines w:val="0"/>
        <w:pageBreakBefore w:val="0"/>
        <w:kinsoku/>
        <w:wordWrap/>
        <w:overflowPunct/>
        <w:topLinePunct/>
        <w:autoSpaceDE/>
        <w:autoSpaceDN/>
        <w:bidi w:val="0"/>
        <w:adjustRightInd w:val="0"/>
        <w:spacing w:line="560"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抽样人员应当熟悉相关法律、行政法规、部门规章以及标准等规定。</w:t>
      </w:r>
    </w:p>
    <w:p>
      <w:pPr>
        <w:keepNext w:val="0"/>
        <w:keepLines w:val="0"/>
        <w:pageBreakBefore w:val="0"/>
        <w:kinsoku/>
        <w:wordWrap/>
        <w:overflowPunct/>
        <w:topLinePunct/>
        <w:autoSpaceDE/>
        <w:autoSpaceDN/>
        <w:bidi w:val="0"/>
        <w:adjustRightInd w:val="0"/>
        <w:spacing w:line="560"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抽样人员不得少于两人，并向被抽样生产者、销售者出示组织监督抽查的市场监督管理部门出具的监督抽查通知书、抽样人员身份证明。抽样机构执行抽样任务的，还应当出示组织监督抽查的市场监督管理部门出具的授权委托书复印件。</w:t>
      </w:r>
    </w:p>
    <w:p>
      <w:pPr>
        <w:keepNext w:val="0"/>
        <w:keepLines w:val="0"/>
        <w:pageBreakBefore w:val="0"/>
        <w:kinsoku/>
        <w:wordWrap/>
        <w:overflowPunct/>
        <w:topLinePunct/>
        <w:autoSpaceDE/>
        <w:autoSpaceDN/>
        <w:bidi w:val="0"/>
        <w:adjustRightInd w:val="0"/>
        <w:spacing w:line="560"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抽样人员应当告知被抽样生产者、销售者抽查产品范围、抽样方法等。</w:t>
      </w:r>
    </w:p>
    <w:p>
      <w:pPr>
        <w:keepNext w:val="0"/>
        <w:keepLines w:val="0"/>
        <w:pageBreakBefore w:val="0"/>
        <w:kinsoku/>
        <w:wordWrap/>
        <w:overflowPunct/>
        <w:topLinePunct/>
        <w:autoSpaceDE/>
        <w:autoSpaceDN/>
        <w:bidi w:val="0"/>
        <w:adjustRightInd w:val="0"/>
        <w:spacing w:line="560"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样品应当由抽样人员在被抽样生产者、销售者的待销产品中随机抽取，不得由被抽样生产者、销售者自行抽样。</w:t>
      </w:r>
    </w:p>
    <w:p>
      <w:pPr>
        <w:keepNext w:val="0"/>
        <w:keepLines w:val="0"/>
        <w:pageBreakBefore w:val="0"/>
        <w:kinsoku/>
        <w:wordWrap/>
        <w:overflowPunct/>
        <w:topLinePunct/>
        <w:autoSpaceDE/>
        <w:autoSpaceDN/>
        <w:bidi w:val="0"/>
        <w:adjustRightInd w:val="0"/>
        <w:spacing w:line="560"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抽样人员发现被抽样生产者、销售者涉嫌存在无证无照等无需检验即可判定违法的情形的，应当终止抽样，立即报告组织监督抽查的市场监督管理部门，并同时报告涉嫌违法的被抽样生产者、销售者所在地市级市场监督管理部门。</w:t>
      </w:r>
    </w:p>
    <w:p>
      <w:pPr>
        <w:keepNext w:val="0"/>
        <w:keepLines w:val="0"/>
        <w:pageBreakBefore w:val="0"/>
        <w:kinsoku/>
        <w:wordWrap/>
        <w:overflowPunct/>
        <w:topLinePunct/>
        <w:autoSpaceDE/>
        <w:autoSpaceDN/>
        <w:bidi w:val="0"/>
        <w:adjustRightInd w:val="0"/>
        <w:spacing w:line="560"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抽样人员应当使用规定的抽样文书记录抽样信息，并对抽样场所、贮存环境、被抽样产品的标识、库存数量、抽样过程等通过拍照或者录像的方式留存证据。</w:t>
      </w:r>
    </w:p>
    <w:p>
      <w:pPr>
        <w:keepNext w:val="0"/>
        <w:keepLines w:val="0"/>
        <w:pageBreakBefore w:val="0"/>
        <w:kinsoku/>
        <w:wordWrap/>
        <w:overflowPunct/>
        <w:topLinePunct/>
        <w:autoSpaceDE/>
        <w:autoSpaceDN/>
        <w:bidi w:val="0"/>
        <w:adjustRightInd w:val="0"/>
        <w:spacing w:line="560"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抽样文书应当经抽样人员和被抽样生产者、销售者签字。被抽样生产者、销售者拒绝签字的，抽样人员应当在抽样文书上注明情况，必要时可以邀请有关人员作为见证人。</w:t>
      </w:r>
    </w:p>
    <w:p>
      <w:pPr>
        <w:keepNext w:val="0"/>
        <w:keepLines w:val="0"/>
        <w:pageBreakBefore w:val="0"/>
        <w:kinsoku/>
        <w:wordWrap/>
        <w:overflowPunct/>
        <w:topLinePunct/>
        <w:autoSpaceDE/>
        <w:autoSpaceDN/>
        <w:bidi w:val="0"/>
        <w:adjustRightInd w:val="0"/>
        <w:spacing w:line="560"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抽样文书确需更正或者补充的，应当由被抽样生产者、销售者在更正或者补充处以签名、盖章等方式予以确认。</w:t>
      </w:r>
    </w:p>
    <w:p>
      <w:pPr>
        <w:keepNext w:val="0"/>
        <w:keepLines w:val="0"/>
        <w:pageBreakBefore w:val="0"/>
        <w:kinsoku/>
        <w:wordWrap/>
        <w:overflowPunct/>
        <w:topLinePunct/>
        <w:autoSpaceDE/>
        <w:autoSpaceDN/>
        <w:bidi w:val="0"/>
        <w:adjustRightInd w:val="0"/>
        <w:spacing w:line="560"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因被抽样生产者、销售者转产、停业等原因致使无法抽样的，抽样人员应当如实记录，报送组织监督抽查的市场监督管理部门。</w:t>
      </w:r>
    </w:p>
    <w:p>
      <w:pPr>
        <w:keepNext w:val="0"/>
        <w:keepLines w:val="0"/>
        <w:pageBreakBefore w:val="0"/>
        <w:kinsoku/>
        <w:wordWrap/>
        <w:overflowPunct/>
        <w:topLinePunct/>
        <w:autoSpaceDE/>
        <w:autoSpaceDN/>
        <w:bidi w:val="0"/>
        <w:adjustRightInd w:val="0"/>
        <w:spacing w:line="560"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被抽样生产者、销售者以明显不合理的样品价格等方式阻碍、拒绝或者不配合抽样的，抽样人员应当如实记录，立即报告组织监督抽查的市场监督管理部门，并同时报告被抽样生产者、销售者所在地市级市场监督管理部门。</w:t>
      </w:r>
    </w:p>
    <w:p>
      <w:pPr>
        <w:keepNext w:val="0"/>
        <w:keepLines w:val="0"/>
        <w:pageBreakBefore w:val="0"/>
        <w:kinsoku/>
        <w:wordWrap/>
        <w:overflowPunct/>
        <w:topLinePunct/>
        <w:autoSpaceDE/>
        <w:autoSpaceDN/>
        <w:bidi w:val="0"/>
        <w:adjustRightInd w:val="0"/>
        <w:spacing w:line="560"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样品分为检验样品和备用样品。除不以破坏性试验方式进行检验，并且不会对样品质量造成实质性影响的外，抽样人员应当购买检验样品。购买检验样品的价格以生产、销售产品的标价为准；没有标价的，以同类产品的市场价格为准。</w:t>
      </w:r>
    </w:p>
    <w:p>
      <w:pPr>
        <w:keepNext w:val="0"/>
        <w:keepLines w:val="0"/>
        <w:pageBreakBefore w:val="0"/>
        <w:kinsoku/>
        <w:wordWrap/>
        <w:overflowPunct/>
        <w:topLinePunct/>
        <w:autoSpaceDE/>
        <w:autoSpaceDN/>
        <w:bidi w:val="0"/>
        <w:adjustRightInd w:val="0"/>
        <w:spacing w:line="560"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备用样品由被抽样生产者、销售者先行无偿提供。法律、行政法规、部门规章对样品获取方式另有规定的，依照其规定。</w:t>
      </w:r>
    </w:p>
    <w:p>
      <w:pPr>
        <w:keepNext w:val="0"/>
        <w:keepLines w:val="0"/>
        <w:pageBreakBefore w:val="0"/>
        <w:kinsoku/>
        <w:wordWrap/>
        <w:overflowPunct/>
        <w:topLinePunct/>
        <w:autoSpaceDE/>
        <w:autoSpaceDN/>
        <w:bidi w:val="0"/>
        <w:adjustRightInd w:val="0"/>
        <w:spacing w:line="560"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抽样人员应当采取有效的防拆封措施，对检验样品和备用样品分别封样，并由抽样人员和被抽样生产者、销售者签字确认。</w:t>
      </w:r>
    </w:p>
    <w:p>
      <w:pPr>
        <w:keepNext w:val="0"/>
        <w:keepLines w:val="0"/>
        <w:pageBreakBefore w:val="0"/>
        <w:kinsoku/>
        <w:wordWrap/>
        <w:overflowPunct/>
        <w:topLinePunct/>
        <w:autoSpaceDE/>
        <w:autoSpaceDN/>
        <w:bidi w:val="0"/>
        <w:adjustRightInd w:val="0"/>
        <w:spacing w:line="560"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样品应当由抽样人员携带或者寄递至检验机构进行检验。对于易碎品、危险化学品等对运输、贮存过程有特殊要求的样品，应当采取有效措施，保证样品的运输、贮存过程符合国家有关规定，不发生影响检验结论的变化。</w:t>
      </w:r>
    </w:p>
    <w:p>
      <w:pPr>
        <w:keepNext w:val="0"/>
        <w:keepLines w:val="0"/>
        <w:pageBreakBefore w:val="0"/>
        <w:kinsoku/>
        <w:wordWrap/>
        <w:overflowPunct/>
        <w:topLinePunct/>
        <w:autoSpaceDE/>
        <w:autoSpaceDN/>
        <w:bidi w:val="0"/>
        <w:adjustRightInd w:val="0"/>
        <w:spacing w:line="560"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样品需要先行存放在被抽样生产者、销售者处的，应当予以封存，并加施封存标识。被抽样生产者、销售者应当妥善保管封存的样品，不得隐匿、转移、变卖、损毁。</w:t>
      </w:r>
    </w:p>
    <w:p>
      <w:pPr>
        <w:keepNext w:val="0"/>
        <w:keepLines w:val="0"/>
        <w:pageBreakBefore w:val="0"/>
        <w:kinsoku/>
        <w:wordWrap/>
        <w:overflowPunct/>
        <w:topLinePunct/>
        <w:autoSpaceDE/>
        <w:autoSpaceDN/>
        <w:bidi w:val="0"/>
        <w:adjustRightInd w:val="0"/>
        <w:spacing w:line="560" w:lineRule="exact"/>
        <w:ind w:firstLine="640" w:firstLineChars="200"/>
        <w:textAlignment w:val="auto"/>
        <w:rPr>
          <w:rFonts w:hint="eastAsia" w:ascii="楷体" w:hAnsi="楷体" w:eastAsia="楷体" w:cs="楷体"/>
          <w:color w:val="000000"/>
          <w:sz w:val="32"/>
          <w:szCs w:val="32"/>
          <w:lang w:val="en-US" w:eastAsia="zh-CN"/>
        </w:rPr>
      </w:pPr>
      <w:r>
        <w:rPr>
          <w:rFonts w:hint="eastAsia" w:ascii="楷体" w:hAnsi="楷体" w:eastAsia="楷体" w:cs="楷体"/>
          <w:color w:val="000000"/>
          <w:sz w:val="32"/>
          <w:szCs w:val="32"/>
          <w:lang w:val="en-US" w:eastAsia="zh-CN"/>
        </w:rPr>
        <w:t>（二）检验</w:t>
      </w:r>
    </w:p>
    <w:p>
      <w:pPr>
        <w:keepNext w:val="0"/>
        <w:keepLines w:val="0"/>
        <w:pageBreakBefore w:val="0"/>
        <w:kinsoku/>
        <w:wordWrap/>
        <w:overflowPunct/>
        <w:topLinePunct/>
        <w:autoSpaceDE/>
        <w:autoSpaceDN/>
        <w:bidi w:val="0"/>
        <w:adjustRightInd w:val="0"/>
        <w:spacing w:line="560"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检验人员收到样品后，应当通过拍照或者录像的方式检查记录样品的外观、状态、封条有无破损以及其他可能对检验结论产生影响的情形，并核对样品与抽样文书的记录是否相符。</w:t>
      </w:r>
    </w:p>
    <w:p>
      <w:pPr>
        <w:keepNext w:val="0"/>
        <w:keepLines w:val="0"/>
        <w:pageBreakBefore w:val="0"/>
        <w:kinsoku/>
        <w:wordWrap/>
        <w:overflowPunct/>
        <w:topLinePunct/>
        <w:autoSpaceDE/>
        <w:autoSpaceDN/>
        <w:bidi w:val="0"/>
        <w:adjustRightInd w:val="0"/>
        <w:spacing w:line="560"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对于抽样不规范的样品，检验人员应当拒绝接收并书面说明理由，同时向组织监督抽查的市场监督管理部门报告。</w:t>
      </w:r>
    </w:p>
    <w:p>
      <w:pPr>
        <w:keepNext w:val="0"/>
        <w:keepLines w:val="0"/>
        <w:pageBreakBefore w:val="0"/>
        <w:kinsoku/>
        <w:wordWrap/>
        <w:overflowPunct/>
        <w:topLinePunct/>
        <w:autoSpaceDE/>
        <w:autoSpaceDN/>
        <w:bidi w:val="0"/>
        <w:adjustRightInd w:val="0"/>
        <w:spacing w:line="560"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被抽样产品实行生产许可、强制性产品认证等管理的，检验人员应当在检验前核实样品的生产者是否符合相应要求。</w:t>
      </w:r>
    </w:p>
    <w:p>
      <w:pPr>
        <w:keepNext w:val="0"/>
        <w:keepLines w:val="0"/>
        <w:pageBreakBefore w:val="0"/>
        <w:kinsoku/>
        <w:wordWrap/>
        <w:overflowPunct/>
        <w:topLinePunct/>
        <w:autoSpaceDE/>
        <w:autoSpaceDN/>
        <w:bidi w:val="0"/>
        <w:adjustRightInd w:val="0"/>
        <w:spacing w:line="560"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检验人员发现样品的生产者涉嫌存在无证无照等无需检验即可判定违法的情形的，应当终止检验，立即报告组织监督抽查的市场监督管理部门，并同时报告涉嫌违法的样品的生产者所在地市级市场监督管理部门。</w:t>
      </w:r>
    </w:p>
    <w:p>
      <w:pPr>
        <w:keepNext w:val="0"/>
        <w:keepLines w:val="0"/>
        <w:pageBreakBefore w:val="0"/>
        <w:kinsoku/>
        <w:wordWrap/>
        <w:overflowPunct/>
        <w:topLinePunct/>
        <w:autoSpaceDE/>
        <w:autoSpaceDN/>
        <w:bidi w:val="0"/>
        <w:adjustRightInd w:val="0"/>
        <w:spacing w:line="560"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检验人员应当按照监督抽查实施规范所规定的检验项目、检验方法、判定规则等进行检验。</w:t>
      </w:r>
    </w:p>
    <w:p>
      <w:pPr>
        <w:keepNext w:val="0"/>
        <w:keepLines w:val="0"/>
        <w:pageBreakBefore w:val="0"/>
        <w:kinsoku/>
        <w:wordWrap/>
        <w:overflowPunct/>
        <w:topLinePunct/>
        <w:autoSpaceDE/>
        <w:autoSpaceDN/>
        <w:bidi w:val="0"/>
        <w:adjustRightInd w:val="0"/>
        <w:spacing w:line="560"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检验中发现因样品失效或者其他原因致使检验无法进行的，检验人员应当如实记录，并提供相关证明材料，报送组织监督抽查的市场监督管理部门。</w:t>
      </w:r>
    </w:p>
    <w:p>
      <w:pPr>
        <w:keepNext w:val="0"/>
        <w:keepLines w:val="0"/>
        <w:pageBreakBefore w:val="0"/>
        <w:kinsoku/>
        <w:wordWrap/>
        <w:overflowPunct/>
        <w:topLinePunct/>
        <w:autoSpaceDE/>
        <w:autoSpaceDN/>
        <w:bidi w:val="0"/>
        <w:adjustRightInd w:val="0"/>
        <w:spacing w:line="560"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检验机构出具检验报告，应当内容真实齐全、数据准确、结论明确，并按照有关规定签字、盖章。</w:t>
      </w:r>
    </w:p>
    <w:p>
      <w:pPr>
        <w:keepNext w:val="0"/>
        <w:keepLines w:val="0"/>
        <w:pageBreakBefore w:val="0"/>
        <w:kinsoku/>
        <w:wordWrap/>
        <w:overflowPunct/>
        <w:topLinePunct/>
        <w:autoSpaceDE/>
        <w:autoSpaceDN/>
        <w:bidi w:val="0"/>
        <w:adjustRightInd w:val="0"/>
        <w:spacing w:line="560"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检验机构和检验人员应当对其出具的检验报告负责。</w:t>
      </w:r>
    </w:p>
    <w:p>
      <w:pPr>
        <w:keepNext w:val="0"/>
        <w:keepLines w:val="0"/>
        <w:pageBreakBefore w:val="0"/>
        <w:kinsoku/>
        <w:wordWrap/>
        <w:overflowPunct/>
        <w:topLinePunct/>
        <w:autoSpaceDE/>
        <w:autoSpaceDN/>
        <w:bidi w:val="0"/>
        <w:adjustRightInd w:val="0"/>
        <w:spacing w:line="560"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检验机构应当在规定时间内将检验报告及有关材料报送组织监督抽查的市场监督管理部门。</w:t>
      </w:r>
    </w:p>
    <w:p>
      <w:pPr>
        <w:keepNext w:val="0"/>
        <w:keepLines w:val="0"/>
        <w:pageBreakBefore w:val="0"/>
        <w:kinsoku/>
        <w:wordWrap/>
        <w:overflowPunct/>
        <w:topLinePunct/>
        <w:autoSpaceDE/>
        <w:autoSpaceDN/>
        <w:bidi w:val="0"/>
        <w:adjustRightInd w:val="0"/>
        <w:spacing w:line="560"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检验结论为合格并且属于无偿提供的样品，组织监督抽查的市场监督管理部门应当在提出异议处理申请期限届满后及时退还。</w:t>
      </w:r>
    </w:p>
    <w:p>
      <w:pPr>
        <w:keepNext w:val="0"/>
        <w:keepLines w:val="0"/>
        <w:pageBreakBefore w:val="0"/>
        <w:kinsoku/>
        <w:wordWrap/>
        <w:overflowPunct/>
        <w:topLinePunct/>
        <w:autoSpaceDE/>
        <w:autoSpaceDN/>
        <w:bidi w:val="0"/>
        <w:adjustRightInd w:val="0"/>
        <w:spacing w:line="560"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val="en-US" w:eastAsia="zh-CN"/>
        </w:rPr>
        <w:t>前款规定以外的其他样品，组织监督抽查的市场监督管理部门应当在提出异议处理申请期限届满后按照有关规定处理。</w:t>
      </w:r>
    </w:p>
    <w:p>
      <w:pPr>
        <w:keepNext w:val="0"/>
        <w:keepLines w:val="0"/>
        <w:pageBreakBefore w:val="0"/>
        <w:widowControl/>
        <w:tabs>
          <w:tab w:val="left" w:pos="720"/>
        </w:tabs>
        <w:kinsoku/>
        <w:wordWrap/>
        <w:overflowPunct/>
        <w:autoSpaceDE/>
        <w:autoSpaceDN/>
        <w:bidi w:val="0"/>
        <w:adjustRightInd w:val="0"/>
        <w:snapToGrid/>
        <w:spacing w:line="560" w:lineRule="exact"/>
        <w:ind w:firstLine="640" w:firstLineChars="200"/>
        <w:jc w:val="left"/>
        <w:textAlignment w:val="auto"/>
        <w:outlineLvl w:val="0"/>
        <w:rPr>
          <w:rFonts w:hint="eastAsia" w:ascii="黑体" w:hAnsi="黑体" w:eastAsia="黑体" w:cs="黑体"/>
          <w:b w:val="0"/>
          <w:bCs/>
          <w:color w:val="000000"/>
          <w:sz w:val="32"/>
          <w:szCs w:val="32"/>
        </w:rPr>
      </w:pPr>
      <w:r>
        <w:rPr>
          <w:rFonts w:hint="eastAsia" w:ascii="黑体" w:hAnsi="黑体" w:eastAsia="黑体" w:cs="黑体"/>
          <w:b w:val="0"/>
          <w:bCs/>
          <w:color w:val="000000"/>
          <w:sz w:val="32"/>
          <w:szCs w:val="32"/>
          <w:lang w:eastAsia="zh-CN"/>
        </w:rPr>
        <w:t>七、</w:t>
      </w:r>
      <w:r>
        <w:rPr>
          <w:rFonts w:hint="eastAsia" w:ascii="黑体" w:hAnsi="黑体" w:eastAsia="黑体" w:cs="黑体"/>
          <w:b w:val="0"/>
          <w:bCs/>
          <w:color w:val="000000"/>
          <w:sz w:val="32"/>
          <w:szCs w:val="32"/>
        </w:rPr>
        <w:t>承检机构信息</w:t>
      </w:r>
    </w:p>
    <w:p>
      <w:pPr>
        <w:keepNext w:val="0"/>
        <w:keepLines w:val="0"/>
        <w:pageBreakBefore w:val="0"/>
        <w:kinsoku/>
        <w:wordWrap/>
        <w:overflowPunct/>
        <w:topLinePunct/>
        <w:autoSpaceDE/>
        <w:autoSpaceDN/>
        <w:bidi w:val="0"/>
        <w:adjustRightInd w:val="0"/>
        <w:spacing w:line="560"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名    称：</w:t>
      </w:r>
      <w:r>
        <w:rPr>
          <w:rFonts w:hint="eastAsia" w:ascii="仿宋_GB2312" w:hAnsi="仿宋_GB2312" w:eastAsia="仿宋_GB2312" w:cs="仿宋_GB2312"/>
          <w:color w:val="000000"/>
          <w:sz w:val="32"/>
          <w:szCs w:val="32"/>
          <w:lang w:eastAsia="zh-CN"/>
        </w:rPr>
        <w:t>山东精准产品质量检测有限公司</w:t>
      </w:r>
    </w:p>
    <w:p>
      <w:pPr>
        <w:keepNext w:val="0"/>
        <w:keepLines w:val="0"/>
        <w:pageBreakBefore w:val="0"/>
        <w:kinsoku/>
        <w:wordWrap/>
        <w:overflowPunct/>
        <w:topLinePunct/>
        <w:autoSpaceDE/>
        <w:autoSpaceDN/>
        <w:bidi w:val="0"/>
        <w:adjustRightInd w:val="0"/>
        <w:spacing w:line="560" w:lineRule="exact"/>
        <w:ind w:firstLine="640" w:firstLineChars="200"/>
        <w:textAlignment w:val="auto"/>
        <w:rPr>
          <w:rFonts w:hint="eastAsia" w:ascii="仿宋_GB2312" w:hAnsi="仿宋_GB2312" w:eastAsia="仿宋_GB2312" w:cs="仿宋_GB2312"/>
          <w:color w:val="000000"/>
          <w:sz w:val="32"/>
          <w:szCs w:val="32"/>
          <w:highlight w:val="none"/>
          <w:lang w:val="en-US"/>
        </w:rPr>
      </w:pPr>
      <w:r>
        <w:rPr>
          <w:rFonts w:hint="eastAsia" w:ascii="仿宋_GB2312" w:hAnsi="仿宋_GB2312" w:eastAsia="仿宋_GB2312" w:cs="仿宋_GB2312"/>
          <w:color w:val="000000"/>
          <w:sz w:val="32"/>
          <w:szCs w:val="32"/>
        </w:rPr>
        <w:t>地    址：</w:t>
      </w:r>
      <w:r>
        <w:rPr>
          <w:rFonts w:hint="eastAsia" w:ascii="仿宋_GB2312" w:hAnsi="仿宋_GB2312" w:eastAsia="仿宋_GB2312" w:cs="仿宋_GB2312"/>
          <w:color w:val="000000"/>
          <w:sz w:val="32"/>
          <w:szCs w:val="32"/>
          <w:lang w:eastAsia="zh-CN"/>
        </w:rPr>
        <w:t>山东省菏泽市高新区中华西路</w:t>
      </w:r>
      <w:r>
        <w:rPr>
          <w:rFonts w:hint="eastAsia" w:ascii="仿宋_GB2312" w:hAnsi="仿宋_GB2312" w:eastAsia="仿宋_GB2312" w:cs="仿宋_GB2312"/>
          <w:color w:val="000000"/>
          <w:sz w:val="32"/>
          <w:szCs w:val="32"/>
          <w:lang w:val="en-US" w:eastAsia="zh-CN"/>
        </w:rPr>
        <w:t>2059号西楼菏泽</w:t>
      </w:r>
      <w:r>
        <w:rPr>
          <w:rFonts w:hint="eastAsia" w:ascii="仿宋_GB2312" w:hAnsi="仿宋_GB2312" w:eastAsia="仿宋_GB2312" w:cs="仿宋_GB2312"/>
          <w:color w:val="000000"/>
          <w:sz w:val="32"/>
          <w:szCs w:val="32"/>
          <w:highlight w:val="none"/>
          <w:lang w:val="en-US" w:eastAsia="zh-CN"/>
        </w:rPr>
        <w:t>高新区金融总部经济园区685室/九为产业园内</w:t>
      </w:r>
    </w:p>
    <w:p>
      <w:pPr>
        <w:keepNext w:val="0"/>
        <w:keepLines w:val="0"/>
        <w:pageBreakBefore w:val="0"/>
        <w:widowControl/>
        <w:tabs>
          <w:tab w:val="left" w:pos="720"/>
        </w:tabs>
        <w:kinsoku/>
        <w:wordWrap/>
        <w:overflowPunct/>
        <w:autoSpaceDE/>
        <w:autoSpaceDN/>
        <w:bidi w:val="0"/>
        <w:adjustRightInd w:val="0"/>
        <w:snapToGrid/>
        <w:spacing w:line="560" w:lineRule="exact"/>
        <w:ind w:firstLine="640" w:firstLineChars="200"/>
        <w:jc w:val="left"/>
        <w:textAlignment w:val="auto"/>
        <w:outlineLvl w:val="0"/>
        <w:rPr>
          <w:rFonts w:hint="eastAsia" w:ascii="黑体" w:hAnsi="黑体" w:eastAsia="黑体" w:cs="黑体"/>
          <w:b w:val="0"/>
          <w:bCs/>
          <w:color w:val="000000"/>
          <w:sz w:val="32"/>
          <w:szCs w:val="32"/>
          <w:lang w:eastAsia="zh-CN"/>
        </w:rPr>
      </w:pPr>
      <w:r>
        <w:rPr>
          <w:rFonts w:hint="eastAsia" w:ascii="黑体" w:hAnsi="黑体" w:eastAsia="黑体" w:cs="黑体"/>
          <w:b w:val="0"/>
          <w:bCs/>
          <w:color w:val="000000"/>
          <w:sz w:val="32"/>
          <w:szCs w:val="32"/>
          <w:lang w:val="en-US" w:eastAsia="zh-CN"/>
        </w:rPr>
        <w:t>八、</w:t>
      </w:r>
      <w:r>
        <w:rPr>
          <w:rFonts w:hint="eastAsia" w:ascii="黑体" w:hAnsi="黑体" w:eastAsia="黑体" w:cs="黑体"/>
          <w:b w:val="0"/>
          <w:bCs/>
          <w:color w:val="000000"/>
          <w:sz w:val="32"/>
          <w:szCs w:val="32"/>
          <w:lang w:eastAsia="zh-CN"/>
        </w:rPr>
        <w:t>监督抽查工作要求</w:t>
      </w:r>
    </w:p>
    <w:p>
      <w:pPr>
        <w:keepNext w:val="0"/>
        <w:keepLines w:val="0"/>
        <w:pageBreakBefore w:val="0"/>
        <w:kinsoku/>
        <w:wordWrap/>
        <w:overflowPunct/>
        <w:topLinePunct/>
        <w:autoSpaceDE/>
        <w:autoSpaceDN/>
        <w:bidi w:val="0"/>
        <w:adjustRightInd w:val="0"/>
        <w:spacing w:line="560"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highlight w:val="none"/>
          <w:lang w:val="en-US" w:eastAsia="zh-CN"/>
        </w:rPr>
        <w:t>（一）监督抽查工作要严格按照国家市场监督管理总局公布的《产品质量监督抽查管理暂行办法》《2026年儋州市烟花爆竹产品质量监督抽查实施细则》相</w:t>
      </w:r>
      <w:r>
        <w:rPr>
          <w:rFonts w:hint="eastAsia" w:ascii="仿宋_GB2312" w:hAnsi="仿宋_GB2312" w:eastAsia="仿宋_GB2312" w:cs="仿宋_GB2312"/>
          <w:color w:val="000000"/>
          <w:sz w:val="32"/>
          <w:szCs w:val="32"/>
          <w:lang w:val="en-US" w:eastAsia="zh-CN"/>
        </w:rPr>
        <w:t>关规定开展，严格规范抽检程序，不得随意抽检。</w:t>
      </w:r>
    </w:p>
    <w:p>
      <w:pPr>
        <w:keepNext w:val="0"/>
        <w:keepLines w:val="0"/>
        <w:pageBreakBefore w:val="0"/>
        <w:kinsoku/>
        <w:wordWrap/>
        <w:overflowPunct/>
        <w:topLinePunct/>
        <w:autoSpaceDE/>
        <w:autoSpaceDN/>
        <w:bidi w:val="0"/>
        <w:adjustRightInd w:val="0"/>
        <w:spacing w:line="560"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二）抽样人员应规范着装持证，按方案规定抽取样品。实行抽检分离制度。除现场检验外，抽样人员不得承担其抽样产品的检验工作。要确保样品的代表性、科学性，要覆盖高中低档及一定的品牌、场所；要对样品进行确认，确保检测样品与备检样品为同一规格型号/生产批次；要认真填写抽样工作单，要求字迹清晰，信息完整，须与产品标签内容完全一致，应标明样品类别及样品等级，不得缺项、漏项，销售者及抽样人员要现场签字确认；要对样品进行现场拍照留存，样品运输要保证样品的完整与安全；对被抽检经营者要履行好告知义务，保护好经营者合法权益。</w:t>
      </w:r>
    </w:p>
    <w:p>
      <w:pPr>
        <w:keepNext w:val="0"/>
        <w:keepLines w:val="0"/>
        <w:pageBreakBefore w:val="0"/>
        <w:kinsoku/>
        <w:wordWrap/>
        <w:overflowPunct/>
        <w:topLinePunct/>
        <w:autoSpaceDE/>
        <w:autoSpaceDN/>
        <w:bidi w:val="0"/>
        <w:adjustRightInd w:val="0"/>
        <w:spacing w:line="560"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（三）承检机构应当在委托范围内开展抽样、检验工作，保证抽样、检验工作及其结果的客观、公正、真实。</w:t>
      </w:r>
    </w:p>
    <w:p>
      <w:pPr>
        <w:keepNext w:val="0"/>
        <w:keepLines w:val="0"/>
        <w:pageBreakBefore w:val="0"/>
        <w:widowControl/>
        <w:tabs>
          <w:tab w:val="left" w:pos="720"/>
        </w:tabs>
        <w:kinsoku/>
        <w:wordWrap/>
        <w:overflowPunct/>
        <w:autoSpaceDE/>
        <w:autoSpaceDN/>
        <w:bidi w:val="0"/>
        <w:adjustRightInd w:val="0"/>
        <w:snapToGrid/>
        <w:spacing w:line="560" w:lineRule="exact"/>
        <w:ind w:firstLine="640" w:firstLineChars="200"/>
        <w:jc w:val="left"/>
        <w:textAlignment w:val="auto"/>
        <w:outlineLvl w:val="0"/>
        <w:rPr>
          <w:rFonts w:hint="eastAsia" w:ascii="黑体" w:hAnsi="黑体" w:eastAsia="黑体" w:cs="黑体"/>
          <w:b w:val="0"/>
          <w:bCs/>
          <w:color w:val="000000"/>
          <w:sz w:val="32"/>
          <w:szCs w:val="32"/>
          <w:lang w:val="en-US" w:eastAsia="zh-CN"/>
        </w:rPr>
      </w:pPr>
      <w:r>
        <w:rPr>
          <w:rFonts w:hint="eastAsia" w:ascii="黑体" w:hAnsi="黑体" w:eastAsia="黑体" w:cs="黑体"/>
          <w:b w:val="0"/>
          <w:bCs/>
          <w:color w:val="000000"/>
          <w:sz w:val="32"/>
          <w:szCs w:val="32"/>
          <w:lang w:val="en-US" w:eastAsia="zh-CN"/>
        </w:rPr>
        <w:t>九、其他应注意的事项</w:t>
      </w:r>
    </w:p>
    <w:p>
      <w:pPr>
        <w:keepNext w:val="0"/>
        <w:keepLines w:val="0"/>
        <w:pageBreakBefore w:val="0"/>
        <w:kinsoku/>
        <w:wordWrap/>
        <w:overflowPunct/>
        <w:autoSpaceDE/>
        <w:autoSpaceDN/>
        <w:bidi w:val="0"/>
        <w:snapToGrid w:val="0"/>
        <w:spacing w:line="560" w:lineRule="exact"/>
        <w:ind w:firstLine="640" w:firstLineChars="200"/>
        <w:textAlignment w:val="auto"/>
        <w:rPr>
          <w:rFonts w:hint="eastAsia" w:ascii="楷体" w:hAnsi="楷体" w:eastAsia="楷体" w:cs="楷体"/>
          <w:b w:val="0"/>
          <w:bCs w:val="0"/>
          <w:color w:val="auto"/>
          <w:sz w:val="32"/>
          <w:szCs w:val="32"/>
          <w:highlight w:val="none"/>
        </w:rPr>
      </w:pPr>
      <w:r>
        <w:rPr>
          <w:rFonts w:hint="eastAsia" w:ascii="楷体" w:hAnsi="楷体" w:eastAsia="楷体" w:cs="楷体"/>
          <w:b w:val="0"/>
          <w:bCs w:val="0"/>
          <w:color w:val="auto"/>
          <w:sz w:val="32"/>
          <w:szCs w:val="32"/>
          <w:highlight w:val="none"/>
          <w:lang w:val="en-US" w:eastAsia="zh-CN"/>
        </w:rPr>
        <w:t>（一）</w:t>
      </w:r>
      <w:r>
        <w:rPr>
          <w:rFonts w:hint="eastAsia" w:ascii="楷体" w:hAnsi="楷体" w:eastAsia="楷体" w:cs="楷体"/>
          <w:b w:val="0"/>
          <w:bCs w:val="0"/>
          <w:color w:val="auto"/>
          <w:sz w:val="32"/>
          <w:szCs w:val="32"/>
          <w:highlight w:val="none"/>
        </w:rPr>
        <w:t>异议处理</w:t>
      </w:r>
    </w:p>
    <w:p>
      <w:pPr>
        <w:pStyle w:val="40"/>
        <w:keepNext w:val="0"/>
        <w:keepLines w:val="0"/>
        <w:pageBreakBefore w:val="0"/>
        <w:numPr>
          <w:ilvl w:val="0"/>
          <w:numId w:val="0"/>
        </w:numPr>
        <w:kinsoku/>
        <w:wordWrap/>
        <w:overflowPunct/>
        <w:autoSpaceDE/>
        <w:autoSpaceDN/>
        <w:bidi w:val="0"/>
        <w:spacing w:line="560" w:lineRule="exact"/>
        <w:ind w:leftChars="0" w:firstLine="640" w:firstLineChars="200"/>
        <w:jc w:val="left"/>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对判定不合格产品进行异议处理时，按以下方式进行：</w:t>
      </w:r>
    </w:p>
    <w:p>
      <w:pPr>
        <w:pStyle w:val="40"/>
        <w:keepNext w:val="0"/>
        <w:keepLines w:val="0"/>
        <w:pageBreakBefore w:val="0"/>
        <w:numPr>
          <w:ilvl w:val="0"/>
          <w:numId w:val="0"/>
        </w:numPr>
        <w:kinsoku/>
        <w:wordWrap/>
        <w:overflowPunct/>
        <w:autoSpaceDE/>
        <w:autoSpaceDN/>
        <w:bidi w:val="0"/>
        <w:spacing w:line="560" w:lineRule="exact"/>
        <w:ind w:leftChars="0" w:firstLine="640" w:firstLineChars="200"/>
        <w:jc w:val="left"/>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核查不合格项目相关证据，能够以记录（纸质记录或电子记录或影像记录）或与不合格项目相关联的其它质量数据等检验证据证明，并得到被检方认可的，维持原有检验结论不变。</w:t>
      </w:r>
    </w:p>
    <w:p>
      <w:pPr>
        <w:pStyle w:val="40"/>
        <w:keepNext w:val="0"/>
        <w:keepLines w:val="0"/>
        <w:pageBreakBefore w:val="0"/>
        <w:numPr>
          <w:ilvl w:val="0"/>
          <w:numId w:val="0"/>
        </w:numPr>
        <w:kinsoku/>
        <w:wordWrap/>
        <w:overflowPunct/>
        <w:autoSpaceDE/>
        <w:autoSpaceDN/>
        <w:bidi w:val="0"/>
        <w:spacing w:line="560" w:lineRule="exact"/>
        <w:ind w:leftChars="0" w:firstLine="640" w:firstLineChars="200"/>
        <w:jc w:val="left"/>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对需要复检并具备检验条件的，处理企业异议的市场监督管理部门或者指定检验机构应当按原监督抽查方案对留存的样品或抽取的备用样品组织复检，并出具检验报告。复检结论为最终结论。</w:t>
      </w:r>
    </w:p>
    <w:p>
      <w:pPr>
        <w:pStyle w:val="40"/>
        <w:keepNext w:val="0"/>
        <w:keepLines w:val="0"/>
        <w:pageBreakBefore w:val="0"/>
        <w:numPr>
          <w:ilvl w:val="0"/>
          <w:numId w:val="0"/>
        </w:numPr>
        <w:kinsoku/>
        <w:wordWrap/>
        <w:overflowPunct/>
        <w:autoSpaceDE/>
        <w:autoSpaceDN/>
        <w:bidi w:val="0"/>
        <w:spacing w:line="560" w:lineRule="exact"/>
        <w:ind w:leftChars="0" w:firstLine="640" w:firstLineChars="200"/>
        <w:jc w:val="left"/>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被抽样生产者、销售者有异议的，应当自收到检验结论书面告知之日起十五日内向组织监督抽查的市场监督管理部门提出书面异议处理申请，并提交相关材料。</w:t>
      </w:r>
    </w:p>
    <w:p>
      <w:pPr>
        <w:pStyle w:val="40"/>
        <w:keepNext w:val="0"/>
        <w:keepLines w:val="0"/>
        <w:pageBreakBefore w:val="0"/>
        <w:numPr>
          <w:ilvl w:val="0"/>
          <w:numId w:val="0"/>
        </w:numPr>
        <w:kinsoku/>
        <w:wordWrap/>
        <w:overflowPunct/>
        <w:autoSpaceDE/>
        <w:autoSpaceDN/>
        <w:bidi w:val="0"/>
        <w:spacing w:line="560" w:lineRule="exact"/>
        <w:ind w:leftChars="0" w:firstLine="640" w:firstLineChars="200"/>
        <w:jc w:val="left"/>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被抽样生产者、销售者对抽样过程、样品真实性等有异议的，收到异议处理申请的市场监督管理部门应当组织异议处理，并将处理结论书面告知申请人。</w:t>
      </w:r>
    </w:p>
    <w:p>
      <w:pPr>
        <w:pStyle w:val="40"/>
        <w:keepNext w:val="0"/>
        <w:keepLines w:val="0"/>
        <w:pageBreakBefore w:val="0"/>
        <w:numPr>
          <w:ilvl w:val="0"/>
          <w:numId w:val="0"/>
        </w:numPr>
        <w:kinsoku/>
        <w:wordWrap/>
        <w:overflowPunct/>
        <w:autoSpaceDE/>
        <w:autoSpaceDN/>
        <w:bidi w:val="0"/>
        <w:spacing w:line="560" w:lineRule="exact"/>
        <w:ind w:leftChars="0" w:firstLine="640" w:firstLineChars="200"/>
        <w:jc w:val="left"/>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被抽样生产者、销售者对检验结论有异议，提出书面复检申请并阐明理由的，收到异议处理申请的市场监督管理部门应当组织研究。对需要复检并具备检验条件的，应当组织复检。</w:t>
      </w:r>
    </w:p>
    <w:p>
      <w:pPr>
        <w:pStyle w:val="40"/>
        <w:keepNext w:val="0"/>
        <w:keepLines w:val="0"/>
        <w:pageBreakBefore w:val="0"/>
        <w:numPr>
          <w:ilvl w:val="0"/>
          <w:numId w:val="0"/>
        </w:numPr>
        <w:kinsoku/>
        <w:wordWrap/>
        <w:overflowPunct/>
        <w:autoSpaceDE/>
        <w:autoSpaceDN/>
        <w:bidi w:val="0"/>
        <w:spacing w:line="560" w:lineRule="exact"/>
        <w:ind w:leftChars="0" w:firstLine="640" w:firstLineChars="200"/>
        <w:jc w:val="left"/>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除不以破坏性试验方式进行检验，并且不会对样品质量造成实质性影响的外，组织复检的市场监督管理部门应当向被抽样生产者、销售者支付备用样品费用。</w:t>
      </w:r>
    </w:p>
    <w:p>
      <w:pPr>
        <w:pStyle w:val="40"/>
        <w:keepNext w:val="0"/>
        <w:keepLines w:val="0"/>
        <w:pageBreakBefore w:val="0"/>
        <w:numPr>
          <w:ilvl w:val="0"/>
          <w:numId w:val="0"/>
        </w:numPr>
        <w:kinsoku/>
        <w:wordWrap/>
        <w:overflowPunct/>
        <w:autoSpaceDE/>
        <w:autoSpaceDN/>
        <w:bidi w:val="0"/>
        <w:spacing w:line="560" w:lineRule="exact"/>
        <w:ind w:leftChars="0" w:firstLine="640" w:firstLineChars="200"/>
        <w:jc w:val="left"/>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申请人应当自收到市场监督管理部门复检通知之日起七日内办理复检手续。逾期未办理的，视为放弃复检。</w:t>
      </w:r>
    </w:p>
    <w:p>
      <w:pPr>
        <w:pStyle w:val="40"/>
        <w:keepNext w:val="0"/>
        <w:keepLines w:val="0"/>
        <w:pageBreakBefore w:val="0"/>
        <w:numPr>
          <w:ilvl w:val="0"/>
          <w:numId w:val="0"/>
        </w:numPr>
        <w:kinsoku/>
        <w:wordWrap/>
        <w:overflowPunct/>
        <w:autoSpaceDE/>
        <w:autoSpaceDN/>
        <w:bidi w:val="0"/>
        <w:spacing w:line="560" w:lineRule="exact"/>
        <w:ind w:leftChars="0" w:firstLine="640" w:firstLineChars="200"/>
        <w:jc w:val="left"/>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市场监督管理部门应当自申请人办理复检手续之日起十日内确定具备相应资质的检验机构进行复检。</w:t>
      </w:r>
    </w:p>
    <w:p>
      <w:pPr>
        <w:pStyle w:val="40"/>
        <w:keepNext w:val="0"/>
        <w:keepLines w:val="0"/>
        <w:pageBreakBefore w:val="0"/>
        <w:numPr>
          <w:ilvl w:val="0"/>
          <w:numId w:val="0"/>
        </w:numPr>
        <w:kinsoku/>
        <w:wordWrap/>
        <w:overflowPunct/>
        <w:autoSpaceDE/>
        <w:autoSpaceDN/>
        <w:bidi w:val="0"/>
        <w:spacing w:line="560" w:lineRule="exact"/>
        <w:ind w:leftChars="0" w:firstLine="640" w:firstLineChars="200"/>
        <w:jc w:val="left"/>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被抽样生产者、销售者隐匿、转移、变卖、损毁备用样品的，应当终止复检，并以初检结论为最终结论。</w:t>
      </w:r>
    </w:p>
    <w:p>
      <w:pPr>
        <w:pStyle w:val="40"/>
        <w:keepNext w:val="0"/>
        <w:keepLines w:val="0"/>
        <w:pageBreakBefore w:val="0"/>
        <w:numPr>
          <w:ilvl w:val="0"/>
          <w:numId w:val="0"/>
        </w:numPr>
        <w:kinsoku/>
        <w:wordWrap/>
        <w:overflowPunct/>
        <w:autoSpaceDE/>
        <w:autoSpaceDN/>
        <w:bidi w:val="0"/>
        <w:spacing w:line="560" w:lineRule="exact"/>
        <w:ind w:leftChars="0" w:firstLine="640" w:firstLineChars="200"/>
        <w:jc w:val="left"/>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复检机构应当通过拍照或者录像的方式检查记录备用样品的外观、状态、封条有无破损以及其他可能对检验结论产生影响的情形，并核对备用样品与抽样文书的记录是否相符。</w:t>
      </w:r>
    </w:p>
    <w:p>
      <w:pPr>
        <w:pStyle w:val="40"/>
        <w:keepNext w:val="0"/>
        <w:keepLines w:val="0"/>
        <w:pageBreakBefore w:val="0"/>
        <w:numPr>
          <w:ilvl w:val="0"/>
          <w:numId w:val="0"/>
        </w:numPr>
        <w:kinsoku/>
        <w:wordWrap/>
        <w:overflowPunct/>
        <w:autoSpaceDE/>
        <w:autoSpaceDN/>
        <w:bidi w:val="0"/>
        <w:spacing w:line="560" w:lineRule="exact"/>
        <w:ind w:leftChars="0" w:firstLine="640" w:firstLineChars="200"/>
        <w:jc w:val="left"/>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复检机构应当在规定时间内按照监督抽查实施规范所规定的检验方法、判定规则等对与异议相关的检验项目进行复检，并将复检结论及时报送组织复检的市场监督管理部门，由组织复检的市场监督管理部门书面告知复检申请人。复检结论为最终结论。</w:t>
      </w:r>
    </w:p>
    <w:p>
      <w:pPr>
        <w:pStyle w:val="40"/>
        <w:keepNext w:val="0"/>
        <w:keepLines w:val="0"/>
        <w:pageBreakBefore w:val="0"/>
        <w:numPr>
          <w:ilvl w:val="0"/>
          <w:numId w:val="0"/>
        </w:numPr>
        <w:kinsoku/>
        <w:wordWrap/>
        <w:overflowPunct/>
        <w:autoSpaceDE/>
        <w:autoSpaceDN/>
        <w:bidi w:val="0"/>
        <w:spacing w:line="560" w:lineRule="exact"/>
        <w:ind w:leftChars="0" w:firstLine="640" w:firstLineChars="200"/>
        <w:jc w:val="left"/>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复检费用由申请人向复检机构先行支付。复检结论与初检结论一致的，复检费用由申请人承担；与初检结论不一致的，复检费用由组织监督抽查的市场监督管理部门承担。</w:t>
      </w:r>
    </w:p>
    <w:p>
      <w:pPr>
        <w:keepNext w:val="0"/>
        <w:keepLines w:val="0"/>
        <w:pageBreakBefore w:val="0"/>
        <w:kinsoku/>
        <w:wordWrap/>
        <w:overflowPunct/>
        <w:autoSpaceDE/>
        <w:autoSpaceDN/>
        <w:bidi w:val="0"/>
        <w:snapToGrid w:val="0"/>
        <w:spacing w:line="560" w:lineRule="exact"/>
        <w:ind w:firstLine="640" w:firstLineChars="200"/>
        <w:textAlignment w:val="auto"/>
        <w:rPr>
          <w:rFonts w:hint="eastAsia" w:ascii="楷体" w:hAnsi="楷体" w:eastAsia="楷体" w:cs="楷体"/>
          <w:b w:val="0"/>
          <w:bCs w:val="0"/>
          <w:color w:val="auto"/>
          <w:sz w:val="32"/>
          <w:szCs w:val="32"/>
          <w:highlight w:val="none"/>
          <w:lang w:val="en-US" w:eastAsia="zh-CN"/>
        </w:rPr>
      </w:pPr>
      <w:r>
        <w:rPr>
          <w:rFonts w:hint="eastAsia" w:ascii="楷体" w:hAnsi="楷体" w:eastAsia="楷体" w:cs="楷体"/>
          <w:b w:val="0"/>
          <w:bCs w:val="0"/>
          <w:color w:val="auto"/>
          <w:sz w:val="32"/>
          <w:szCs w:val="32"/>
          <w:highlight w:val="none"/>
          <w:lang w:val="en-US" w:eastAsia="zh-CN"/>
        </w:rPr>
        <w:t>（二）有下列情形之一的，抽样人员不得抽样：</w:t>
      </w:r>
    </w:p>
    <w:p>
      <w:pPr>
        <w:pStyle w:val="40"/>
        <w:keepNext w:val="0"/>
        <w:keepLines w:val="0"/>
        <w:pageBreakBefore w:val="0"/>
        <w:numPr>
          <w:ilvl w:val="0"/>
          <w:numId w:val="0"/>
        </w:numPr>
        <w:kinsoku/>
        <w:wordWrap/>
        <w:overflowPunct/>
        <w:autoSpaceDE/>
        <w:autoSpaceDN/>
        <w:bidi w:val="0"/>
        <w:spacing w:line="560" w:lineRule="exact"/>
        <w:ind w:leftChars="0" w:firstLine="640" w:firstLineChars="200"/>
        <w:jc w:val="left"/>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1.待销产品数量不符合监督抽查实施规范要求的；</w:t>
      </w:r>
    </w:p>
    <w:p>
      <w:pPr>
        <w:pStyle w:val="40"/>
        <w:keepNext w:val="0"/>
        <w:keepLines w:val="0"/>
        <w:pageBreakBefore w:val="0"/>
        <w:numPr>
          <w:ilvl w:val="0"/>
          <w:numId w:val="0"/>
        </w:numPr>
        <w:kinsoku/>
        <w:wordWrap/>
        <w:overflowPunct/>
        <w:autoSpaceDE/>
        <w:autoSpaceDN/>
        <w:bidi w:val="0"/>
        <w:spacing w:line="560" w:lineRule="exact"/>
        <w:ind w:leftChars="0" w:firstLine="640" w:firstLineChars="200"/>
        <w:jc w:val="left"/>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2.有充分证据表明拟抽样产品不用于销售，或者只用于出口并且出口合同对产品质量另有约定的；</w:t>
      </w:r>
    </w:p>
    <w:p>
      <w:pPr>
        <w:pStyle w:val="40"/>
        <w:keepNext w:val="0"/>
        <w:keepLines w:val="0"/>
        <w:pageBreakBefore w:val="0"/>
        <w:numPr>
          <w:ilvl w:val="0"/>
          <w:numId w:val="0"/>
        </w:numPr>
        <w:kinsoku/>
        <w:wordWrap/>
        <w:overflowPunct/>
        <w:autoSpaceDE/>
        <w:autoSpaceDN/>
        <w:bidi w:val="0"/>
        <w:spacing w:line="560" w:lineRule="exact"/>
        <w:ind w:leftChars="0" w:firstLine="640" w:firstLineChars="200"/>
        <w:jc w:val="left"/>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3.产品或者其包装上标注“试制”“处理”</w:t>
      </w:r>
      <w:bookmarkStart w:id="9" w:name="_GoBack"/>
      <w:bookmarkEnd w:id="9"/>
      <w:r>
        <w:rPr>
          <w:rFonts w:hint="eastAsia" w:ascii="仿宋_GB2312" w:hAnsi="仿宋_GB2312" w:eastAsia="仿宋_GB2312" w:cs="仿宋_GB2312"/>
          <w:color w:val="000000"/>
          <w:kern w:val="2"/>
          <w:sz w:val="32"/>
          <w:szCs w:val="32"/>
          <w:lang w:val="en-US" w:eastAsia="zh-CN" w:bidi="ar-SA"/>
        </w:rPr>
        <w:t>“样品”等字样的。</w:t>
      </w:r>
    </w:p>
    <w:sectPr>
      <w:footerReference r:id="rId3" w:type="default"/>
      <w:pgSz w:w="11906" w:h="16838"/>
      <w:pgMar w:top="2098" w:right="1474" w:bottom="1984"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altName w:val="Georgia"/>
    <w:panose1 w:val="02040503050406030204"/>
    <w:charset w:val="00"/>
    <w:family w:val="roman"/>
    <w:pitch w:val="default"/>
    <w:sig w:usb0="00000000" w:usb1="00000000" w:usb2="00000000" w:usb3="00000000" w:csb0="2000019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MingLiU">
    <w:altName w:val="宋体"/>
    <w:panose1 w:val="02020509000000000000"/>
    <w:charset w:val="88"/>
    <w:family w:val="modern"/>
    <w:pitch w:val="default"/>
    <w:sig w:usb0="00000000" w:usb1="00000000" w:usb2="00000016" w:usb3="00000000" w:csb0="00100001" w:csb1="00000000"/>
  </w:font>
  <w:font w:name="方正小标宋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Georgia">
    <w:panose1 w:val="02040502050405020303"/>
    <w:charset w:val="00"/>
    <w:family w:val="auto"/>
    <w:pitch w:val="default"/>
    <w:sig w:usb0="00000287" w:usb1="00000000" w:usb2="00000000" w:usb3="00000000" w:csb0="2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PAGE   \* MERGEFORMAT</w:instrText>
                          </w:r>
                          <w:r>
                            <w:rPr>
                              <w:rFonts w:hint="eastAsia" w:ascii="宋体" w:hAnsi="宋体" w:eastAsia="宋体" w:cs="宋体"/>
                              <w:sz w:val="28"/>
                              <w:szCs w:val="28"/>
                            </w:rPr>
                            <w:fldChar w:fldCharType="separate"/>
                          </w:r>
                          <w:r>
                            <w:rPr>
                              <w:rFonts w:hint="eastAsia" w:ascii="宋体" w:hAnsi="宋体" w:eastAsia="宋体" w:cs="宋体"/>
                              <w:sz w:val="28"/>
                              <w:szCs w:val="28"/>
                              <w:lang w:val="zh-CN"/>
                            </w:rPr>
                            <w:t>1</w:t>
                          </w:r>
                          <w:r>
                            <w:rPr>
                              <w:rFonts w:hint="eastAsia" w:ascii="宋体" w:hAnsi="宋体" w:eastAsia="宋体" w:cs="宋体"/>
                              <w:sz w:val="28"/>
                              <w:szCs w:val="28"/>
                              <w:lang w:val="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3"/>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PAGE   \* MERGEFORMAT</w:instrText>
                    </w:r>
                    <w:r>
                      <w:rPr>
                        <w:rFonts w:hint="eastAsia" w:ascii="宋体" w:hAnsi="宋体" w:eastAsia="宋体" w:cs="宋体"/>
                        <w:sz w:val="28"/>
                        <w:szCs w:val="28"/>
                      </w:rPr>
                      <w:fldChar w:fldCharType="separate"/>
                    </w:r>
                    <w:r>
                      <w:rPr>
                        <w:rFonts w:hint="eastAsia" w:ascii="宋体" w:hAnsi="宋体" w:eastAsia="宋体" w:cs="宋体"/>
                        <w:sz w:val="28"/>
                        <w:szCs w:val="28"/>
                        <w:lang w:val="zh-CN"/>
                      </w:rPr>
                      <w:t>1</w:t>
                    </w:r>
                    <w:r>
                      <w:rPr>
                        <w:rFonts w:hint="eastAsia" w:ascii="宋体" w:hAnsi="宋体" w:eastAsia="宋体" w:cs="宋体"/>
                        <w:sz w:val="28"/>
                        <w:szCs w:val="28"/>
                        <w:lang w:val="zh-CN"/>
                      </w:rPr>
                      <w:fldChar w:fldCharType="end"/>
                    </w:r>
                  </w:p>
                </w:txbxContent>
              </v:textbox>
            </v:shape>
          </w:pict>
        </mc:Fallback>
      </mc:AlternateContent>
    </w:r>
  </w:p>
  <w:p>
    <w:pPr>
      <w:pStyle w:val="1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U2NzA3NmM4NGMwNjk4YWNlNGNlYjBlMGEzNDg0Y2EifQ=="/>
  </w:docVars>
  <w:rsids>
    <w:rsidRoot w:val="00083A21"/>
    <w:rsid w:val="00047315"/>
    <w:rsid w:val="00050E55"/>
    <w:rsid w:val="00083A21"/>
    <w:rsid w:val="000A11D7"/>
    <w:rsid w:val="000A43A4"/>
    <w:rsid w:val="000C7E04"/>
    <w:rsid w:val="00105641"/>
    <w:rsid w:val="0011281C"/>
    <w:rsid w:val="00133DB8"/>
    <w:rsid w:val="00154603"/>
    <w:rsid w:val="00161DA8"/>
    <w:rsid w:val="00167E91"/>
    <w:rsid w:val="001E2312"/>
    <w:rsid w:val="00221930"/>
    <w:rsid w:val="00224F77"/>
    <w:rsid w:val="00263EA8"/>
    <w:rsid w:val="002A7C53"/>
    <w:rsid w:val="002B2884"/>
    <w:rsid w:val="002E317A"/>
    <w:rsid w:val="00325266"/>
    <w:rsid w:val="003575AB"/>
    <w:rsid w:val="00361BB7"/>
    <w:rsid w:val="00370B3C"/>
    <w:rsid w:val="00387D28"/>
    <w:rsid w:val="00397716"/>
    <w:rsid w:val="003A1EBB"/>
    <w:rsid w:val="00431A76"/>
    <w:rsid w:val="00465A1B"/>
    <w:rsid w:val="0047238F"/>
    <w:rsid w:val="004E27AB"/>
    <w:rsid w:val="00541581"/>
    <w:rsid w:val="005779D4"/>
    <w:rsid w:val="005A461A"/>
    <w:rsid w:val="00610318"/>
    <w:rsid w:val="00670123"/>
    <w:rsid w:val="006A5A19"/>
    <w:rsid w:val="006C1A7B"/>
    <w:rsid w:val="006D47DA"/>
    <w:rsid w:val="006E3CD8"/>
    <w:rsid w:val="00750BB7"/>
    <w:rsid w:val="00767D33"/>
    <w:rsid w:val="007A761E"/>
    <w:rsid w:val="007C0A54"/>
    <w:rsid w:val="008531CA"/>
    <w:rsid w:val="00892259"/>
    <w:rsid w:val="008D70E4"/>
    <w:rsid w:val="00927AD2"/>
    <w:rsid w:val="00960995"/>
    <w:rsid w:val="009A483D"/>
    <w:rsid w:val="009B5C89"/>
    <w:rsid w:val="009C541A"/>
    <w:rsid w:val="00A114F9"/>
    <w:rsid w:val="00AC278D"/>
    <w:rsid w:val="00B229C2"/>
    <w:rsid w:val="00B42E07"/>
    <w:rsid w:val="00C01315"/>
    <w:rsid w:val="00C02A51"/>
    <w:rsid w:val="00C52718"/>
    <w:rsid w:val="00CD554F"/>
    <w:rsid w:val="00D047DE"/>
    <w:rsid w:val="00D308AF"/>
    <w:rsid w:val="00D46C9E"/>
    <w:rsid w:val="00D538B2"/>
    <w:rsid w:val="00D60D6A"/>
    <w:rsid w:val="00D75579"/>
    <w:rsid w:val="00DF75BE"/>
    <w:rsid w:val="00E36015"/>
    <w:rsid w:val="00E371E1"/>
    <w:rsid w:val="00E37D3B"/>
    <w:rsid w:val="00E50A2F"/>
    <w:rsid w:val="00E768BB"/>
    <w:rsid w:val="00E81DC0"/>
    <w:rsid w:val="00E962D4"/>
    <w:rsid w:val="00EA27B2"/>
    <w:rsid w:val="00EA5501"/>
    <w:rsid w:val="00EF5654"/>
    <w:rsid w:val="00F0264C"/>
    <w:rsid w:val="00F07B7D"/>
    <w:rsid w:val="00F1758E"/>
    <w:rsid w:val="00F24034"/>
    <w:rsid w:val="00F611E4"/>
    <w:rsid w:val="00F668DF"/>
    <w:rsid w:val="00F7332C"/>
    <w:rsid w:val="00F80D42"/>
    <w:rsid w:val="00FB0F69"/>
    <w:rsid w:val="00FC701D"/>
    <w:rsid w:val="01014CA9"/>
    <w:rsid w:val="0112363F"/>
    <w:rsid w:val="011D0C62"/>
    <w:rsid w:val="0146105A"/>
    <w:rsid w:val="01487061"/>
    <w:rsid w:val="016750FB"/>
    <w:rsid w:val="01A41724"/>
    <w:rsid w:val="01C761D7"/>
    <w:rsid w:val="01FF0F05"/>
    <w:rsid w:val="02347CF7"/>
    <w:rsid w:val="0253306D"/>
    <w:rsid w:val="025D1870"/>
    <w:rsid w:val="027F2F56"/>
    <w:rsid w:val="028538CE"/>
    <w:rsid w:val="028B618D"/>
    <w:rsid w:val="02A76543"/>
    <w:rsid w:val="02EF492C"/>
    <w:rsid w:val="031E451D"/>
    <w:rsid w:val="035621AE"/>
    <w:rsid w:val="037774EE"/>
    <w:rsid w:val="03B17CB4"/>
    <w:rsid w:val="03C60832"/>
    <w:rsid w:val="03CF6589"/>
    <w:rsid w:val="040A28EB"/>
    <w:rsid w:val="040E1C49"/>
    <w:rsid w:val="043D64FC"/>
    <w:rsid w:val="046C750A"/>
    <w:rsid w:val="047D5273"/>
    <w:rsid w:val="048E605F"/>
    <w:rsid w:val="04A2231A"/>
    <w:rsid w:val="04C17E38"/>
    <w:rsid w:val="04C42EA2"/>
    <w:rsid w:val="04C96CA0"/>
    <w:rsid w:val="04CE3908"/>
    <w:rsid w:val="04DD5D12"/>
    <w:rsid w:val="05151950"/>
    <w:rsid w:val="05682C9B"/>
    <w:rsid w:val="05BE4C1A"/>
    <w:rsid w:val="05E05ABA"/>
    <w:rsid w:val="05F652DD"/>
    <w:rsid w:val="05FC729E"/>
    <w:rsid w:val="06343329"/>
    <w:rsid w:val="0635198C"/>
    <w:rsid w:val="064435DD"/>
    <w:rsid w:val="06594AAD"/>
    <w:rsid w:val="06691F53"/>
    <w:rsid w:val="0673513B"/>
    <w:rsid w:val="067F46F8"/>
    <w:rsid w:val="06BC70A2"/>
    <w:rsid w:val="06D1487F"/>
    <w:rsid w:val="07012F43"/>
    <w:rsid w:val="070D23A8"/>
    <w:rsid w:val="0744651C"/>
    <w:rsid w:val="076F18D4"/>
    <w:rsid w:val="079C3C62"/>
    <w:rsid w:val="07C913DA"/>
    <w:rsid w:val="07F03DB6"/>
    <w:rsid w:val="081421A0"/>
    <w:rsid w:val="08270FFF"/>
    <w:rsid w:val="083245C7"/>
    <w:rsid w:val="0833776F"/>
    <w:rsid w:val="08767C22"/>
    <w:rsid w:val="08AC2D35"/>
    <w:rsid w:val="08BE32AD"/>
    <w:rsid w:val="08CC2909"/>
    <w:rsid w:val="08FC70AE"/>
    <w:rsid w:val="091806F8"/>
    <w:rsid w:val="094620D8"/>
    <w:rsid w:val="09996637"/>
    <w:rsid w:val="09A5055E"/>
    <w:rsid w:val="09D81BAE"/>
    <w:rsid w:val="09EF717A"/>
    <w:rsid w:val="0A1E15AB"/>
    <w:rsid w:val="0A3C0E42"/>
    <w:rsid w:val="0A3E0435"/>
    <w:rsid w:val="0A646EE4"/>
    <w:rsid w:val="0A834B70"/>
    <w:rsid w:val="0A993FB0"/>
    <w:rsid w:val="0AA605C5"/>
    <w:rsid w:val="0AB83E77"/>
    <w:rsid w:val="0B1422AF"/>
    <w:rsid w:val="0B381EF4"/>
    <w:rsid w:val="0B513D38"/>
    <w:rsid w:val="0B524B73"/>
    <w:rsid w:val="0B7619B7"/>
    <w:rsid w:val="0BAA4876"/>
    <w:rsid w:val="0BB17127"/>
    <w:rsid w:val="0BD04779"/>
    <w:rsid w:val="0BF85E6F"/>
    <w:rsid w:val="0C877CDB"/>
    <w:rsid w:val="0CA27F6D"/>
    <w:rsid w:val="0CBC4269"/>
    <w:rsid w:val="0D004061"/>
    <w:rsid w:val="0D464D9C"/>
    <w:rsid w:val="0D546315"/>
    <w:rsid w:val="0D936EA5"/>
    <w:rsid w:val="0DA14390"/>
    <w:rsid w:val="0DB26E85"/>
    <w:rsid w:val="0DBC3DAF"/>
    <w:rsid w:val="0DCE562B"/>
    <w:rsid w:val="0DD02107"/>
    <w:rsid w:val="0DEA1BCB"/>
    <w:rsid w:val="0E1810AD"/>
    <w:rsid w:val="0E2624D8"/>
    <w:rsid w:val="0E4C7F3E"/>
    <w:rsid w:val="0EA53D44"/>
    <w:rsid w:val="0EAE78CD"/>
    <w:rsid w:val="0EC77D8F"/>
    <w:rsid w:val="0EDC268C"/>
    <w:rsid w:val="0EFC695D"/>
    <w:rsid w:val="0F0F7540"/>
    <w:rsid w:val="0F2A2810"/>
    <w:rsid w:val="0F2E5AE8"/>
    <w:rsid w:val="0F2E7896"/>
    <w:rsid w:val="0F5D00AE"/>
    <w:rsid w:val="0F961CFB"/>
    <w:rsid w:val="10262C0F"/>
    <w:rsid w:val="105D1DBB"/>
    <w:rsid w:val="106D2640"/>
    <w:rsid w:val="10AA71BC"/>
    <w:rsid w:val="10B85D27"/>
    <w:rsid w:val="10F95797"/>
    <w:rsid w:val="11182F76"/>
    <w:rsid w:val="111D12BD"/>
    <w:rsid w:val="112153AE"/>
    <w:rsid w:val="11230F50"/>
    <w:rsid w:val="112C2339"/>
    <w:rsid w:val="11495149"/>
    <w:rsid w:val="115170EF"/>
    <w:rsid w:val="11617FB9"/>
    <w:rsid w:val="116457F1"/>
    <w:rsid w:val="116C5ECE"/>
    <w:rsid w:val="117A6F6A"/>
    <w:rsid w:val="11944E0A"/>
    <w:rsid w:val="11AC1BE1"/>
    <w:rsid w:val="11D20E9D"/>
    <w:rsid w:val="122A7556"/>
    <w:rsid w:val="12363C26"/>
    <w:rsid w:val="126F48CC"/>
    <w:rsid w:val="127355F3"/>
    <w:rsid w:val="12BD245C"/>
    <w:rsid w:val="12C72B29"/>
    <w:rsid w:val="12D40754"/>
    <w:rsid w:val="13337B71"/>
    <w:rsid w:val="13755530"/>
    <w:rsid w:val="13B1443C"/>
    <w:rsid w:val="13C20EF5"/>
    <w:rsid w:val="140C2170"/>
    <w:rsid w:val="140C7662"/>
    <w:rsid w:val="14445DAD"/>
    <w:rsid w:val="14874664"/>
    <w:rsid w:val="148A53EC"/>
    <w:rsid w:val="14A606DB"/>
    <w:rsid w:val="14E6638F"/>
    <w:rsid w:val="14FB21D3"/>
    <w:rsid w:val="150F29E3"/>
    <w:rsid w:val="15583DC8"/>
    <w:rsid w:val="156A575E"/>
    <w:rsid w:val="157D3DBD"/>
    <w:rsid w:val="15905031"/>
    <w:rsid w:val="15B93289"/>
    <w:rsid w:val="15D76701"/>
    <w:rsid w:val="15DC2C19"/>
    <w:rsid w:val="15E55543"/>
    <w:rsid w:val="15F2378B"/>
    <w:rsid w:val="15F83515"/>
    <w:rsid w:val="16077093"/>
    <w:rsid w:val="161D28B4"/>
    <w:rsid w:val="162851B5"/>
    <w:rsid w:val="164F0FA8"/>
    <w:rsid w:val="167628AB"/>
    <w:rsid w:val="16BA5EB3"/>
    <w:rsid w:val="16BE21D6"/>
    <w:rsid w:val="170F4E4B"/>
    <w:rsid w:val="171E7347"/>
    <w:rsid w:val="1735378C"/>
    <w:rsid w:val="175618AE"/>
    <w:rsid w:val="17596A2C"/>
    <w:rsid w:val="176D414F"/>
    <w:rsid w:val="17BF5E77"/>
    <w:rsid w:val="17EE7D8F"/>
    <w:rsid w:val="181472E6"/>
    <w:rsid w:val="18300F2E"/>
    <w:rsid w:val="18301A46"/>
    <w:rsid w:val="18424D0B"/>
    <w:rsid w:val="18442827"/>
    <w:rsid w:val="18A1303A"/>
    <w:rsid w:val="18CA2EB4"/>
    <w:rsid w:val="192E0FC4"/>
    <w:rsid w:val="19341F4D"/>
    <w:rsid w:val="194734DA"/>
    <w:rsid w:val="19540841"/>
    <w:rsid w:val="19692893"/>
    <w:rsid w:val="19A905C1"/>
    <w:rsid w:val="19AF429D"/>
    <w:rsid w:val="19B5233D"/>
    <w:rsid w:val="1A024E33"/>
    <w:rsid w:val="1A266BC1"/>
    <w:rsid w:val="1A41514F"/>
    <w:rsid w:val="1A507839"/>
    <w:rsid w:val="1A512FD2"/>
    <w:rsid w:val="1A7555E0"/>
    <w:rsid w:val="1AEC17C4"/>
    <w:rsid w:val="1B0A0C30"/>
    <w:rsid w:val="1B1C060E"/>
    <w:rsid w:val="1B474FB9"/>
    <w:rsid w:val="1B4D6EDA"/>
    <w:rsid w:val="1B661617"/>
    <w:rsid w:val="1B6C00C4"/>
    <w:rsid w:val="1BCB6C8A"/>
    <w:rsid w:val="1BD012CE"/>
    <w:rsid w:val="1BDC4B08"/>
    <w:rsid w:val="1BDD02B3"/>
    <w:rsid w:val="1C1D5257"/>
    <w:rsid w:val="1C3D1B09"/>
    <w:rsid w:val="1C4B7A67"/>
    <w:rsid w:val="1C717389"/>
    <w:rsid w:val="1C803E12"/>
    <w:rsid w:val="1CC45CDD"/>
    <w:rsid w:val="1CE543D9"/>
    <w:rsid w:val="1CFE39F7"/>
    <w:rsid w:val="1D04257E"/>
    <w:rsid w:val="1D0B2294"/>
    <w:rsid w:val="1D186842"/>
    <w:rsid w:val="1D45405B"/>
    <w:rsid w:val="1D6E31E5"/>
    <w:rsid w:val="1DBA4138"/>
    <w:rsid w:val="1DDB32DF"/>
    <w:rsid w:val="1E3E561C"/>
    <w:rsid w:val="1E5C3042"/>
    <w:rsid w:val="1E65704C"/>
    <w:rsid w:val="1EBC0122"/>
    <w:rsid w:val="1EFC492E"/>
    <w:rsid w:val="1F091A58"/>
    <w:rsid w:val="1F0C4386"/>
    <w:rsid w:val="1F4B301F"/>
    <w:rsid w:val="1F9F4675"/>
    <w:rsid w:val="1FE67734"/>
    <w:rsid w:val="1FF14092"/>
    <w:rsid w:val="1FFF055B"/>
    <w:rsid w:val="2007660D"/>
    <w:rsid w:val="20350D2A"/>
    <w:rsid w:val="20367403"/>
    <w:rsid w:val="203B63AE"/>
    <w:rsid w:val="20A74F3D"/>
    <w:rsid w:val="20AE0D22"/>
    <w:rsid w:val="20AF589B"/>
    <w:rsid w:val="20CD0D15"/>
    <w:rsid w:val="20E73F18"/>
    <w:rsid w:val="20F9582B"/>
    <w:rsid w:val="2103768A"/>
    <w:rsid w:val="210A60C1"/>
    <w:rsid w:val="21540D9C"/>
    <w:rsid w:val="216673FF"/>
    <w:rsid w:val="2176019E"/>
    <w:rsid w:val="21AE6CB6"/>
    <w:rsid w:val="21E07116"/>
    <w:rsid w:val="225478CD"/>
    <w:rsid w:val="229B7D58"/>
    <w:rsid w:val="22AD4D49"/>
    <w:rsid w:val="22F65C2D"/>
    <w:rsid w:val="22F67C95"/>
    <w:rsid w:val="233A2B27"/>
    <w:rsid w:val="23793EB4"/>
    <w:rsid w:val="23907B13"/>
    <w:rsid w:val="23D901C5"/>
    <w:rsid w:val="23F3546C"/>
    <w:rsid w:val="241A7BEF"/>
    <w:rsid w:val="242C366D"/>
    <w:rsid w:val="244F623F"/>
    <w:rsid w:val="24C57CE7"/>
    <w:rsid w:val="24EC5DD1"/>
    <w:rsid w:val="250273A3"/>
    <w:rsid w:val="25062BDA"/>
    <w:rsid w:val="252520E1"/>
    <w:rsid w:val="252F1E2A"/>
    <w:rsid w:val="252F2BA8"/>
    <w:rsid w:val="255A2C14"/>
    <w:rsid w:val="256F09B2"/>
    <w:rsid w:val="25A04430"/>
    <w:rsid w:val="25DF7CEE"/>
    <w:rsid w:val="260158AC"/>
    <w:rsid w:val="261533F6"/>
    <w:rsid w:val="263254AA"/>
    <w:rsid w:val="26AD5E7A"/>
    <w:rsid w:val="26B20955"/>
    <w:rsid w:val="26BB5A5B"/>
    <w:rsid w:val="26F176CF"/>
    <w:rsid w:val="26F84FD6"/>
    <w:rsid w:val="27185FAD"/>
    <w:rsid w:val="2719D221"/>
    <w:rsid w:val="271E1052"/>
    <w:rsid w:val="272935C4"/>
    <w:rsid w:val="274857A6"/>
    <w:rsid w:val="279128EF"/>
    <w:rsid w:val="27B00694"/>
    <w:rsid w:val="27B626C7"/>
    <w:rsid w:val="2805529C"/>
    <w:rsid w:val="28290CE4"/>
    <w:rsid w:val="283D3617"/>
    <w:rsid w:val="28742493"/>
    <w:rsid w:val="289102DC"/>
    <w:rsid w:val="28A80261"/>
    <w:rsid w:val="28D11CFA"/>
    <w:rsid w:val="28E05C4D"/>
    <w:rsid w:val="2912392D"/>
    <w:rsid w:val="29353BDD"/>
    <w:rsid w:val="296206A1"/>
    <w:rsid w:val="296E18FC"/>
    <w:rsid w:val="2981481E"/>
    <w:rsid w:val="299F622B"/>
    <w:rsid w:val="29A93812"/>
    <w:rsid w:val="29B402BE"/>
    <w:rsid w:val="29DE2D65"/>
    <w:rsid w:val="29EF3BB8"/>
    <w:rsid w:val="2A10690D"/>
    <w:rsid w:val="2A111E36"/>
    <w:rsid w:val="2A192EF0"/>
    <w:rsid w:val="2A531D26"/>
    <w:rsid w:val="2A6D709E"/>
    <w:rsid w:val="2A7A3E7F"/>
    <w:rsid w:val="2A7B4A8D"/>
    <w:rsid w:val="2A8F5083"/>
    <w:rsid w:val="2AB85B22"/>
    <w:rsid w:val="2ADA4EB0"/>
    <w:rsid w:val="2B171DBE"/>
    <w:rsid w:val="2B372760"/>
    <w:rsid w:val="2B4F4A5B"/>
    <w:rsid w:val="2BBF1D12"/>
    <w:rsid w:val="2BDD5042"/>
    <w:rsid w:val="2BE55328"/>
    <w:rsid w:val="2BF91D68"/>
    <w:rsid w:val="2C0B2C64"/>
    <w:rsid w:val="2C254E37"/>
    <w:rsid w:val="2C2C2692"/>
    <w:rsid w:val="2C5C73FB"/>
    <w:rsid w:val="2C6B494D"/>
    <w:rsid w:val="2C813A16"/>
    <w:rsid w:val="2C8715CC"/>
    <w:rsid w:val="2CD258AD"/>
    <w:rsid w:val="2CE94479"/>
    <w:rsid w:val="2CF575DD"/>
    <w:rsid w:val="2D396FC1"/>
    <w:rsid w:val="2D450775"/>
    <w:rsid w:val="2D5843B2"/>
    <w:rsid w:val="2D825525"/>
    <w:rsid w:val="2D9FFE30"/>
    <w:rsid w:val="2DD97B90"/>
    <w:rsid w:val="2DFF9474"/>
    <w:rsid w:val="2E7B62EE"/>
    <w:rsid w:val="2E89643F"/>
    <w:rsid w:val="2E8C2943"/>
    <w:rsid w:val="2EE11DE1"/>
    <w:rsid w:val="2F1F12D7"/>
    <w:rsid w:val="2F212B1B"/>
    <w:rsid w:val="2F31103B"/>
    <w:rsid w:val="2F4B7098"/>
    <w:rsid w:val="2F4D3910"/>
    <w:rsid w:val="2F4E4E7D"/>
    <w:rsid w:val="2F6402D8"/>
    <w:rsid w:val="2F6A1B2A"/>
    <w:rsid w:val="2F72332C"/>
    <w:rsid w:val="2F7E6CC0"/>
    <w:rsid w:val="2FBB14D7"/>
    <w:rsid w:val="2FE87130"/>
    <w:rsid w:val="2FEF6991"/>
    <w:rsid w:val="2FFC6D08"/>
    <w:rsid w:val="301929AF"/>
    <w:rsid w:val="301944FA"/>
    <w:rsid w:val="306A53C9"/>
    <w:rsid w:val="306E2BF2"/>
    <w:rsid w:val="3088055C"/>
    <w:rsid w:val="309E4F8E"/>
    <w:rsid w:val="30C34B2D"/>
    <w:rsid w:val="30D733EF"/>
    <w:rsid w:val="31124E12"/>
    <w:rsid w:val="31152298"/>
    <w:rsid w:val="312150AB"/>
    <w:rsid w:val="313302CD"/>
    <w:rsid w:val="313B0111"/>
    <w:rsid w:val="313B2616"/>
    <w:rsid w:val="31413001"/>
    <w:rsid w:val="3162560A"/>
    <w:rsid w:val="31A92B72"/>
    <w:rsid w:val="31CC4598"/>
    <w:rsid w:val="32100D5B"/>
    <w:rsid w:val="322546D1"/>
    <w:rsid w:val="322F554F"/>
    <w:rsid w:val="32376954"/>
    <w:rsid w:val="323D3F92"/>
    <w:rsid w:val="32970274"/>
    <w:rsid w:val="32A04835"/>
    <w:rsid w:val="32AA5E5D"/>
    <w:rsid w:val="32D16548"/>
    <w:rsid w:val="32FB1C0C"/>
    <w:rsid w:val="331D26FA"/>
    <w:rsid w:val="333E3A32"/>
    <w:rsid w:val="33510DBE"/>
    <w:rsid w:val="33517B36"/>
    <w:rsid w:val="335E22E0"/>
    <w:rsid w:val="338C3C55"/>
    <w:rsid w:val="33993F10"/>
    <w:rsid w:val="33C80A9F"/>
    <w:rsid w:val="33CD3D0B"/>
    <w:rsid w:val="33F17EB1"/>
    <w:rsid w:val="33FA08A1"/>
    <w:rsid w:val="340430F1"/>
    <w:rsid w:val="340C2A78"/>
    <w:rsid w:val="341120E7"/>
    <w:rsid w:val="341A6A0A"/>
    <w:rsid w:val="342B0711"/>
    <w:rsid w:val="34310D79"/>
    <w:rsid w:val="343B3DBB"/>
    <w:rsid w:val="3474193F"/>
    <w:rsid w:val="34B15A8A"/>
    <w:rsid w:val="34FA22BB"/>
    <w:rsid w:val="35586B6B"/>
    <w:rsid w:val="35626669"/>
    <w:rsid w:val="357729C3"/>
    <w:rsid w:val="35990793"/>
    <w:rsid w:val="35B75F88"/>
    <w:rsid w:val="35E10B5E"/>
    <w:rsid w:val="35E40BB0"/>
    <w:rsid w:val="35FD1084"/>
    <w:rsid w:val="35FD3B14"/>
    <w:rsid w:val="36220471"/>
    <w:rsid w:val="36413AA3"/>
    <w:rsid w:val="36425C77"/>
    <w:rsid w:val="36696D72"/>
    <w:rsid w:val="36941E25"/>
    <w:rsid w:val="369628B0"/>
    <w:rsid w:val="369C61E7"/>
    <w:rsid w:val="36AF4501"/>
    <w:rsid w:val="371353C2"/>
    <w:rsid w:val="371F555B"/>
    <w:rsid w:val="373E3831"/>
    <w:rsid w:val="37771F7F"/>
    <w:rsid w:val="37782A9C"/>
    <w:rsid w:val="37B50064"/>
    <w:rsid w:val="37C404E8"/>
    <w:rsid w:val="37D02395"/>
    <w:rsid w:val="37F736BF"/>
    <w:rsid w:val="37FC673B"/>
    <w:rsid w:val="38211DDE"/>
    <w:rsid w:val="383E5F9D"/>
    <w:rsid w:val="38551D4C"/>
    <w:rsid w:val="385D026B"/>
    <w:rsid w:val="38714D29"/>
    <w:rsid w:val="389200D5"/>
    <w:rsid w:val="38A87E0A"/>
    <w:rsid w:val="38CD4542"/>
    <w:rsid w:val="38FD63A7"/>
    <w:rsid w:val="39113E03"/>
    <w:rsid w:val="392767B6"/>
    <w:rsid w:val="392830F2"/>
    <w:rsid w:val="392A54B5"/>
    <w:rsid w:val="395B0D57"/>
    <w:rsid w:val="395E319B"/>
    <w:rsid w:val="398720B8"/>
    <w:rsid w:val="39926136"/>
    <w:rsid w:val="39A5225E"/>
    <w:rsid w:val="39BB2A9F"/>
    <w:rsid w:val="39CC57A5"/>
    <w:rsid w:val="39E63207"/>
    <w:rsid w:val="3A2F7A24"/>
    <w:rsid w:val="3A970136"/>
    <w:rsid w:val="3A9A6A70"/>
    <w:rsid w:val="3AA62AC0"/>
    <w:rsid w:val="3AAF1923"/>
    <w:rsid w:val="3B2F23D0"/>
    <w:rsid w:val="3B3957AE"/>
    <w:rsid w:val="3B3D0CDD"/>
    <w:rsid w:val="3B8E7DD7"/>
    <w:rsid w:val="3BAA4254"/>
    <w:rsid w:val="3BCC3053"/>
    <w:rsid w:val="3BF53FA7"/>
    <w:rsid w:val="3C0435A9"/>
    <w:rsid w:val="3C162BD1"/>
    <w:rsid w:val="3C407197"/>
    <w:rsid w:val="3C693B19"/>
    <w:rsid w:val="3D1B534C"/>
    <w:rsid w:val="3DCC11BC"/>
    <w:rsid w:val="3DFD6C6A"/>
    <w:rsid w:val="3E0F3390"/>
    <w:rsid w:val="3E1753C7"/>
    <w:rsid w:val="3E432AAE"/>
    <w:rsid w:val="3E4719D3"/>
    <w:rsid w:val="3E566547"/>
    <w:rsid w:val="3E587BDC"/>
    <w:rsid w:val="3E715474"/>
    <w:rsid w:val="3E8E2328"/>
    <w:rsid w:val="3EFFD4FA"/>
    <w:rsid w:val="3F182C56"/>
    <w:rsid w:val="3F257F53"/>
    <w:rsid w:val="3F484CFB"/>
    <w:rsid w:val="3F6A1F03"/>
    <w:rsid w:val="3F870465"/>
    <w:rsid w:val="3FAD2120"/>
    <w:rsid w:val="3FC419CD"/>
    <w:rsid w:val="3FCD34EB"/>
    <w:rsid w:val="3FD634AE"/>
    <w:rsid w:val="3FE93E94"/>
    <w:rsid w:val="3FEF559F"/>
    <w:rsid w:val="3FFE44D9"/>
    <w:rsid w:val="404203D7"/>
    <w:rsid w:val="406B3BF6"/>
    <w:rsid w:val="409A272E"/>
    <w:rsid w:val="40D41666"/>
    <w:rsid w:val="40D9123A"/>
    <w:rsid w:val="4100003C"/>
    <w:rsid w:val="41066FE6"/>
    <w:rsid w:val="412000C8"/>
    <w:rsid w:val="41611C76"/>
    <w:rsid w:val="41DD72D9"/>
    <w:rsid w:val="41F036CF"/>
    <w:rsid w:val="4232655E"/>
    <w:rsid w:val="423F1080"/>
    <w:rsid w:val="426D315F"/>
    <w:rsid w:val="428F5873"/>
    <w:rsid w:val="42A653BA"/>
    <w:rsid w:val="42AD60AD"/>
    <w:rsid w:val="42E303A5"/>
    <w:rsid w:val="42F111FC"/>
    <w:rsid w:val="432C76C6"/>
    <w:rsid w:val="43351A09"/>
    <w:rsid w:val="43386FDC"/>
    <w:rsid w:val="43693E7D"/>
    <w:rsid w:val="43840BF3"/>
    <w:rsid w:val="43920D8B"/>
    <w:rsid w:val="43C85C52"/>
    <w:rsid w:val="43CF48BB"/>
    <w:rsid w:val="43D1290A"/>
    <w:rsid w:val="442163FC"/>
    <w:rsid w:val="4451145C"/>
    <w:rsid w:val="445464F8"/>
    <w:rsid w:val="446C2E6B"/>
    <w:rsid w:val="447141EE"/>
    <w:rsid w:val="447F4114"/>
    <w:rsid w:val="448A32AC"/>
    <w:rsid w:val="449944E9"/>
    <w:rsid w:val="44A614FF"/>
    <w:rsid w:val="450817E2"/>
    <w:rsid w:val="450A3D3A"/>
    <w:rsid w:val="45163C51"/>
    <w:rsid w:val="45316BB2"/>
    <w:rsid w:val="454C59E8"/>
    <w:rsid w:val="45535B1C"/>
    <w:rsid w:val="456F68F7"/>
    <w:rsid w:val="45A7539A"/>
    <w:rsid w:val="45F502D4"/>
    <w:rsid w:val="460743C1"/>
    <w:rsid w:val="46351C88"/>
    <w:rsid w:val="46455CDF"/>
    <w:rsid w:val="465F2FB7"/>
    <w:rsid w:val="466630EA"/>
    <w:rsid w:val="466A58CB"/>
    <w:rsid w:val="46A82DEF"/>
    <w:rsid w:val="46B4227E"/>
    <w:rsid w:val="46CB5C09"/>
    <w:rsid w:val="46D92D4F"/>
    <w:rsid w:val="470609F2"/>
    <w:rsid w:val="47075DCC"/>
    <w:rsid w:val="473A212D"/>
    <w:rsid w:val="47422493"/>
    <w:rsid w:val="475934D2"/>
    <w:rsid w:val="47664DE0"/>
    <w:rsid w:val="4780636A"/>
    <w:rsid w:val="47BA3151"/>
    <w:rsid w:val="483D0E2E"/>
    <w:rsid w:val="48462CB4"/>
    <w:rsid w:val="4851078A"/>
    <w:rsid w:val="48696373"/>
    <w:rsid w:val="48765122"/>
    <w:rsid w:val="48815749"/>
    <w:rsid w:val="4894037D"/>
    <w:rsid w:val="48951D61"/>
    <w:rsid w:val="48974AD1"/>
    <w:rsid w:val="489A7EED"/>
    <w:rsid w:val="48A95E3B"/>
    <w:rsid w:val="48AD4C8A"/>
    <w:rsid w:val="48C6166E"/>
    <w:rsid w:val="48CC18F2"/>
    <w:rsid w:val="48D11AB6"/>
    <w:rsid w:val="49033566"/>
    <w:rsid w:val="49206E0D"/>
    <w:rsid w:val="49334FD9"/>
    <w:rsid w:val="49423D2E"/>
    <w:rsid w:val="49532373"/>
    <w:rsid w:val="498853F2"/>
    <w:rsid w:val="498B7A7D"/>
    <w:rsid w:val="499B7372"/>
    <w:rsid w:val="49B70F3F"/>
    <w:rsid w:val="49E05655"/>
    <w:rsid w:val="49EB5E87"/>
    <w:rsid w:val="49FB6C2E"/>
    <w:rsid w:val="4A143595"/>
    <w:rsid w:val="4A5B4CDC"/>
    <w:rsid w:val="4A893692"/>
    <w:rsid w:val="4AC36BA3"/>
    <w:rsid w:val="4AE922E8"/>
    <w:rsid w:val="4AF427B6"/>
    <w:rsid w:val="4AF56EDE"/>
    <w:rsid w:val="4AFF21FB"/>
    <w:rsid w:val="4B007631"/>
    <w:rsid w:val="4B221F0E"/>
    <w:rsid w:val="4B4F5472"/>
    <w:rsid w:val="4B985ABC"/>
    <w:rsid w:val="4BAB45FA"/>
    <w:rsid w:val="4BC92943"/>
    <w:rsid w:val="4BDC0C2B"/>
    <w:rsid w:val="4BDF193C"/>
    <w:rsid w:val="4BEC7F7D"/>
    <w:rsid w:val="4BED4C5F"/>
    <w:rsid w:val="4C0560C1"/>
    <w:rsid w:val="4C126E65"/>
    <w:rsid w:val="4C1800C1"/>
    <w:rsid w:val="4C1C1F8D"/>
    <w:rsid w:val="4C623ED1"/>
    <w:rsid w:val="4C9C7C7B"/>
    <w:rsid w:val="4CE216E4"/>
    <w:rsid w:val="4D1A6C05"/>
    <w:rsid w:val="4D4D5B2F"/>
    <w:rsid w:val="4D676DA5"/>
    <w:rsid w:val="4D956BD4"/>
    <w:rsid w:val="4D990003"/>
    <w:rsid w:val="4DAA10A4"/>
    <w:rsid w:val="4DE02876"/>
    <w:rsid w:val="4E1C6E78"/>
    <w:rsid w:val="4E2F6400"/>
    <w:rsid w:val="4E364146"/>
    <w:rsid w:val="4E586EBF"/>
    <w:rsid w:val="4E5B4996"/>
    <w:rsid w:val="4E642256"/>
    <w:rsid w:val="4E794E79"/>
    <w:rsid w:val="4E7C3473"/>
    <w:rsid w:val="4E816CDB"/>
    <w:rsid w:val="4E9609D8"/>
    <w:rsid w:val="4EBA6428"/>
    <w:rsid w:val="4EBC4EA3"/>
    <w:rsid w:val="4ED218A3"/>
    <w:rsid w:val="4ED35615"/>
    <w:rsid w:val="4EE6251D"/>
    <w:rsid w:val="4EF76274"/>
    <w:rsid w:val="4F120374"/>
    <w:rsid w:val="4F4307E3"/>
    <w:rsid w:val="4F631640"/>
    <w:rsid w:val="4F6D477C"/>
    <w:rsid w:val="4F7725B8"/>
    <w:rsid w:val="4FB0589F"/>
    <w:rsid w:val="4FBA4253"/>
    <w:rsid w:val="4FBB2493"/>
    <w:rsid w:val="4FD33566"/>
    <w:rsid w:val="4FF52EC4"/>
    <w:rsid w:val="50122B4B"/>
    <w:rsid w:val="50284215"/>
    <w:rsid w:val="50456157"/>
    <w:rsid w:val="507E1724"/>
    <w:rsid w:val="508B3DBF"/>
    <w:rsid w:val="509268F9"/>
    <w:rsid w:val="509C2DDA"/>
    <w:rsid w:val="509E3508"/>
    <w:rsid w:val="50E2655F"/>
    <w:rsid w:val="50FD3623"/>
    <w:rsid w:val="510425C5"/>
    <w:rsid w:val="5119144D"/>
    <w:rsid w:val="513628D6"/>
    <w:rsid w:val="51392DEC"/>
    <w:rsid w:val="513A5EC1"/>
    <w:rsid w:val="514531EA"/>
    <w:rsid w:val="515B5390"/>
    <w:rsid w:val="517B2107"/>
    <w:rsid w:val="51A453B7"/>
    <w:rsid w:val="51AA35DB"/>
    <w:rsid w:val="51B61491"/>
    <w:rsid w:val="51B84B02"/>
    <w:rsid w:val="51D87C8D"/>
    <w:rsid w:val="51EB7999"/>
    <w:rsid w:val="520B0E34"/>
    <w:rsid w:val="523301DD"/>
    <w:rsid w:val="52990A97"/>
    <w:rsid w:val="53046313"/>
    <w:rsid w:val="53206C83"/>
    <w:rsid w:val="53351712"/>
    <w:rsid w:val="533D58C6"/>
    <w:rsid w:val="533E374D"/>
    <w:rsid w:val="535C040E"/>
    <w:rsid w:val="53750A9B"/>
    <w:rsid w:val="537E15BF"/>
    <w:rsid w:val="53860000"/>
    <w:rsid w:val="539354E6"/>
    <w:rsid w:val="53AC0356"/>
    <w:rsid w:val="53B762F2"/>
    <w:rsid w:val="53C52089"/>
    <w:rsid w:val="53FE6685"/>
    <w:rsid w:val="5417676A"/>
    <w:rsid w:val="542A5C98"/>
    <w:rsid w:val="545665E0"/>
    <w:rsid w:val="545C1D7C"/>
    <w:rsid w:val="545D2117"/>
    <w:rsid w:val="546E1AAF"/>
    <w:rsid w:val="548369E6"/>
    <w:rsid w:val="548E2DCF"/>
    <w:rsid w:val="54992FD0"/>
    <w:rsid w:val="54EE69EB"/>
    <w:rsid w:val="55052414"/>
    <w:rsid w:val="550D6E75"/>
    <w:rsid w:val="555E55F6"/>
    <w:rsid w:val="55800F46"/>
    <w:rsid w:val="55DE3323"/>
    <w:rsid w:val="55FA48E5"/>
    <w:rsid w:val="56156687"/>
    <w:rsid w:val="565D3B8A"/>
    <w:rsid w:val="568F46B9"/>
    <w:rsid w:val="569723C6"/>
    <w:rsid w:val="569C381C"/>
    <w:rsid w:val="56F95FA8"/>
    <w:rsid w:val="57041640"/>
    <w:rsid w:val="572215B9"/>
    <w:rsid w:val="57541E99"/>
    <w:rsid w:val="575907F5"/>
    <w:rsid w:val="575C1F4C"/>
    <w:rsid w:val="57934B2C"/>
    <w:rsid w:val="579D536B"/>
    <w:rsid w:val="57CB0358"/>
    <w:rsid w:val="57EA0D02"/>
    <w:rsid w:val="57EA277A"/>
    <w:rsid w:val="57FB4651"/>
    <w:rsid w:val="581E35B5"/>
    <w:rsid w:val="581F37ED"/>
    <w:rsid w:val="58412267"/>
    <w:rsid w:val="58520616"/>
    <w:rsid w:val="5853259A"/>
    <w:rsid w:val="58737694"/>
    <w:rsid w:val="587E7611"/>
    <w:rsid w:val="58AE4B70"/>
    <w:rsid w:val="58C95E12"/>
    <w:rsid w:val="58D53411"/>
    <w:rsid w:val="58F9770B"/>
    <w:rsid w:val="58FD0682"/>
    <w:rsid w:val="590429E2"/>
    <w:rsid w:val="5916087A"/>
    <w:rsid w:val="595A4F8D"/>
    <w:rsid w:val="595C1326"/>
    <w:rsid w:val="5960593D"/>
    <w:rsid w:val="59F316C9"/>
    <w:rsid w:val="59F63460"/>
    <w:rsid w:val="5A036E46"/>
    <w:rsid w:val="5A081A55"/>
    <w:rsid w:val="5A1A190F"/>
    <w:rsid w:val="5A9B2D32"/>
    <w:rsid w:val="5ABD42A1"/>
    <w:rsid w:val="5B264E92"/>
    <w:rsid w:val="5B28752C"/>
    <w:rsid w:val="5B3C3151"/>
    <w:rsid w:val="5B4F547E"/>
    <w:rsid w:val="5B827EC5"/>
    <w:rsid w:val="5B897577"/>
    <w:rsid w:val="5BA474AA"/>
    <w:rsid w:val="5BA879BF"/>
    <w:rsid w:val="5BB205A0"/>
    <w:rsid w:val="5BD35D17"/>
    <w:rsid w:val="5BF24B32"/>
    <w:rsid w:val="5C1E3DBB"/>
    <w:rsid w:val="5C523987"/>
    <w:rsid w:val="5C584A40"/>
    <w:rsid w:val="5C6B16B5"/>
    <w:rsid w:val="5C7B543B"/>
    <w:rsid w:val="5C886F6E"/>
    <w:rsid w:val="5CA40764"/>
    <w:rsid w:val="5CA922B4"/>
    <w:rsid w:val="5D021EC6"/>
    <w:rsid w:val="5D092F30"/>
    <w:rsid w:val="5D0F2AC3"/>
    <w:rsid w:val="5D802FF1"/>
    <w:rsid w:val="5D8D744A"/>
    <w:rsid w:val="5DAF4487"/>
    <w:rsid w:val="5DB72AF4"/>
    <w:rsid w:val="5DBD18F0"/>
    <w:rsid w:val="5DC5325C"/>
    <w:rsid w:val="5E337655"/>
    <w:rsid w:val="5E397057"/>
    <w:rsid w:val="5E454830"/>
    <w:rsid w:val="5E7167CF"/>
    <w:rsid w:val="5E8D0EBA"/>
    <w:rsid w:val="5E956FD9"/>
    <w:rsid w:val="5EA26F25"/>
    <w:rsid w:val="5EAC4D3E"/>
    <w:rsid w:val="5ED829DE"/>
    <w:rsid w:val="5EEEF4C8"/>
    <w:rsid w:val="5EFF662C"/>
    <w:rsid w:val="5F2D7732"/>
    <w:rsid w:val="5F385194"/>
    <w:rsid w:val="5F680AE2"/>
    <w:rsid w:val="5FBC7B73"/>
    <w:rsid w:val="5FC621D1"/>
    <w:rsid w:val="5FFF5FA0"/>
    <w:rsid w:val="602A19A2"/>
    <w:rsid w:val="604451F0"/>
    <w:rsid w:val="6045223F"/>
    <w:rsid w:val="60962704"/>
    <w:rsid w:val="609E048F"/>
    <w:rsid w:val="60D64C64"/>
    <w:rsid w:val="60DB671F"/>
    <w:rsid w:val="6108496B"/>
    <w:rsid w:val="61467271"/>
    <w:rsid w:val="615354E8"/>
    <w:rsid w:val="61646714"/>
    <w:rsid w:val="616C42C1"/>
    <w:rsid w:val="618A1630"/>
    <w:rsid w:val="61993135"/>
    <w:rsid w:val="619E1C26"/>
    <w:rsid w:val="61E22378"/>
    <w:rsid w:val="61E40D66"/>
    <w:rsid w:val="61F632B1"/>
    <w:rsid w:val="62800CC1"/>
    <w:rsid w:val="62A36850"/>
    <w:rsid w:val="62A8188B"/>
    <w:rsid w:val="62B44BC9"/>
    <w:rsid w:val="62DE46D5"/>
    <w:rsid w:val="62E55633"/>
    <w:rsid w:val="63007FD0"/>
    <w:rsid w:val="63091321"/>
    <w:rsid w:val="630A5099"/>
    <w:rsid w:val="631B2E02"/>
    <w:rsid w:val="63371A31"/>
    <w:rsid w:val="635A6BFF"/>
    <w:rsid w:val="63773918"/>
    <w:rsid w:val="63830B2E"/>
    <w:rsid w:val="63AA5232"/>
    <w:rsid w:val="63BF40D6"/>
    <w:rsid w:val="63D23949"/>
    <w:rsid w:val="64075DA7"/>
    <w:rsid w:val="642F5825"/>
    <w:rsid w:val="643663DD"/>
    <w:rsid w:val="64627EF0"/>
    <w:rsid w:val="647A10E2"/>
    <w:rsid w:val="64D11E74"/>
    <w:rsid w:val="64DA2F67"/>
    <w:rsid w:val="64DB3758"/>
    <w:rsid w:val="64EF6B6A"/>
    <w:rsid w:val="651B1EB0"/>
    <w:rsid w:val="651E15D5"/>
    <w:rsid w:val="652C28D7"/>
    <w:rsid w:val="652F2029"/>
    <w:rsid w:val="65377CCF"/>
    <w:rsid w:val="653B4950"/>
    <w:rsid w:val="658921A3"/>
    <w:rsid w:val="66021487"/>
    <w:rsid w:val="660A580A"/>
    <w:rsid w:val="662901DB"/>
    <w:rsid w:val="663159A3"/>
    <w:rsid w:val="66983164"/>
    <w:rsid w:val="66B134B7"/>
    <w:rsid w:val="66BD6F7D"/>
    <w:rsid w:val="66C16522"/>
    <w:rsid w:val="66D63C10"/>
    <w:rsid w:val="66DE5A4A"/>
    <w:rsid w:val="67037B10"/>
    <w:rsid w:val="67302F6D"/>
    <w:rsid w:val="674170AE"/>
    <w:rsid w:val="67870036"/>
    <w:rsid w:val="67AA29A7"/>
    <w:rsid w:val="67B130F8"/>
    <w:rsid w:val="67B42651"/>
    <w:rsid w:val="67B657F0"/>
    <w:rsid w:val="67CA2343"/>
    <w:rsid w:val="67CA36AF"/>
    <w:rsid w:val="67CC2A37"/>
    <w:rsid w:val="67CE1BB2"/>
    <w:rsid w:val="67D94E7A"/>
    <w:rsid w:val="68212C69"/>
    <w:rsid w:val="683F1E6C"/>
    <w:rsid w:val="68451259"/>
    <w:rsid w:val="684D24AA"/>
    <w:rsid w:val="687E156F"/>
    <w:rsid w:val="68E36170"/>
    <w:rsid w:val="68EE112E"/>
    <w:rsid w:val="690359D6"/>
    <w:rsid w:val="69726E8D"/>
    <w:rsid w:val="69880E89"/>
    <w:rsid w:val="69905E3F"/>
    <w:rsid w:val="69D32689"/>
    <w:rsid w:val="69ED1D7F"/>
    <w:rsid w:val="69F1144D"/>
    <w:rsid w:val="6A4E4D7B"/>
    <w:rsid w:val="6AB471DA"/>
    <w:rsid w:val="6AD360C7"/>
    <w:rsid w:val="6AF62438"/>
    <w:rsid w:val="6B361121"/>
    <w:rsid w:val="6B5B69A5"/>
    <w:rsid w:val="6B7026A3"/>
    <w:rsid w:val="6B882474"/>
    <w:rsid w:val="6BDC0550"/>
    <w:rsid w:val="6C097DBC"/>
    <w:rsid w:val="6C787517"/>
    <w:rsid w:val="6C8E6D3B"/>
    <w:rsid w:val="6CA92885"/>
    <w:rsid w:val="6CAB2B65"/>
    <w:rsid w:val="6CEB1115"/>
    <w:rsid w:val="6D0970CA"/>
    <w:rsid w:val="6D7246B3"/>
    <w:rsid w:val="6D79922A"/>
    <w:rsid w:val="6DB95521"/>
    <w:rsid w:val="6DBE0181"/>
    <w:rsid w:val="6DC4250C"/>
    <w:rsid w:val="6DFFA537"/>
    <w:rsid w:val="6E032E11"/>
    <w:rsid w:val="6E2518B4"/>
    <w:rsid w:val="6E2B74E7"/>
    <w:rsid w:val="6E361438"/>
    <w:rsid w:val="6E424713"/>
    <w:rsid w:val="6E471088"/>
    <w:rsid w:val="6E7D7067"/>
    <w:rsid w:val="6EAD7F2D"/>
    <w:rsid w:val="6EB53772"/>
    <w:rsid w:val="6EC622CE"/>
    <w:rsid w:val="6EE661B0"/>
    <w:rsid w:val="6F181B9B"/>
    <w:rsid w:val="6F193617"/>
    <w:rsid w:val="6F411AFF"/>
    <w:rsid w:val="6F523469"/>
    <w:rsid w:val="6F5935CD"/>
    <w:rsid w:val="6FAD572A"/>
    <w:rsid w:val="6FBEF8A8"/>
    <w:rsid w:val="6FCF5BB8"/>
    <w:rsid w:val="6FE77B37"/>
    <w:rsid w:val="6FF705CB"/>
    <w:rsid w:val="7019253F"/>
    <w:rsid w:val="70485B31"/>
    <w:rsid w:val="705478DF"/>
    <w:rsid w:val="7071314B"/>
    <w:rsid w:val="70891CF3"/>
    <w:rsid w:val="70A27DBB"/>
    <w:rsid w:val="70B26904"/>
    <w:rsid w:val="70C57CAD"/>
    <w:rsid w:val="70CA4961"/>
    <w:rsid w:val="70CF7FF0"/>
    <w:rsid w:val="70D4528D"/>
    <w:rsid w:val="70DC2D11"/>
    <w:rsid w:val="70FA226D"/>
    <w:rsid w:val="71086DC7"/>
    <w:rsid w:val="719F7859"/>
    <w:rsid w:val="71A235F0"/>
    <w:rsid w:val="71CE6595"/>
    <w:rsid w:val="721F4B03"/>
    <w:rsid w:val="7222299C"/>
    <w:rsid w:val="723206DA"/>
    <w:rsid w:val="725B7AB2"/>
    <w:rsid w:val="72904641"/>
    <w:rsid w:val="72AB4B0E"/>
    <w:rsid w:val="72CA0103"/>
    <w:rsid w:val="72CB03A1"/>
    <w:rsid w:val="72D64C0A"/>
    <w:rsid w:val="73027C89"/>
    <w:rsid w:val="730572F5"/>
    <w:rsid w:val="735B79A8"/>
    <w:rsid w:val="73964AEE"/>
    <w:rsid w:val="73B726D3"/>
    <w:rsid w:val="73C05EBC"/>
    <w:rsid w:val="73E442FB"/>
    <w:rsid w:val="742333AE"/>
    <w:rsid w:val="745E672D"/>
    <w:rsid w:val="74686AA8"/>
    <w:rsid w:val="74881E77"/>
    <w:rsid w:val="748922C2"/>
    <w:rsid w:val="74BF5CE3"/>
    <w:rsid w:val="74E4574A"/>
    <w:rsid w:val="74F16C95"/>
    <w:rsid w:val="74F45E98"/>
    <w:rsid w:val="751417F5"/>
    <w:rsid w:val="75713A1D"/>
    <w:rsid w:val="759D4571"/>
    <w:rsid w:val="75B9110C"/>
    <w:rsid w:val="75B94E29"/>
    <w:rsid w:val="75C80449"/>
    <w:rsid w:val="75D4480F"/>
    <w:rsid w:val="75F76B70"/>
    <w:rsid w:val="762017AA"/>
    <w:rsid w:val="769A6D9B"/>
    <w:rsid w:val="76B558A3"/>
    <w:rsid w:val="76B76861"/>
    <w:rsid w:val="76F9531E"/>
    <w:rsid w:val="76FF686B"/>
    <w:rsid w:val="77314512"/>
    <w:rsid w:val="774F089D"/>
    <w:rsid w:val="77752FD1"/>
    <w:rsid w:val="77954B75"/>
    <w:rsid w:val="77B9255D"/>
    <w:rsid w:val="77E0248C"/>
    <w:rsid w:val="77E43CB3"/>
    <w:rsid w:val="77F413CA"/>
    <w:rsid w:val="77F612D4"/>
    <w:rsid w:val="781D1429"/>
    <w:rsid w:val="784F1A52"/>
    <w:rsid w:val="7861146D"/>
    <w:rsid w:val="78722AC0"/>
    <w:rsid w:val="788F00C3"/>
    <w:rsid w:val="78A033A2"/>
    <w:rsid w:val="78B07898"/>
    <w:rsid w:val="78B4205A"/>
    <w:rsid w:val="790143BA"/>
    <w:rsid w:val="7924080B"/>
    <w:rsid w:val="797E4167"/>
    <w:rsid w:val="79975481"/>
    <w:rsid w:val="79CF14C9"/>
    <w:rsid w:val="79E545EF"/>
    <w:rsid w:val="7A245046"/>
    <w:rsid w:val="7A3A36C9"/>
    <w:rsid w:val="7A4878EB"/>
    <w:rsid w:val="7A540C7C"/>
    <w:rsid w:val="7ACA3634"/>
    <w:rsid w:val="7AE75F94"/>
    <w:rsid w:val="7AF35E0E"/>
    <w:rsid w:val="7B0962AA"/>
    <w:rsid w:val="7B574616"/>
    <w:rsid w:val="7B5F72E3"/>
    <w:rsid w:val="7C367FA4"/>
    <w:rsid w:val="7C737DA7"/>
    <w:rsid w:val="7C8A307B"/>
    <w:rsid w:val="7CB52A37"/>
    <w:rsid w:val="7CB71996"/>
    <w:rsid w:val="7CC35E8A"/>
    <w:rsid w:val="7CF257A8"/>
    <w:rsid w:val="7D146DE8"/>
    <w:rsid w:val="7D440864"/>
    <w:rsid w:val="7D587768"/>
    <w:rsid w:val="7D764E0E"/>
    <w:rsid w:val="7D9F4904"/>
    <w:rsid w:val="7DA97107"/>
    <w:rsid w:val="7DB810CB"/>
    <w:rsid w:val="7DE569C4"/>
    <w:rsid w:val="7DF76526"/>
    <w:rsid w:val="7DFE33BD"/>
    <w:rsid w:val="7E3908A6"/>
    <w:rsid w:val="7E3E4045"/>
    <w:rsid w:val="7E6A65D4"/>
    <w:rsid w:val="7E7C72E0"/>
    <w:rsid w:val="7E970168"/>
    <w:rsid w:val="7EEB31EF"/>
    <w:rsid w:val="7EF944E8"/>
    <w:rsid w:val="7F006C4C"/>
    <w:rsid w:val="7F0215EE"/>
    <w:rsid w:val="7F21503E"/>
    <w:rsid w:val="7F250074"/>
    <w:rsid w:val="7F420DAD"/>
    <w:rsid w:val="7F9947BC"/>
    <w:rsid w:val="7FB12C37"/>
    <w:rsid w:val="7FB44C49"/>
    <w:rsid w:val="7FC95C68"/>
    <w:rsid w:val="7FCE7723"/>
    <w:rsid w:val="7FFD1862"/>
    <w:rsid w:val="A396D683"/>
    <w:rsid w:val="A7B61C21"/>
    <w:rsid w:val="AD29F350"/>
    <w:rsid w:val="AEBA2A9F"/>
    <w:rsid w:val="AEF78801"/>
    <w:rsid w:val="B6A34008"/>
    <w:rsid w:val="BF3D94E0"/>
    <w:rsid w:val="C4EFF768"/>
    <w:rsid w:val="CFFE3782"/>
    <w:rsid w:val="D37E5A57"/>
    <w:rsid w:val="DAA71DE5"/>
    <w:rsid w:val="DD37FD55"/>
    <w:rsid w:val="E2EF4BEA"/>
    <w:rsid w:val="EB63CC57"/>
    <w:rsid w:val="EFEDE099"/>
    <w:rsid w:val="EFFF854A"/>
    <w:rsid w:val="F5577BCA"/>
    <w:rsid w:val="F6F99B55"/>
    <w:rsid w:val="F737D7FA"/>
    <w:rsid w:val="F744ADA4"/>
    <w:rsid w:val="F7FF6479"/>
    <w:rsid w:val="FF2E8F77"/>
    <w:rsid w:val="FFC4108D"/>
    <w:rsid w:val="FFCEA696"/>
    <w:rsid w:val="FFD75D4D"/>
    <w:rsid w:val="FFDFB43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qFormat="1" w:unhideWhenUsed="0" w:uiPriority="0" w:semiHidden="0"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qFormat="1" w:uiPriority="99" w:semiHidden="0" w:name="table of authorities"/>
    <w:lsdException w:uiPriority="99" w:name="macro"/>
    <w:lsdException w:qFormat="1" w:unhideWhenUsed="0" w:uiPriority="0" w:name="toa heading"/>
    <w:lsdException w:uiPriority="99" w:name="List"/>
    <w:lsdException w:uiPriority="99" w:name="List Bullet"/>
    <w:lsdException w:uiPriority="99" w:name="List Number"/>
    <w:lsdException w:qFormat="1" w:unhideWhenUsed="0"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iPriority="99" w:semiHidden="0"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5"/>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6"/>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5">
    <w:name w:val="table of authorities"/>
    <w:basedOn w:val="1"/>
    <w:next w:val="1"/>
    <w:unhideWhenUsed/>
    <w:qFormat/>
    <w:uiPriority w:val="99"/>
    <w:pPr>
      <w:ind w:left="420" w:leftChars="200"/>
    </w:pPr>
  </w:style>
  <w:style w:type="paragraph" w:styleId="6">
    <w:name w:val="Document Map"/>
    <w:basedOn w:val="1"/>
    <w:link w:val="34"/>
    <w:semiHidden/>
    <w:unhideWhenUsed/>
    <w:qFormat/>
    <w:uiPriority w:val="99"/>
    <w:rPr>
      <w:rFonts w:ascii="宋体" w:eastAsia="宋体"/>
      <w:sz w:val="18"/>
      <w:szCs w:val="18"/>
    </w:rPr>
  </w:style>
  <w:style w:type="paragraph" w:styleId="7">
    <w:name w:val="toa heading"/>
    <w:basedOn w:val="1"/>
    <w:next w:val="1"/>
    <w:semiHidden/>
    <w:qFormat/>
    <w:uiPriority w:val="0"/>
    <w:pPr>
      <w:spacing w:before="120"/>
    </w:pPr>
    <w:rPr>
      <w:rFonts w:ascii="Arial" w:hAnsi="Arial" w:cs="Arial"/>
      <w:sz w:val="24"/>
      <w:szCs w:val="24"/>
    </w:rPr>
  </w:style>
  <w:style w:type="paragraph" w:styleId="8">
    <w:name w:val="Body Text 3"/>
    <w:basedOn w:val="1"/>
    <w:next w:val="9"/>
    <w:qFormat/>
    <w:uiPriority w:val="0"/>
    <w:pPr>
      <w:jc w:val="center"/>
      <w:outlineLvl w:val="0"/>
    </w:pPr>
    <w:rPr>
      <w:rFonts w:ascii="楷体_GB2312"/>
      <w:sz w:val="21"/>
      <w:szCs w:val="20"/>
    </w:rPr>
  </w:style>
  <w:style w:type="paragraph" w:styleId="9">
    <w:name w:val="toc 8"/>
    <w:basedOn w:val="1"/>
    <w:next w:val="1"/>
    <w:qFormat/>
    <w:uiPriority w:val="0"/>
    <w:pPr>
      <w:spacing w:line="360" w:lineRule="auto"/>
      <w:ind w:left="2940" w:leftChars="1400" w:firstLine="480" w:firstLineChars="200"/>
    </w:pPr>
    <w:rPr>
      <w:rFonts w:ascii="宋体"/>
      <w:sz w:val="24"/>
      <w:szCs w:val="24"/>
    </w:rPr>
  </w:style>
  <w:style w:type="paragraph" w:styleId="10">
    <w:name w:val="Body Text"/>
    <w:basedOn w:val="1"/>
    <w:next w:val="11"/>
    <w:qFormat/>
    <w:uiPriority w:val="0"/>
    <w:pPr>
      <w:spacing w:after="120" w:afterLines="0"/>
    </w:pPr>
  </w:style>
  <w:style w:type="paragraph" w:styleId="11">
    <w:name w:val="Body Text Indent 2"/>
    <w:basedOn w:val="1"/>
    <w:next w:val="12"/>
    <w:qFormat/>
    <w:uiPriority w:val="0"/>
    <w:pPr>
      <w:spacing w:after="120" w:line="480" w:lineRule="auto"/>
      <w:ind w:left="420" w:leftChars="200"/>
    </w:pPr>
    <w:rPr>
      <w:szCs w:val="20"/>
      <w:lang w:eastAsia="zh-TW"/>
    </w:rPr>
  </w:style>
  <w:style w:type="paragraph" w:styleId="12">
    <w:name w:val="header"/>
    <w:basedOn w:val="1"/>
    <w:next w:val="13"/>
    <w:link w:val="32"/>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footer"/>
    <w:basedOn w:val="1"/>
    <w:link w:val="33"/>
    <w:unhideWhenUsed/>
    <w:qFormat/>
    <w:uiPriority w:val="99"/>
    <w:pPr>
      <w:tabs>
        <w:tab w:val="center" w:pos="4153"/>
        <w:tab w:val="right" w:pos="8306"/>
      </w:tabs>
      <w:snapToGrid w:val="0"/>
      <w:jc w:val="left"/>
    </w:pPr>
    <w:rPr>
      <w:sz w:val="18"/>
      <w:szCs w:val="18"/>
    </w:rPr>
  </w:style>
  <w:style w:type="paragraph" w:styleId="14">
    <w:name w:val="Body Text Indent"/>
    <w:basedOn w:val="1"/>
    <w:next w:val="8"/>
    <w:qFormat/>
    <w:uiPriority w:val="0"/>
    <w:pPr>
      <w:spacing w:line="500" w:lineRule="exact"/>
      <w:ind w:left="1588" w:leftChars="832" w:firstLine="433" w:firstLineChars="196"/>
    </w:pPr>
    <w:rPr>
      <w:sz w:val="24"/>
    </w:rPr>
  </w:style>
  <w:style w:type="paragraph" w:styleId="15">
    <w:name w:val="List 2"/>
    <w:basedOn w:val="1"/>
    <w:qFormat/>
    <w:uiPriority w:val="99"/>
    <w:pPr>
      <w:ind w:left="100" w:leftChars="200" w:hanging="200" w:hangingChars="200"/>
    </w:pPr>
  </w:style>
  <w:style w:type="paragraph" w:styleId="16">
    <w:name w:val="Block Text"/>
    <w:basedOn w:val="1"/>
    <w:unhideWhenUsed/>
    <w:qFormat/>
    <w:uiPriority w:val="99"/>
    <w:pPr>
      <w:spacing w:after="120"/>
      <w:ind w:left="1440" w:leftChars="700" w:right="1440" w:rightChars="700"/>
    </w:pPr>
  </w:style>
  <w:style w:type="paragraph" w:styleId="17">
    <w:name w:val="Plain Text"/>
    <w:basedOn w:val="1"/>
    <w:qFormat/>
    <w:uiPriority w:val="0"/>
    <w:rPr>
      <w:rFonts w:ascii="宋体" w:hAnsi="Courier New" w:cs="Courier New"/>
      <w:szCs w:val="21"/>
    </w:rPr>
  </w:style>
  <w:style w:type="paragraph" w:styleId="18">
    <w:name w:val="envelope return"/>
    <w:basedOn w:val="1"/>
    <w:qFormat/>
    <w:uiPriority w:val="0"/>
    <w:pPr>
      <w:snapToGrid w:val="0"/>
    </w:pPr>
    <w:rPr>
      <w:rFonts w:ascii="Arial" w:hAnsi="Arial" w:cs="Arial"/>
      <w:sz w:val="21"/>
      <w:szCs w:val="24"/>
    </w:rPr>
  </w:style>
  <w:style w:type="paragraph" w:styleId="19">
    <w:name w:val="Subtitle"/>
    <w:basedOn w:val="1"/>
    <w:next w:val="1"/>
    <w:link w:val="38"/>
    <w:qFormat/>
    <w:uiPriority w:val="11"/>
    <w:pPr>
      <w:spacing w:before="240" w:after="60" w:line="312" w:lineRule="auto"/>
      <w:jc w:val="center"/>
      <w:outlineLvl w:val="1"/>
    </w:pPr>
    <w:rPr>
      <w:rFonts w:eastAsia="宋体" w:asciiTheme="majorHAnsi" w:hAnsiTheme="majorHAnsi" w:cstheme="majorBidi"/>
      <w:b/>
      <w:bCs/>
      <w:kern w:val="28"/>
      <w:sz w:val="32"/>
      <w:szCs w:val="32"/>
    </w:rPr>
  </w:style>
  <w:style w:type="paragraph" w:styleId="20">
    <w:name w:val="Body Text Indent 3"/>
    <w:basedOn w:val="1"/>
    <w:qFormat/>
    <w:uiPriority w:val="0"/>
    <w:pPr>
      <w:keepNext w:val="0"/>
      <w:keepLines w:val="0"/>
      <w:widowControl/>
      <w:suppressLineNumbers w:val="0"/>
      <w:snapToGrid w:val="0"/>
      <w:spacing w:line="600" w:lineRule="exact"/>
      <w:ind w:left="646" w:leftChars="323" w:firstLine="643" w:firstLineChars="200"/>
      <w:jc w:val="both"/>
    </w:pPr>
    <w:rPr>
      <w:rFonts w:hint="default" w:ascii="仿宋_GB2312" w:hAnsi="Times New Roman" w:eastAsia="仿宋_GB2312" w:cs="Times New Roman"/>
      <w:kern w:val="2"/>
      <w:sz w:val="32"/>
      <w:szCs w:val="32"/>
      <w:lang w:val="en-US" w:eastAsia="zh-CN" w:bidi="ar"/>
    </w:rPr>
  </w:style>
  <w:style w:type="paragraph" w:styleId="21">
    <w:name w:val="Normal (Web)"/>
    <w:basedOn w:val="1"/>
    <w:qFormat/>
    <w:uiPriority w:val="0"/>
    <w:pPr>
      <w:widowControl/>
      <w:spacing w:before="100" w:beforeAutospacing="1" w:after="100" w:afterAutospacing="1"/>
      <w:ind w:left="0" w:right="0"/>
      <w:jc w:val="left"/>
    </w:pPr>
    <w:rPr>
      <w:rFonts w:ascii="宋体" w:hAnsi="宋体" w:eastAsia="宋体" w:cs="宋体"/>
      <w:kern w:val="0"/>
      <w:sz w:val="24"/>
      <w:szCs w:val="24"/>
      <w:lang w:val="en-US" w:eastAsia="zh-CN" w:bidi="ar"/>
    </w:rPr>
  </w:style>
  <w:style w:type="paragraph" w:styleId="22">
    <w:name w:val="Title"/>
    <w:basedOn w:val="1"/>
    <w:next w:val="1"/>
    <w:link w:val="37"/>
    <w:qFormat/>
    <w:uiPriority w:val="10"/>
    <w:pPr>
      <w:spacing w:before="240" w:after="60"/>
      <w:jc w:val="center"/>
      <w:outlineLvl w:val="0"/>
    </w:pPr>
    <w:rPr>
      <w:rFonts w:eastAsia="宋体" w:asciiTheme="majorHAnsi" w:hAnsiTheme="majorHAnsi" w:cstheme="majorBidi"/>
      <w:b/>
      <w:bCs/>
      <w:sz w:val="32"/>
      <w:szCs w:val="32"/>
    </w:rPr>
  </w:style>
  <w:style w:type="paragraph" w:styleId="23">
    <w:name w:val="Body Text First Indent"/>
    <w:basedOn w:val="1"/>
    <w:next w:val="24"/>
    <w:qFormat/>
    <w:uiPriority w:val="0"/>
    <w:pPr>
      <w:tabs>
        <w:tab w:val="left" w:pos="0"/>
        <w:tab w:val="left" w:pos="993"/>
        <w:tab w:val="left" w:pos="1134"/>
      </w:tabs>
      <w:ind w:firstLine="420" w:firstLineChars="100"/>
    </w:pPr>
    <w:rPr>
      <w:rFonts w:ascii="宋体" w:hAnsi="宋体" w:cs="Times New Roman"/>
      <w:sz w:val="24"/>
      <w:szCs w:val="24"/>
    </w:rPr>
  </w:style>
  <w:style w:type="paragraph" w:styleId="24">
    <w:name w:val="Body Text First Indent 2"/>
    <w:basedOn w:val="14"/>
    <w:next w:val="1"/>
    <w:qFormat/>
    <w:uiPriority w:val="0"/>
    <w:pPr>
      <w:spacing w:after="120" w:line="240" w:lineRule="auto"/>
      <w:ind w:left="200" w:leftChars="200" w:firstLine="200" w:firstLineChars="200"/>
    </w:pPr>
  </w:style>
  <w:style w:type="table" w:styleId="26">
    <w:name w:val="Table Grid"/>
    <w:basedOn w:val="2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Hyperlink"/>
    <w:basedOn w:val="27"/>
    <w:qFormat/>
    <w:uiPriority w:val="0"/>
    <w:rPr>
      <w:color w:val="0000FF"/>
      <w:u w:val="single"/>
    </w:rPr>
  </w:style>
  <w:style w:type="paragraph" w:customStyle="1" w:styleId="29">
    <w:name w:val="列出段落11"/>
    <w:basedOn w:val="1"/>
    <w:qFormat/>
    <w:uiPriority w:val="0"/>
    <w:pPr>
      <w:ind w:firstLine="420" w:firstLineChars="200"/>
    </w:pPr>
    <w:rPr>
      <w:rFonts w:ascii="Calibri" w:hAnsi="Calibri"/>
    </w:rPr>
  </w:style>
  <w:style w:type="paragraph" w:customStyle="1" w:styleId="30">
    <w:name w:val="列出段落1"/>
    <w:basedOn w:val="1"/>
    <w:qFormat/>
    <w:uiPriority w:val="99"/>
    <w:pPr>
      <w:ind w:firstLine="420" w:firstLineChars="200"/>
    </w:pPr>
  </w:style>
  <w:style w:type="paragraph" w:customStyle="1" w:styleId="31">
    <w:name w:val="样式 首行缩进:  2 字符"/>
    <w:basedOn w:val="1"/>
    <w:qFormat/>
    <w:uiPriority w:val="0"/>
    <w:pPr>
      <w:spacing w:line="360" w:lineRule="auto"/>
      <w:ind w:firstLine="480" w:firstLineChars="200"/>
      <w:jc w:val="left"/>
    </w:pPr>
    <w:rPr>
      <w:rFonts w:ascii="宋体" w:hAnsi="宋体" w:cs="宋体"/>
      <w:color w:val="000000"/>
      <w:sz w:val="24"/>
      <w:szCs w:val="20"/>
    </w:rPr>
  </w:style>
  <w:style w:type="character" w:customStyle="1" w:styleId="32">
    <w:name w:val="页眉 字符"/>
    <w:basedOn w:val="27"/>
    <w:link w:val="12"/>
    <w:qFormat/>
    <w:uiPriority w:val="99"/>
    <w:rPr>
      <w:sz w:val="18"/>
      <w:szCs w:val="18"/>
    </w:rPr>
  </w:style>
  <w:style w:type="character" w:customStyle="1" w:styleId="33">
    <w:name w:val="页脚 字符"/>
    <w:basedOn w:val="27"/>
    <w:link w:val="13"/>
    <w:qFormat/>
    <w:uiPriority w:val="99"/>
    <w:rPr>
      <w:sz w:val="18"/>
      <w:szCs w:val="18"/>
    </w:rPr>
  </w:style>
  <w:style w:type="character" w:customStyle="1" w:styleId="34">
    <w:name w:val="文档结构图 字符"/>
    <w:basedOn w:val="27"/>
    <w:link w:val="6"/>
    <w:semiHidden/>
    <w:qFormat/>
    <w:uiPriority w:val="99"/>
    <w:rPr>
      <w:rFonts w:ascii="宋体" w:eastAsia="宋体"/>
      <w:sz w:val="18"/>
      <w:szCs w:val="18"/>
    </w:rPr>
  </w:style>
  <w:style w:type="character" w:customStyle="1" w:styleId="35">
    <w:name w:val="标题 1 字符"/>
    <w:basedOn w:val="27"/>
    <w:link w:val="2"/>
    <w:qFormat/>
    <w:uiPriority w:val="9"/>
    <w:rPr>
      <w:b/>
      <w:bCs/>
      <w:kern w:val="44"/>
      <w:sz w:val="44"/>
      <w:szCs w:val="44"/>
    </w:rPr>
  </w:style>
  <w:style w:type="character" w:customStyle="1" w:styleId="36">
    <w:name w:val="标题 2 字符"/>
    <w:basedOn w:val="27"/>
    <w:link w:val="3"/>
    <w:qFormat/>
    <w:uiPriority w:val="9"/>
    <w:rPr>
      <w:rFonts w:asciiTheme="majorHAnsi" w:hAnsiTheme="majorHAnsi" w:eastAsiaTheme="majorEastAsia" w:cstheme="majorBidi"/>
      <w:b/>
      <w:bCs/>
      <w:sz w:val="32"/>
      <w:szCs w:val="32"/>
    </w:rPr>
  </w:style>
  <w:style w:type="character" w:customStyle="1" w:styleId="37">
    <w:name w:val="标题 字符"/>
    <w:basedOn w:val="27"/>
    <w:link w:val="22"/>
    <w:qFormat/>
    <w:uiPriority w:val="10"/>
    <w:rPr>
      <w:rFonts w:eastAsia="宋体" w:asciiTheme="majorHAnsi" w:hAnsiTheme="majorHAnsi" w:cstheme="majorBidi"/>
      <w:b/>
      <w:bCs/>
      <w:sz w:val="32"/>
      <w:szCs w:val="32"/>
    </w:rPr>
  </w:style>
  <w:style w:type="character" w:customStyle="1" w:styleId="38">
    <w:name w:val="副标题 字符"/>
    <w:basedOn w:val="27"/>
    <w:link w:val="19"/>
    <w:qFormat/>
    <w:uiPriority w:val="11"/>
    <w:rPr>
      <w:rFonts w:eastAsia="宋体" w:asciiTheme="majorHAnsi" w:hAnsiTheme="majorHAnsi" w:cstheme="majorBidi"/>
      <w:b/>
      <w:bCs/>
      <w:kern w:val="28"/>
      <w:sz w:val="32"/>
      <w:szCs w:val="32"/>
    </w:rPr>
  </w:style>
  <w:style w:type="paragraph" w:customStyle="1" w:styleId="39">
    <w:name w:val="Table Paragraph"/>
    <w:basedOn w:val="1"/>
    <w:qFormat/>
    <w:uiPriority w:val="1"/>
    <w:rPr>
      <w:rFonts w:ascii="宋体" w:hAnsi="宋体" w:eastAsia="宋体" w:cs="宋体"/>
      <w:lang w:val="zh-CN" w:eastAsia="zh-CN" w:bidi="zh-CN"/>
    </w:rPr>
  </w:style>
  <w:style w:type="paragraph" w:styleId="40">
    <w:name w:val="List Paragraph"/>
    <w:basedOn w:val="1"/>
    <w:qFormat/>
    <w:uiPriority w:val="34"/>
    <w:pPr>
      <w:ind w:firstLine="420" w:firstLineChars="200"/>
    </w:pPr>
  </w:style>
  <w:style w:type="paragraph" w:customStyle="1" w:styleId="41">
    <w:name w:val="Other|1"/>
    <w:basedOn w:val="1"/>
    <w:qFormat/>
    <w:uiPriority w:val="0"/>
    <w:pPr>
      <w:spacing w:line="338" w:lineRule="auto"/>
      <w:ind w:firstLine="400"/>
    </w:pPr>
    <w:rPr>
      <w:rFonts w:ascii="MingLiU" w:hAnsi="MingLiU" w:eastAsia="MingLiU" w:cs="MingLiU"/>
      <w:sz w:val="19"/>
      <w:szCs w:val="19"/>
      <w:lang w:val="zh-TW" w:eastAsia="zh-TW" w:bidi="zh-TW"/>
    </w:rPr>
  </w:style>
  <w:style w:type="paragraph" w:customStyle="1" w:styleId="42">
    <w:name w:val="Default"/>
    <w:next w:val="43"/>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43">
    <w:name w:val="大标题"/>
    <w:basedOn w:val="1"/>
    <w:next w:val="24"/>
    <w:qFormat/>
    <w:uiPriority w:val="0"/>
    <w:pPr>
      <w:jc w:val="center"/>
    </w:pPr>
    <w:rPr>
      <w:rFonts w:ascii="Arial" w:hAnsi="Arial" w:eastAsia="宋体"/>
      <w:b/>
      <w:sz w:val="28"/>
      <w:szCs w:val="24"/>
    </w:rPr>
  </w:style>
  <w:style w:type="character" w:customStyle="1" w:styleId="44">
    <w:name w:val="17"/>
    <w:basedOn w:val="27"/>
    <w:qFormat/>
    <w:uiPriority w:val="0"/>
    <w:rPr>
      <w:rFonts w:hint="eastAsia" w:ascii="宋体" w:hAnsi="宋体" w:eastAsia="宋体" w:cs="宋体"/>
      <w:color w:val="000000"/>
      <w:sz w:val="20"/>
      <w:szCs w:val="20"/>
      <w:vertAlign w:val="superscript"/>
    </w:rPr>
  </w:style>
  <w:style w:type="character" w:customStyle="1" w:styleId="45">
    <w:name w:val="16"/>
    <w:basedOn w:val="27"/>
    <w:qFormat/>
    <w:uiPriority w:val="0"/>
    <w:rPr>
      <w:rFonts w:hint="eastAsia" w:ascii="宋体" w:hAnsi="宋体" w:eastAsia="宋体" w:cs="宋体"/>
      <w:color w:val="000000"/>
      <w:sz w:val="20"/>
      <w:szCs w:val="20"/>
      <w:vertAlign w:val="subscript"/>
    </w:rPr>
  </w:style>
  <w:style w:type="character" w:customStyle="1" w:styleId="46">
    <w:name w:val="18"/>
    <w:basedOn w:val="27"/>
    <w:qFormat/>
    <w:uiPriority w:val="0"/>
    <w:rPr>
      <w:rFonts w:hint="eastAsia" w:ascii="宋体" w:hAnsi="宋体" w:eastAsia="宋体" w:cs="宋体"/>
      <w:color w:val="000000"/>
      <w:sz w:val="20"/>
      <w:szCs w:val="20"/>
    </w:rPr>
  </w:style>
  <w:style w:type="character" w:customStyle="1" w:styleId="47">
    <w:name w:val="19"/>
    <w:basedOn w:val="27"/>
    <w:qFormat/>
    <w:uiPriority w:val="0"/>
    <w:rPr>
      <w:rFonts w:hint="eastAsia" w:ascii="宋体" w:hAnsi="宋体" w:eastAsia="宋体" w:cs="宋体"/>
      <w:color w:val="000000"/>
      <w:sz w:val="20"/>
      <w:szCs w:val="20"/>
      <w:vertAlign w:val="superscript"/>
    </w:rPr>
  </w:style>
  <w:style w:type="character" w:customStyle="1" w:styleId="48">
    <w:name w:val="font21"/>
    <w:basedOn w:val="27"/>
    <w:qFormat/>
    <w:uiPriority w:val="0"/>
    <w:rPr>
      <w:rFonts w:hint="eastAsia" w:ascii="宋体" w:hAnsi="宋体" w:eastAsia="宋体" w:cs="宋体"/>
      <w:color w:val="000000"/>
      <w:sz w:val="24"/>
      <w:szCs w:val="24"/>
      <w:u w:val="none"/>
    </w:rPr>
  </w:style>
  <w:style w:type="character" w:customStyle="1" w:styleId="49">
    <w:name w:val="font31"/>
    <w:basedOn w:val="27"/>
    <w:qFormat/>
    <w:uiPriority w:val="0"/>
    <w:rPr>
      <w:rFonts w:hint="eastAsia" w:ascii="宋体" w:hAnsi="宋体" w:eastAsia="宋体" w:cs="宋体"/>
      <w:color w:val="000000"/>
      <w:sz w:val="24"/>
      <w:szCs w:val="24"/>
      <w:u w:val="none"/>
    </w:rPr>
  </w:style>
  <w:style w:type="character" w:customStyle="1" w:styleId="50">
    <w:name w:val="font11"/>
    <w:basedOn w:val="27"/>
    <w:qFormat/>
    <w:uiPriority w:val="0"/>
    <w:rPr>
      <w:rFonts w:hint="eastAsia" w:ascii="宋体" w:hAnsi="宋体" w:eastAsia="宋体" w:cs="宋体"/>
      <w:color w:val="000000"/>
      <w:sz w:val="24"/>
      <w:szCs w:val="24"/>
      <w:u w:val="none"/>
    </w:rPr>
  </w:style>
  <w:style w:type="character" w:customStyle="1" w:styleId="51">
    <w:name w:val="font01"/>
    <w:basedOn w:val="27"/>
    <w:qFormat/>
    <w:uiPriority w:val="0"/>
    <w:rPr>
      <w:rFonts w:ascii="Calibri" w:hAnsi="Calibri" w:cs="Calibri"/>
      <w:color w:val="000000"/>
      <w:sz w:val="24"/>
      <w:szCs w:val="24"/>
      <w:u w:val="none"/>
    </w:rPr>
  </w:style>
  <w:style w:type="character" w:customStyle="1" w:styleId="52">
    <w:name w:val="font61"/>
    <w:basedOn w:val="27"/>
    <w:qFormat/>
    <w:uiPriority w:val="0"/>
    <w:rPr>
      <w:rFonts w:hint="eastAsia" w:ascii="宋体" w:hAnsi="宋体" w:eastAsia="宋体" w:cs="宋体"/>
      <w:color w:val="000000"/>
      <w:sz w:val="22"/>
      <w:szCs w:val="22"/>
      <w:u w:val="none"/>
      <w:vertAlign w:val="subscript"/>
    </w:rPr>
  </w:style>
  <w:style w:type="character" w:customStyle="1" w:styleId="53">
    <w:name w:val="font71"/>
    <w:basedOn w:val="27"/>
    <w:qFormat/>
    <w:uiPriority w:val="0"/>
    <w:rPr>
      <w:rFonts w:hint="eastAsia" w:ascii="宋体" w:hAnsi="宋体" w:eastAsia="宋体" w:cs="宋体"/>
      <w:color w:val="000000"/>
      <w:sz w:val="22"/>
      <w:szCs w:val="22"/>
      <w:u w:val="none"/>
      <w:vertAlign w:val="superscript"/>
    </w:rPr>
  </w:style>
  <w:style w:type="paragraph" w:customStyle="1" w:styleId="54">
    <w:name w:val="Table Text"/>
    <w:basedOn w:val="1"/>
    <w:semiHidden/>
    <w:qFormat/>
    <w:uiPriority w:val="0"/>
    <w:rPr>
      <w:rFonts w:ascii="宋体" w:hAnsi="宋体" w:eastAsia="宋体" w:cs="宋体"/>
      <w:sz w:val="24"/>
      <w:szCs w:val="24"/>
      <w:lang w:val="en-US" w:eastAsia="en-US" w:bidi="ar-SA"/>
    </w:rPr>
  </w:style>
  <w:style w:type="table" w:customStyle="1" w:styleId="55">
    <w:name w:val="Table Normal"/>
    <w:semiHidden/>
    <w:unhideWhenUsed/>
    <w:qFormat/>
    <w:uiPriority w:val="0"/>
    <w:tblPr>
      <w:tblCellMar>
        <w:top w:w="0" w:type="dxa"/>
        <w:left w:w="0" w:type="dxa"/>
        <w:bottom w:w="0" w:type="dxa"/>
        <w:right w:w="0" w:type="dxa"/>
      </w:tblCellMar>
    </w:tblPr>
  </w:style>
  <w:style w:type="character" w:customStyle="1" w:styleId="56">
    <w:name w:val="10"/>
    <w:basedOn w:val="27"/>
    <w:qFormat/>
    <w:uiPriority w:val="0"/>
    <w:rPr>
      <w:rFonts w:hint="default" w:ascii="Times New Roman" w:hAnsi="Times New Roman" w:cs="Times New Roman"/>
    </w:rPr>
  </w:style>
  <w:style w:type="character" w:customStyle="1" w:styleId="57">
    <w:name w:val="15"/>
    <w:basedOn w:val="27"/>
    <w:qFormat/>
    <w:uiPriority w:val="0"/>
    <w:rPr>
      <w:rFonts w:hint="default" w:ascii="Times New Roman" w:hAnsi="Times New Roman" w:cs="Times New Roman"/>
    </w:rPr>
  </w:style>
  <w:style w:type="paragraph" w:customStyle="1" w:styleId="58">
    <w:name w:val="段"/>
    <w:qFormat/>
    <w:uiPriority w:val="0"/>
    <w:pPr>
      <w:autoSpaceDE w:val="0"/>
      <w:autoSpaceDN w:val="0"/>
      <w:ind w:firstLine="200" w:firstLineChars="200"/>
      <w:jc w:val="both"/>
    </w:pPr>
    <w:rPr>
      <w:rFonts w:ascii="宋体" w:hAnsi="Times New Roman" w:eastAsia="Times New Roman" w:cs="Times New Roman"/>
      <w:sz w:val="21"/>
      <w:szCs w:val="22"/>
      <w:lang w:val="en-US" w:eastAsia="zh-CN" w:bidi="ar-SA"/>
    </w:rPr>
  </w:style>
  <w:style w:type="character" w:customStyle="1" w:styleId="59">
    <w:name w:val="font51"/>
    <w:basedOn w:val="27"/>
    <w:qFormat/>
    <w:uiPriority w:val="0"/>
    <w:rPr>
      <w:rFonts w:hint="eastAsia" w:ascii="宋体" w:hAnsi="宋体" w:eastAsia="宋体" w:cs="宋体"/>
      <w:color w:val="000000"/>
      <w:sz w:val="24"/>
      <w:szCs w:val="24"/>
      <w:u w:val="none"/>
      <w:vertAlign w:val="subscript"/>
    </w:rPr>
  </w:style>
  <w:style w:type="character" w:customStyle="1" w:styleId="60">
    <w:name w:val="font41"/>
    <w:basedOn w:val="27"/>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微软中国</Company>
  <Pages>10</Pages>
  <Words>4193</Words>
  <Characters>4323</Characters>
  <Lines>1</Lines>
  <Paragraphs>1</Paragraphs>
  <TotalTime>3</TotalTime>
  <ScaleCrop>false</ScaleCrop>
  <LinksUpToDate>false</LinksUpToDate>
  <CharactersWithSpaces>4379</CharactersWithSpaces>
  <Application>WPS Office WWO_wpscloud_20240821161302-a0e91bd6bf</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2019-06-14T06:15:00Z</dcterms:created>
  <dc:creator>Administrator</dc:creator>
  <cp:lastModifiedBy>user</cp:lastModifiedBy>
  <dcterms:modified xsi:type="dcterms:W3CDTF">2026-10-28T15:07:14Z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0A717C77C6A44328B236A74ED7092A80</vt:lpwstr>
  </property>
  <property fmtid="{D5CDD505-2E9C-101B-9397-08002B2CF9AE}" pid="4" name="KSOTemplateDocerSaveRecord">
    <vt:lpwstr>eyJoZGlkIjoiNzc0MTY5ZWZkMWRiZTVmYTYzZTQ5MWFhZmRhZTBhMjEiLCJ1c2VySWQiOiI1NDMxMTk2OTYifQ==</vt:lpwstr>
  </property>
</Properties>
</file>