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39D12">
      <w:pPr>
        <w:widowControl/>
        <w:shd w:val="clear" w:color="auto" w:fill="FFFFFF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</w:pPr>
      <w:bookmarkStart w:id="7" w:name="_GoBack"/>
      <w:bookmarkEnd w:id="7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儋州市数字游民示范区建设方案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试行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）</w:t>
      </w:r>
    </w:p>
    <w:p w14:paraId="2A11B160">
      <w:pPr>
        <w:widowControl/>
        <w:shd w:val="clear" w:color="auto" w:fill="FFFFFF"/>
        <w:spacing w:line="578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征求意见稿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</w:p>
    <w:p w14:paraId="573B68B5">
      <w:pPr>
        <w:widowControl/>
        <w:shd w:val="clear" w:color="auto" w:fill="FFFFFF"/>
        <w:spacing w:line="578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</w:p>
    <w:p w14:paraId="63C2BE7C">
      <w:pPr>
        <w:widowControl/>
        <w:shd w:val="clear" w:color="auto" w:fill="FFFFFF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为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贯彻落实党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中央、国务院关于推进海南自由贸易港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数据跨境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安全有序流动的战略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部署和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海南省委、省政府“向数图强”的工作部署，抢抓人工智能和数字经济发展机遇，推动数字游民集聚与地方经济高质量发展深度融合，结合儋州市实际，制定本方案。</w:t>
      </w:r>
    </w:p>
    <w:p w14:paraId="38DC1BB8">
      <w:pPr>
        <w:widowControl/>
        <w:shd w:val="clear" w:color="auto" w:fill="FFFFFF"/>
        <w:spacing w:line="578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一、总体要求​</w:t>
      </w:r>
    </w:p>
    <w:p w14:paraId="70CC0A49">
      <w:pPr>
        <w:widowControl/>
        <w:shd w:val="clear" w:color="auto" w:fill="FFFFFF"/>
        <w:spacing w:line="578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（一）指导思想​</w:t>
      </w:r>
    </w:p>
    <w:p w14:paraId="22DF4C95">
      <w:pPr>
        <w:widowControl/>
        <w:shd w:val="clear" w:color="auto" w:fill="FFFFFF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落实《海南自由贸易港数字经济促进条例》《儋州市数字经济发展三年行动实施方案（2024-2026年）》等文件关于促进数字经济发展的要求，立足儋州洋浦一体化发展新阶段，努力做好数字游民“引进、使用、留住”三篇文章，打造具有较强影响力的数字游民聚集地和数字移民目的地，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促进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游戏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出海、跨境直播、来数加工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、数字摄影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等新兴业态集聚，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为海南自由贸易港数字经济发展和儋洋一体化发展注入新动能。</w:t>
      </w:r>
    </w:p>
    <w:p w14:paraId="32A07F7C">
      <w:pPr>
        <w:widowControl/>
        <w:shd w:val="clear" w:color="auto" w:fill="FFFFFF"/>
        <w:spacing w:line="578" w:lineRule="exact"/>
        <w:ind w:firstLine="640" w:firstLineChars="200"/>
        <w:outlineLvl w:val="1"/>
        <w:rPr>
          <w:rFonts w:ascii="Cambria Math" w:hAnsi="Cambria Math" w:eastAsia="楷体_GB2312" w:cs="Cambria Math"/>
          <w:kern w:val="0"/>
          <w:sz w:val="32"/>
          <w:szCs w:val="32"/>
          <w:lang w:bidi="ar"/>
        </w:rPr>
      </w:pPr>
      <w:r>
        <w:rPr>
          <w:rFonts w:hint="eastAsia" w:ascii="楷体_GB2312" w:hAnsi="Cambria Math" w:eastAsia="楷体_GB2312" w:cs="Cambria Math"/>
          <w:sz w:val="32"/>
          <w:szCs w:val="32"/>
        </w:rPr>
        <w:t>（二）发展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目标</w:t>
      </w:r>
      <w:r>
        <w:rPr>
          <w:rFonts w:ascii="Cambria Math" w:hAnsi="Cambria Math" w:eastAsia="楷体_GB2312" w:cs="Cambria Math"/>
          <w:kern w:val="0"/>
          <w:sz w:val="32"/>
          <w:szCs w:val="32"/>
          <w:lang w:bidi="ar"/>
        </w:rPr>
        <w:t>​</w:t>
      </w:r>
    </w:p>
    <w:p w14:paraId="15D9F7C5">
      <w:pPr>
        <w:widowControl/>
        <w:shd w:val="clear" w:color="auto" w:fill="FFFFFF"/>
        <w:spacing w:line="578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力争用三到五年时间，打造一批国际数字游民社区示范点，落地一批数字游民示范区投资项目和功能平台，年接待数字游民达到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万人次，孵化数字经济高新技术企业不少于10家，引进纳统营收2000万元以上“超级个体”不少于10家，落户数字移民不少于5000人，贡献数字经济核心产业营收达到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亿元、税收达到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亿元。</w:t>
      </w:r>
    </w:p>
    <w:p w14:paraId="01455559">
      <w:pPr>
        <w:widowControl/>
        <w:shd w:val="clear" w:color="auto" w:fill="FFFFFF"/>
        <w:spacing w:line="578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（三）空间布局​</w:t>
      </w:r>
    </w:p>
    <w:p w14:paraId="6C689835">
      <w:pPr>
        <w:widowControl/>
        <w:shd w:val="clear" w:color="auto" w:fill="FFFFFF"/>
        <w:spacing w:line="578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儋州市数字游民示范区（以下简称“示范区”）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致力于打造省级核心示范基地，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以环新英湾地区为核心承载区，以儋州市其他区域为联动辐射区，充分利用洋浦经济开发区、环湾自贸港新城、儋州工业园、海花岛旅游产业园等区域空间载体资源和生态文旅资源，推进数字游民汇聚。</w:t>
      </w:r>
    </w:p>
    <w:p w14:paraId="0500998E">
      <w:pPr>
        <w:widowControl/>
        <w:shd w:val="clear" w:color="auto" w:fill="FFFFFF"/>
        <w:spacing w:line="578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具体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任务</w:t>
      </w:r>
    </w:p>
    <w:p w14:paraId="4A2DF716">
      <w:pPr>
        <w:spacing w:line="578" w:lineRule="exact"/>
        <w:ind w:firstLine="640" w:firstLineChars="200"/>
        <w:outlineLvl w:val="1"/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  <w:t>（一）突出产业引民，打造数字游民工作分发平台</w:t>
      </w:r>
    </w:p>
    <w:p w14:paraId="7F2B612D">
      <w:pPr>
        <w:spacing w:line="578" w:lineRule="exact"/>
        <w:ind w:firstLine="643" w:firstLineChars="200"/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1.支持数字贸易一体化集栈平台建设。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鼓励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企业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bidi="ar"/>
        </w:rPr>
        <w:t>投资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打造国际数据资产交易平台和国际数据价值化平台，为数字游民提供合规、做市商、数据价值保险、跨市交易等专业化服务。依托洋浦港航线和通航机场资源，打造跨境生鲜等消费品直播场景，引导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MCN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机构在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环新英湾自贸港新城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设立选品中心。积极申请国家外贸奖励资金用于支持平台建设。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牵头单位：市发展集团；责任单位：市发改委、市科工信局、洋浦国际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</w:p>
    <w:p w14:paraId="0EA7C1C1">
      <w:pPr>
        <w:spacing w:line="578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2.支持新型跨境（工业）电商平台建设。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鼓励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投资建设新型工业电商大模型超级工厂，支持开展工业电商垂直领域大模型研发，推动建立新型跨境电商“智慧组织”平台，开展关贸数据“来数加工”，提升服务全球工业、贸易和跨境电商企业能力。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牵头单位：洋浦投促局；责任单位：市委网信办、市发改委、市科工信局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</w:p>
    <w:p w14:paraId="11981899">
      <w:pPr>
        <w:spacing w:line="578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3.推动传统行业企业吸纳数字游民。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鼓励企业为传统产业提供智能转型与数字化改造、数据加工与模型训练、数据资产入表等服务，促进传统产业与数字经济深度融合，吸引数字游民就业并向数字移民转化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；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举办“产业场景开放日”，推动数字游民携带技术方案与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儋州洋浦本地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企业共建应用场景解决方案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牵头单位：市科工信局；责任单位：市委人才发展局、市发改委、市人社局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  <w:lang w:eastAsia="zh-CN"/>
        </w:rPr>
        <w:t>）</w:t>
      </w:r>
    </w:p>
    <w:p w14:paraId="524AB6DA">
      <w:pPr>
        <w:spacing w:line="578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4.支持跨境数字金融新功能平台建设。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鼓励企业开展现实世界数据资产创新融资（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Real World Assets,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简称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RWA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）与合格境外有限合伙人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Qualified Foreign Limited Partners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简称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QFLP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）资产融资模式创新，打造数字游民人工智能金融交易算法“教练机”，降低数据加工增值和境外数据训练成本。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探索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推动 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RWA+QFLP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” 模式创新首单落地，探索金融机构在海南纳入监管沙盒的实施路径。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牵头单位：市府办金融科；责任单位：市委人才发展局、市发改委、市人社局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  <w:lang w:eastAsia="zh-CN"/>
        </w:rPr>
        <w:t>）</w:t>
      </w:r>
    </w:p>
    <w:p w14:paraId="15DF9849">
      <w:pPr>
        <w:spacing w:line="578" w:lineRule="exact"/>
        <w:ind w:firstLine="643" w:firstLineChars="200"/>
        <w:rPr>
          <w:rFonts w:hint="eastAsia" w:ascii="Segoe UI" w:hAnsi="Segoe UI" w:eastAsia="仿宋_GB2312" w:cs="Segoe UI"/>
          <w:sz w:val="16"/>
          <w:szCs w:val="16"/>
          <w:shd w:val="clear" w:color="auto" w:fill="FFFFFF"/>
          <w:lang w:eastAsia="zh-CN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5.支持数字游民云控服务平台建设。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鼓励企业投资开发数字游民云控服务平台，记录、分析、计算数字游民行为类数据贡献，分发数据加工增值工作量证明，提供数据加工增值工作量证明与各类消费场景积分的互换服务，为数字游民企业提供安全合规支持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建立动态 “数字游民技能库”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精准标注人才技术等级、项目经验、工具掌握度等维度标签，接入企业端口实时抓取岗位需求，通过 AI 算法实现 “技能标签 — 岗位画像” 智能匹配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鼓励企业在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环新英湾自贸港新城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设立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数字小镇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创新创业示范基地，汇集一批与数字游牧相关的创意类企业聚集。梳理示范区特色应用场景，发布企业项目人才需求清单，配套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场景实训一远程接单一落地转化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服务链。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  <w:lang w:val="en-US" w:eastAsia="zh-CN"/>
        </w:rPr>
        <w:t>牵头单位：市科工信局；责任单位：市发改委、市发展集团、洋浦国际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  <w:lang w:eastAsia="zh-CN"/>
        </w:rPr>
        <w:t>）</w:t>
      </w:r>
    </w:p>
    <w:p w14:paraId="189844AF">
      <w:pPr>
        <w:spacing w:line="578" w:lineRule="exact"/>
        <w:ind w:firstLine="640" w:firstLineChars="200"/>
        <w:outlineLvl w:val="1"/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  <w:t>（二）着力还数于民，打造数字游民数据创富资源池</w:t>
      </w:r>
    </w:p>
    <w:p w14:paraId="37855471">
      <w:pPr>
        <w:spacing w:line="578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6.支持数字游民智能网联汽车平台建设。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鼓励智能网联汽车车主和乘客向省“车路云”平台贡献交通行为数据，在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示范区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形成服务省内、辐射国内外的数智交通数据资源池；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推动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数据资源池面向示范区内的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开放，开展技术算法研发，助力孵化无人驾驶和数字交通数字科技企业，促进数据价值化成果共享。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牵头单位：市科工信局；责任单位：市发改委、洋浦交通港航局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</w:p>
    <w:p w14:paraId="3DC153B1">
      <w:pPr>
        <w:spacing w:line="578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7.支持数字游民文旅新消费平台建设。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鼓励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企业开发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数字游民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相关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服务平台，汇聚示范区文娱新消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费数据，在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示范区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形成服务省内、辐射国内外的数智文娱消费数据资源池；鼓励数据资源池面向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开放，打通数据加工增值工作量证明（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POW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）与消费积分之间的兑换，驱动数字游民向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环新英湾自贸港新城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和海花岛聚集。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牵头单位：市旅文局；责任单位：市政府环湾办、洋浦国际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</w:p>
    <w:p w14:paraId="7C0F8F6A">
      <w:pPr>
        <w:spacing w:line="578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8.支持数字游民文娱元宇宙平台建设。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鼓励积极引进元宇宙游戏开发等文娱元宇宙数字游民型企业，鼓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励开展文娱元宇宙数据资产加工增值、评估计价和销售流通，在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示范区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沉淀可服务全球的文娱类数据资源池；鼓励数据资源池面向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开放，支持数字游民开展文娱数字资产创作，培育数据资产加工增值商和流通贸易商。开展数据价值评估监测，预防文娱元宇宙数据资产价值泡沫。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牵头单位：市旅文局；责任单位：市委网信办、市科工信局、洋浦投促局、中行洋浦分行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</w:p>
    <w:p w14:paraId="13A3964F">
      <w:pPr>
        <w:spacing w:line="578" w:lineRule="exact"/>
        <w:ind w:firstLine="640" w:firstLineChars="200"/>
        <w:outlineLvl w:val="1"/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  <w:t>（三）推进设施便民，提升数字游民接待服务能力</w:t>
      </w:r>
    </w:p>
    <w:p w14:paraId="070A0938">
      <w:pPr>
        <w:spacing w:line="578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9.支持数字游民社区示范点建设。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鼓励企业和专业机构合作，采取新建、改造等方式，利用洋浦经济开发区、环新英湾自贸港新城、海花岛旅游产业园、儋州工业园等区域的载体空间，围绕数字游民的“工作、学习、旅行、度假、创业、交友”需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以“宜居、宜业、宜学、宜游”为导向，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打造一批有品质、有特色的数字游民社区，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形成吸引和承接数字游民的首选目的地。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完善数字游民生活配套，支持在环新英湾地区建设人工智能教育培训中心。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牵头单位：市政府环湾办；责任单位：市科工信局、洋浦国际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</w:p>
    <w:p w14:paraId="3799DC1E"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1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.支持国际互联网访问和算力设施建设。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支持数字游民社区示范点安全便捷访问国际互联网；支持本地化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部署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人工智能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一体机和云存储服务器，保障数字游民的数据安全和隐私，提升游民实时在线协作、沟通交流的效率，降低远程工作成本。支持数字科技企业安全便捷访问国际互联网，提高跨境数据效率。鼓励本地算力服务提供商为数字游民提供算力服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牵头单位：市委网信办、市发改委；责任单位：市科工信局、洋浦国际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</w:p>
    <w:p w14:paraId="260CBA5E">
      <w:pPr>
        <w:spacing w:line="578" w:lineRule="exact"/>
        <w:ind w:firstLine="640" w:firstLineChars="200"/>
        <w:outlineLvl w:val="1"/>
        <w:rPr>
          <w:rFonts w:hint="eastAsia" w:ascii="楷体_GB2312" w:hAnsi="仿宋_GB2312" w:eastAsia="楷体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  <w:highlight w:val="none"/>
          <w:lang w:bidi="ar"/>
        </w:rPr>
        <w:t>（四）创新政策惠民，提高数字游民获得感幸福感</w:t>
      </w:r>
    </w:p>
    <w:p w14:paraId="7B404F22">
      <w:pPr>
        <w:spacing w:line="578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1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.完善数字游民人才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引进与服务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政策。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将符合标准的数字游民纳入儋州市柔性引才政策支持范围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制定数字游民认定标准。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支持从事数字游民业务经营的企业、机构通过游民社区等方式引进符合准入条件的数字游民群体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对全年引进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数字游民达到一定数量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的，经核定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给予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奖励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支持向符合条件的数字游民分发工作机会，对与数字游民签订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年以上劳动合同的，经核定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给予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奖励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对于本地数字经济企业以灵活用工形式引进数字游民的，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经核定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给予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奖励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支持本地企业、机构开展面向数字游民的培训活动，对全年培训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数字游民达到一定数量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经核定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给予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奖励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推动优化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安居房等保障性住房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政策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，鼓励符合条件的数字游民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购买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人才安居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房等保障性住房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牵头单位：市科工信局；责任单位：市委人才发展局、洋浦国际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）</w:t>
      </w:r>
    </w:p>
    <w:p w14:paraId="58195A0F">
      <w:pPr>
        <w:spacing w:line="578" w:lineRule="exact"/>
        <w:ind w:firstLine="643" w:firstLineChars="200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highlight w:val="none"/>
        </w:rPr>
        <w:t>1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highlight w:val="none"/>
        </w:rPr>
        <w:t>.</w:t>
      </w:r>
      <w:bookmarkStart w:id="0" w:name="OLE_LINK1"/>
      <w:r>
        <w:rPr>
          <w:rFonts w:hint="eastAsia" w:ascii="楷体_GB2312" w:hAnsi="Times New Roman" w:eastAsia="楷体_GB2312" w:cs="Times New Roman"/>
          <w:b/>
          <w:bCs/>
          <w:sz w:val="32"/>
          <w:szCs w:val="32"/>
          <w:highlight w:val="none"/>
        </w:rPr>
        <w:t>完善数字游民</w:t>
      </w:r>
      <w:bookmarkEnd w:id="0"/>
      <w:r>
        <w:rPr>
          <w:rFonts w:hint="eastAsia" w:ascii="楷体_GB2312" w:hAnsi="Times New Roman" w:eastAsia="楷体_GB2312" w:cs="Times New Roman"/>
          <w:b/>
          <w:bCs/>
          <w:sz w:val="32"/>
          <w:szCs w:val="32"/>
          <w:highlight w:val="none"/>
        </w:rPr>
        <w:t>科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技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highlight w:val="none"/>
        </w:rPr>
        <w:t>创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新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highlight w:val="none"/>
        </w:rPr>
        <w:t>政策。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按规定申请享受省、市科技创新政策。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推动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建设数字产业创新孵化平台，探索实施数据创新券制度，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对接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推动省科技数据创新券政策工具覆盖数字游民群体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支持数字游民社区示范点建设，对固定资产投资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达到一定规模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（儋州市统计局纳统为准）以上的，经核定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给予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奖励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支持符合条件的数字游民社区示范点申请离岸人才创新创业基地、众创空间、市场主体住所托管、服务创新综合体等资质，按规定申请享受对应支持政策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探索实施数字游民“揭榜挂帅”计划和配套奖补机制，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动态发布企业技术需求榜单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建立“榜单发布—资格审核—揭榜签约—过程监管”全流程机制，支持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本地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数字游民以团队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者工作室</w:t>
      </w:r>
      <w:r>
        <w:rPr>
          <w:rFonts w:ascii="Times New Roman" w:hAnsi="Times New Roman" w:eastAsia="仿宋_GB2312" w:cs="Times New Roman"/>
          <w:sz w:val="32"/>
          <w:szCs w:val="32"/>
        </w:rPr>
        <w:t>形式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推动技术成果快速落地赋能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支持数字游民创新创业企业享受融资担保、融资贴息等普惠金融奖励政策。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牵头单位：市科工信局；责任单位：市府办金融科、市发改委、市科协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</w:p>
    <w:p w14:paraId="5BCD9947">
      <w:pPr>
        <w:widowControl/>
        <w:shd w:val="clear" w:color="auto" w:fill="FFFFFF"/>
        <w:spacing w:line="578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highlight w:val="none"/>
        </w:rPr>
        <w:t>.完善数字游民产业政策。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支持数字游民企业按规定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申请享受乡村振兴、先进制造业、现代服务业等产业政策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支持举办数字游民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、数字贸易等相关领域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会议会展活动，举办方按规定申请享受省或市级会议会展奖励政策。支持数字贸易、数字科技等数字经济企业参与全功能型自由贸易（EF）帐户申报测试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加强与省自贸港基金联动，积极对接优质基金管理人，推动设立数字经济人才基金，重点支持数字科技精英和数字游民超级个体创新创业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推动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设立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数字游民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数据资产专项投资基金，聚焦优质数据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资产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投资，吸引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各类数字游民企业将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产值与数据加工业务布局于示范区。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牵头单位：洋浦投促局；责任单位：市委人才发展局、市府办金融科、市科工信局、环湾投资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）</w:t>
      </w:r>
    </w:p>
    <w:p w14:paraId="15A046AF"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1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.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提升对外籍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数字游民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的服务管理水平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争取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数字游民签证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便利化政策试点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，为符合条件的外籍数字游民提供6个月到1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的工作和停居留许可，允许其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依法在我国</w:t>
      </w:r>
      <w:r>
        <w:rPr>
          <w:rFonts w:hint="eastAsia" w:ascii="仿宋_GB2312" w:hAnsi="仿宋_GB2312" w:eastAsia="仿宋_GB2312" w:cs="仿宋_GB2312"/>
          <w:sz w:val="32"/>
          <w:szCs w:val="32"/>
        </w:rPr>
        <w:t>境内开展远程软件研发、数字内容创作、跨境电商运营等工作。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实施自贸港数字游民“一卡通”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，对接“海易办”政务平台，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连通数字游民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服务平台，实</w:t>
      </w:r>
      <w:r>
        <w:rPr>
          <w:rFonts w:hint="eastAsia" w:ascii="仿宋_GB2312" w:hAnsi="仿宋_GB2312" w:eastAsia="仿宋_GB2312" w:cs="仿宋_GB2312"/>
          <w:sz w:val="32"/>
          <w:szCs w:val="32"/>
        </w:rPr>
        <w:t>现补贴申领、证照办理等20余项高频事项“一卡通办”，配套开发多语种服务界面，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提升对外籍人士的服务水平和体验，营造国际化、便利化的工作生活环境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牵头单位：科工信局；责任单位：市人社局、市公安局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6406F58">
      <w:pPr>
        <w:spacing w:line="578" w:lineRule="exact"/>
        <w:ind w:firstLine="640" w:firstLineChars="200"/>
        <w:outlineLvl w:val="1"/>
        <w:rPr>
          <w:rFonts w:ascii="楷体_GB2312" w:hAnsi="仿宋_GB2312" w:eastAsia="楷体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  <w:t>（五）推动平台聚民，创设国际性会议会展品牌</w:t>
      </w:r>
    </w:p>
    <w:p w14:paraId="604A78C5">
      <w:pPr>
        <w:spacing w:line="578" w:lineRule="exact"/>
        <w:ind w:firstLine="643" w:firstLineChars="200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打造国际化的数字经济和数字游民交流平台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支持企业引进或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举办高水平的会议论坛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等活动，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打造数字金融、数字文旅新消费、文娱元宇宙、智能网联汽车、新型跨境（工业）电商、传统产业数智化转型升级和国际跨境互联网（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数据编织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）设施的生态招商和国际交流平台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；</w:t>
      </w:r>
      <w:r>
        <w:rPr>
          <w:rFonts w:ascii="仿宋_GB2312" w:hAnsi="楷体" w:eastAsia="仿宋_GB2312" w:cs="宋体"/>
          <w:kern w:val="0"/>
          <w:sz w:val="32"/>
          <w:szCs w:val="32"/>
        </w:rPr>
        <w:t>持续</w:t>
      </w:r>
      <w:r>
        <w:rPr>
          <w:rFonts w:hint="eastAsia" w:ascii="仿宋_GB2312" w:hAnsi="楷体" w:eastAsia="仿宋_GB2312" w:cs="宋体"/>
          <w:kern w:val="0"/>
          <w:sz w:val="32"/>
          <w:szCs w:val="32"/>
          <w:lang w:val="en-US" w:eastAsia="zh-CN"/>
        </w:rPr>
        <w:t>提升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儋洋数字经济论坛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的影响力。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支持科创平台在儋州共建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相关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智库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聚焦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跨境数据来数加工、</w:t>
      </w:r>
      <w:r>
        <w:rPr>
          <w:rFonts w:ascii="Times New Roman" w:hAnsi="Times New Roman" w:eastAsia="仿宋_GB2312" w:cs="Times New Roman"/>
          <w:sz w:val="32"/>
          <w:szCs w:val="32"/>
        </w:rPr>
        <w:t>跨境电商智能选品、数据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加工</w:t>
      </w:r>
      <w:r>
        <w:rPr>
          <w:rFonts w:ascii="Times New Roman" w:hAnsi="Times New Roman" w:eastAsia="仿宋_GB2312" w:cs="Times New Roman"/>
          <w:sz w:val="32"/>
          <w:szCs w:val="32"/>
        </w:rPr>
        <w:t>增值服务等自贸港特色领域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支持举办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各类数字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数字创客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赛事活动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对获奖项目给予产业化支持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适时</w:t>
      </w:r>
      <w:r>
        <w:rPr>
          <w:rFonts w:ascii="Times New Roman" w:hAnsi="Times New Roman" w:eastAsia="仿宋_GB2312" w:cs="Times New Roman"/>
          <w:sz w:val="32"/>
          <w:szCs w:val="32"/>
        </w:rPr>
        <w:t>建立“获奖项目—企业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</w:t>
      </w:r>
      <w:r>
        <w:rPr>
          <w:rFonts w:ascii="Times New Roman" w:hAnsi="Times New Roman" w:eastAsia="仿宋_GB2312" w:cs="Times New Roman"/>
          <w:sz w:val="32"/>
          <w:szCs w:val="32"/>
        </w:rPr>
        <w:t>产业园”对接机制，推动数字成果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转化</w:t>
      </w:r>
      <w:r>
        <w:rPr>
          <w:rFonts w:ascii="Times New Roman" w:hAnsi="Times New Roman" w:eastAsia="仿宋_GB2312" w:cs="Times New Roman"/>
          <w:sz w:val="32"/>
          <w:szCs w:val="32"/>
        </w:rPr>
        <w:t>落地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支持</w:t>
      </w:r>
      <w:r>
        <w:rPr>
          <w:rFonts w:ascii="Times New Roman" w:hAnsi="Times New Roman" w:eastAsia="仿宋_GB2312" w:cs="Times New Roman"/>
          <w:sz w:val="32"/>
          <w:szCs w:val="32"/>
        </w:rPr>
        <w:t>举办“数字游民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一带一路国家和地区</w:t>
      </w:r>
      <w:r>
        <w:rPr>
          <w:rFonts w:ascii="Times New Roman" w:hAnsi="Times New Roman" w:eastAsia="仿宋_GB2312" w:cs="Times New Roman"/>
          <w:sz w:val="32"/>
          <w:szCs w:val="32"/>
        </w:rPr>
        <w:t>企业对接会”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搭建在创新成果与国际市场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桥梁，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推动本地数字游民成果出海。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牵头单位：洋浦投促局；责任单位：市委网信办、市政府环湾办、市发改委、市科工信局、洋浦国际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0B17A67E">
      <w:pPr>
        <w:spacing w:line="578" w:lineRule="exact"/>
        <w:ind w:firstLine="640" w:firstLineChars="200"/>
        <w:outlineLvl w:val="0"/>
        <w:rPr>
          <w:rFonts w:hint="eastAsia" w:ascii="黑体" w:hAnsi="黑体" w:eastAsia="黑体" w:cs="仿宋_GB2312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黑体" w:hAnsi="黑体" w:eastAsia="黑体" w:cs="仿宋_GB2312"/>
          <w:kern w:val="0"/>
          <w:sz w:val="32"/>
          <w:szCs w:val="32"/>
          <w:lang w:bidi="ar"/>
        </w:rPr>
        <w:t>、保障措施</w:t>
      </w:r>
    </w:p>
    <w:p w14:paraId="226AD97A">
      <w:pPr>
        <w:widowControl/>
        <w:spacing w:line="578" w:lineRule="exact"/>
        <w:ind w:firstLine="640" w:firstLineChars="200"/>
        <w:outlineLvl w:val="1"/>
        <w:rPr>
          <w:rFonts w:hint="eastAsia" w:ascii="楷体_GB2312" w:hAnsi="楷体" w:eastAsia="楷体_GB2312" w:cs="宋体"/>
          <w:kern w:val="0"/>
          <w:sz w:val="32"/>
          <w:szCs w:val="32"/>
        </w:rPr>
      </w:pPr>
      <w:bookmarkStart w:id="1" w:name="_Toc21129"/>
      <w:bookmarkStart w:id="2" w:name="_Toc16124"/>
      <w:r>
        <w:rPr>
          <w:rFonts w:hint="eastAsia" w:ascii="楷体_GB2312" w:hAnsi="楷体" w:eastAsia="楷体_GB2312" w:cs="宋体"/>
          <w:kern w:val="0"/>
          <w:sz w:val="32"/>
          <w:szCs w:val="32"/>
        </w:rPr>
        <w:t>（一）加强组织领导</w:t>
      </w:r>
      <w:bookmarkEnd w:id="1"/>
      <w:bookmarkEnd w:id="2"/>
    </w:p>
    <w:p w14:paraId="72B76EEE">
      <w:pPr>
        <w:spacing w:line="578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儋州市数字经济工作专班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牵头，会同有关部门负责组织实施示范区建设方案，做好方案的任务分解、推动落实和督促检查，牵头制定示范区专项支持政策，研究推动示范区建设的重大项目和规划计划，协调解决任务落实过程中的问题和堵点</w:t>
      </w:r>
      <w:r>
        <w:rPr>
          <w:rFonts w:ascii="仿宋_GB2312" w:hAnsi="楷体" w:eastAsia="仿宋_GB2312" w:cs="宋体"/>
          <w:kern w:val="0"/>
          <w:sz w:val="32"/>
          <w:szCs w:val="32"/>
        </w:rPr>
        <w:t>，确保各项工作有序推进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。重要成果和重大问题及时向省委、省政府报告。</w:t>
      </w:r>
    </w:p>
    <w:p w14:paraId="07EA9C01">
      <w:pPr>
        <w:widowControl/>
        <w:spacing w:line="578" w:lineRule="exact"/>
        <w:ind w:firstLine="640" w:firstLineChars="200"/>
        <w:outlineLvl w:val="1"/>
        <w:rPr>
          <w:rFonts w:hint="eastAsia" w:ascii="楷体_GB2312" w:hAnsi="楷体" w:eastAsia="楷体_GB2312" w:cs="宋体"/>
          <w:kern w:val="0"/>
          <w:sz w:val="32"/>
          <w:szCs w:val="32"/>
        </w:rPr>
      </w:pPr>
      <w:bookmarkStart w:id="3" w:name="_Toc19218"/>
      <w:bookmarkStart w:id="4" w:name="_Toc26771"/>
      <w:r>
        <w:rPr>
          <w:rFonts w:hint="eastAsia" w:ascii="楷体_GB2312" w:hAnsi="楷体" w:eastAsia="楷体_GB2312" w:cs="宋体"/>
          <w:kern w:val="0"/>
          <w:sz w:val="32"/>
          <w:szCs w:val="32"/>
        </w:rPr>
        <w:t>（二）加强</w:t>
      </w:r>
      <w:bookmarkEnd w:id="3"/>
      <w:bookmarkEnd w:id="4"/>
      <w:r>
        <w:rPr>
          <w:rFonts w:hint="eastAsia" w:ascii="楷体_GB2312" w:hAnsi="楷体" w:eastAsia="楷体_GB2312" w:cs="宋体"/>
          <w:kern w:val="0"/>
          <w:sz w:val="32"/>
          <w:szCs w:val="32"/>
        </w:rPr>
        <w:t>资金保障</w:t>
      </w:r>
    </w:p>
    <w:p w14:paraId="2B099DAF">
      <w:pPr>
        <w:widowControl/>
        <w:shd w:val="clear" w:color="auto" w:fill="FFFFFF"/>
        <w:spacing w:line="578" w:lineRule="exact"/>
        <w:ind w:firstLine="640" w:firstLineChars="200"/>
        <w:textAlignment w:val="baseline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相关行业主管部门</w:t>
      </w:r>
      <w:r>
        <w:rPr>
          <w:rFonts w:hint="eastAsia" w:ascii="仿宋_GB2312" w:hAnsi="楷体" w:eastAsia="仿宋_GB2312" w:cs="宋体"/>
          <w:kern w:val="0"/>
          <w:sz w:val="32"/>
          <w:szCs w:val="32"/>
          <w:lang w:val="en-US" w:eastAsia="zh-CN"/>
        </w:rPr>
        <w:t>积极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对接省发改委、省科技厅、省工信厅、省商务厅等省级有关部门</w:t>
      </w:r>
      <w:r>
        <w:rPr>
          <w:rFonts w:hint="eastAsia" w:ascii="仿宋_GB2312" w:hAnsi="楷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宋体"/>
          <w:kern w:val="0"/>
          <w:sz w:val="32"/>
          <w:szCs w:val="32"/>
          <w:lang w:val="en-US" w:eastAsia="zh-CN"/>
        </w:rPr>
        <w:t>争取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对示范区建设的财政资金支持，积极协助申请中央预算内投资专项、国家超长期国债、专项债、政策性金融工具等资金支持，为示范区人才、科创等政策实施提供财力保障和兑付绿色通道。</w:t>
      </w:r>
    </w:p>
    <w:p w14:paraId="359CAAA1">
      <w:pPr>
        <w:widowControl/>
        <w:spacing w:line="578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（三）加强要素保障</w:t>
      </w:r>
    </w:p>
    <w:p w14:paraId="681B5B40">
      <w:pPr>
        <w:widowControl/>
        <w:spacing w:line="578" w:lineRule="exact"/>
        <w:ind w:firstLine="640" w:firstLineChars="200"/>
        <w:rPr>
          <w:rFonts w:hint="eastAsia"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  <w:lang w:val="en-US" w:eastAsia="zh-CN"/>
        </w:rPr>
        <w:t>由市政府环湾办牵头，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会同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市级相关行业主管部门，</w:t>
      </w:r>
      <w:r>
        <w:rPr>
          <w:rFonts w:ascii="仿宋_GB2312" w:hAnsi="楷体" w:eastAsia="仿宋_GB2312" w:cs="宋体"/>
          <w:kern w:val="0"/>
          <w:sz w:val="32"/>
          <w:szCs w:val="32"/>
        </w:rPr>
        <w:t>保障数字游民社区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示范点</w:t>
      </w:r>
      <w:r>
        <w:rPr>
          <w:rFonts w:ascii="仿宋_GB2312" w:hAnsi="楷体" w:eastAsia="仿宋_GB2312" w:cs="宋体"/>
          <w:kern w:val="0"/>
          <w:sz w:val="32"/>
          <w:szCs w:val="32"/>
        </w:rPr>
        <w:t>、共享办公空间、数字经济产业园区等项目用地需求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，鼓励采取先租后让、弹性年期等方式</w:t>
      </w:r>
      <w:r>
        <w:rPr>
          <w:rFonts w:hint="eastAsia" w:ascii="仿宋_GB2312" w:hAnsi="楷体" w:eastAsia="仿宋_GB2312" w:cs="宋体"/>
          <w:kern w:val="0"/>
          <w:sz w:val="32"/>
          <w:szCs w:val="32"/>
          <w:lang w:val="en-US" w:eastAsia="zh-CN"/>
        </w:rPr>
        <w:t>供应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土地</w:t>
      </w:r>
      <w:r>
        <w:rPr>
          <w:rFonts w:ascii="仿宋_GB2312" w:hAnsi="楷体" w:eastAsia="仿宋_GB2312" w:cs="宋体"/>
          <w:kern w:val="0"/>
          <w:sz w:val="32"/>
          <w:szCs w:val="32"/>
        </w:rPr>
        <w:t>。在符合国土空间规划的前提下，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支持</w:t>
      </w:r>
      <w:r>
        <w:rPr>
          <w:rFonts w:hint="eastAsia" w:ascii="仿宋_GB2312" w:hAnsi="楷体" w:eastAsia="仿宋_GB2312" w:cs="宋体"/>
          <w:kern w:val="0"/>
          <w:sz w:val="32"/>
          <w:szCs w:val="32"/>
          <w:lang w:val="en-US" w:eastAsia="zh-CN"/>
        </w:rPr>
        <w:t>企业将</w:t>
      </w:r>
      <w:r>
        <w:rPr>
          <w:rFonts w:ascii="仿宋_GB2312" w:hAnsi="楷体" w:eastAsia="仿宋_GB2312" w:cs="宋体"/>
          <w:kern w:val="0"/>
          <w:sz w:val="32"/>
          <w:szCs w:val="32"/>
        </w:rPr>
        <w:t>国有低效资产、闲置厂房、农宅等资源，改造为数字游民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社区示范点等</w:t>
      </w:r>
      <w:r>
        <w:rPr>
          <w:rFonts w:ascii="仿宋_GB2312" w:hAnsi="楷体" w:eastAsia="仿宋_GB2312" w:cs="宋体"/>
          <w:kern w:val="0"/>
          <w:sz w:val="32"/>
          <w:szCs w:val="32"/>
        </w:rPr>
        <w:t>空间，提高土地利用效率。</w:t>
      </w:r>
    </w:p>
    <w:p w14:paraId="4BC1428A">
      <w:pPr>
        <w:widowControl/>
        <w:spacing w:line="578" w:lineRule="exact"/>
        <w:ind w:firstLine="640" w:firstLineChars="200"/>
        <w:outlineLvl w:val="1"/>
        <w:rPr>
          <w:rFonts w:hint="eastAsia" w:ascii="楷体_GB2312" w:hAnsi="楷体" w:eastAsia="楷体_GB2312" w:cs="宋体"/>
          <w:kern w:val="0"/>
          <w:sz w:val="32"/>
          <w:szCs w:val="32"/>
        </w:rPr>
      </w:pPr>
      <w:bookmarkStart w:id="5" w:name="_Toc16513"/>
      <w:bookmarkStart w:id="6" w:name="_Toc6947"/>
      <w:r>
        <w:rPr>
          <w:rFonts w:hint="eastAsia" w:ascii="楷体_GB2312" w:hAnsi="楷体" w:eastAsia="楷体_GB2312" w:cs="宋体"/>
          <w:kern w:val="0"/>
          <w:sz w:val="32"/>
          <w:szCs w:val="32"/>
        </w:rPr>
        <w:t>（四）加强</w:t>
      </w:r>
      <w:bookmarkEnd w:id="5"/>
      <w:bookmarkEnd w:id="6"/>
      <w:r>
        <w:rPr>
          <w:rFonts w:hint="eastAsia" w:ascii="楷体_GB2312" w:hAnsi="楷体" w:eastAsia="楷体_GB2312" w:cs="宋体"/>
          <w:kern w:val="0"/>
          <w:sz w:val="32"/>
          <w:szCs w:val="32"/>
        </w:rPr>
        <w:t>宣传推广</w:t>
      </w:r>
    </w:p>
    <w:p w14:paraId="5CCF3524">
      <w:pPr>
        <w:widowControl/>
        <w:spacing w:line="578" w:lineRule="exact"/>
        <w:ind w:firstLine="640" w:firstLineChars="200"/>
        <w:rPr>
          <w:rFonts w:hint="eastAsia"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  <w:lang w:val="en-US" w:eastAsia="zh-CN"/>
        </w:rPr>
        <w:t>坚持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“走出去”“引进来”，联合国内先进城市和地区数字游民机构、协会、企业，</w:t>
      </w:r>
      <w:r>
        <w:rPr>
          <w:rFonts w:hint="eastAsia" w:ascii="仿宋_GB2312" w:hAnsi="楷体" w:eastAsia="仿宋_GB2312" w:cs="宋体"/>
          <w:kern w:val="0"/>
          <w:sz w:val="32"/>
          <w:szCs w:val="32"/>
          <w:lang w:val="en-US" w:eastAsia="zh-CN"/>
        </w:rPr>
        <w:t>加大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数字游民常态化宣传推广</w:t>
      </w:r>
      <w:r>
        <w:rPr>
          <w:rFonts w:hint="eastAsia" w:ascii="仿宋_GB2312" w:hAnsi="楷体" w:eastAsia="仿宋_GB2312" w:cs="宋体"/>
          <w:kern w:val="0"/>
          <w:sz w:val="32"/>
          <w:szCs w:val="32"/>
          <w:lang w:val="en-US" w:eastAsia="zh-CN"/>
        </w:rPr>
        <w:t>力度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。增加在交通枢纽窗口和数字游民众创空间、社交媒体、网络社区等的广告精准投放，持续扩大曝光度和知晓度。鼓励示范区宣传片、探访视频、摄影作品、专栏文章等传播资源的编辑创作，充分用好</w:t>
      </w:r>
      <w:r>
        <w:rPr>
          <w:rFonts w:ascii="仿宋_GB2312" w:hAnsi="楷体" w:eastAsia="仿宋_GB2312" w:cs="宋体"/>
          <w:kern w:val="0"/>
          <w:sz w:val="32"/>
          <w:szCs w:val="32"/>
        </w:rPr>
        <w:t>各类社交媒体平台、专业论坛等渠道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网络，宣传有调性、有品位、有魅力的城市形象</w:t>
      </w:r>
      <w:r>
        <w:rPr>
          <w:rFonts w:ascii="仿宋_GB2312" w:hAnsi="楷体" w:eastAsia="仿宋_GB2312" w:cs="宋体"/>
          <w:kern w:val="0"/>
          <w:sz w:val="32"/>
          <w:szCs w:val="32"/>
        </w:rPr>
        <w:t>。</w:t>
      </w:r>
    </w:p>
    <w:p w14:paraId="32730230">
      <w:pPr>
        <w:spacing w:line="578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4604BEB">
      <w:pPr>
        <w:widowControl/>
        <w:spacing w:line="578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default" w:ascii="仿宋_GB2312" w:hAnsi="楷体" w:eastAsia="仿宋_GB2312" w:cs="宋体"/>
          <w:kern w:val="0"/>
          <w:sz w:val="32"/>
          <w:szCs w:val="32"/>
          <w:lang w:val="en-US" w:eastAsia="zh-CN" w:bidi="ar-SA"/>
        </w:rPr>
        <w:t>本方案自发布之日起实施</w:t>
      </w:r>
      <w:r>
        <w:rPr>
          <w:rFonts w:hint="default" w:ascii="仿宋_GB2312" w:hAnsi="楷体" w:eastAsia="仿宋_GB2312" w:cs="宋体"/>
          <w:kern w:val="0"/>
          <w:sz w:val="32"/>
          <w:szCs w:val="32"/>
        </w:rPr>
        <w:t>，试行三年。在实施期间，如</w:t>
      </w:r>
      <w:r>
        <w:rPr>
          <w:rFonts w:hint="default" w:ascii="仿宋_GB2312" w:hAnsi="楷体" w:eastAsia="仿宋_GB2312" w:cs="宋体"/>
          <w:kern w:val="0"/>
          <w:sz w:val="32"/>
          <w:szCs w:val="32"/>
          <w:lang w:val="en-US" w:eastAsia="zh-CN"/>
        </w:rPr>
        <w:t>遇</w:t>
      </w:r>
      <w:r>
        <w:rPr>
          <w:rFonts w:hint="default" w:ascii="仿宋_GB2312" w:hAnsi="楷体" w:eastAsia="仿宋_GB2312" w:cs="宋体"/>
          <w:kern w:val="0"/>
          <w:sz w:val="32"/>
          <w:szCs w:val="32"/>
        </w:rPr>
        <w:t>相关法律、法规及政策出现调整，按调整后的内容执行。</w:t>
      </w:r>
      <w:r>
        <w:rPr>
          <w:rFonts w:hint="default" w:ascii="仿宋_GB2312" w:hAnsi="楷体" w:eastAsia="仿宋_GB2312" w:cs="宋体"/>
          <w:kern w:val="0"/>
          <w:sz w:val="32"/>
          <w:szCs w:val="32"/>
          <w:lang w:val="en-US" w:eastAsia="zh-CN" w:bidi="ar-SA"/>
        </w:rPr>
        <w:t>本方案</w:t>
      </w:r>
      <w:r>
        <w:rPr>
          <w:rFonts w:hint="default" w:ascii="仿宋_GB2312" w:hAnsi="楷体" w:eastAsia="仿宋_GB2312" w:cs="宋体"/>
          <w:kern w:val="0"/>
          <w:sz w:val="32"/>
          <w:szCs w:val="32"/>
        </w:rPr>
        <w:t>由</w:t>
      </w:r>
      <w:r>
        <w:rPr>
          <w:rFonts w:hint="default" w:ascii="仿宋_GB2312" w:hAnsi="楷体" w:eastAsia="仿宋_GB2312" w:cs="宋体"/>
          <w:kern w:val="0"/>
          <w:sz w:val="32"/>
          <w:szCs w:val="32"/>
          <w:lang w:val="en-US" w:eastAsia="zh-CN"/>
        </w:rPr>
        <w:t>儋州市科学技术和工业信息化局（儋州市人民政府环新英湾开发建设管理办公室）</w:t>
      </w:r>
      <w:r>
        <w:rPr>
          <w:rFonts w:hint="default" w:ascii="仿宋_GB2312" w:hAnsi="楷体" w:eastAsia="仿宋_GB2312" w:cs="宋体"/>
          <w:kern w:val="0"/>
          <w:sz w:val="32"/>
          <w:szCs w:val="32"/>
        </w:rPr>
        <w:t>负责解释。</w:t>
      </w:r>
    </w:p>
    <w:p w14:paraId="38198D60">
      <w:pPr>
        <w:spacing w:line="578" w:lineRule="exact"/>
        <w:ind w:firstLine="0" w:firstLineChars="0"/>
        <w:rPr>
          <w:lang w:val="en-US" w:eastAsia="zh-CN"/>
        </w:rPr>
      </w:pPr>
    </w:p>
    <w:p w14:paraId="2E99525A">
      <w:pPr>
        <w:spacing w:line="578" w:lineRule="exact"/>
        <w:ind w:firstLine="420" w:firstLineChars="200"/>
        <w:rPr>
          <w:lang w:val="en-US" w:eastAsia="zh-CN"/>
        </w:rPr>
      </w:pPr>
    </w:p>
    <w:p w14:paraId="6D9139F8">
      <w:pPr>
        <w:spacing w:line="578" w:lineRule="exact"/>
        <w:ind w:firstLine="0" w:firstLineChars="0"/>
        <w:jc w:val="center"/>
        <w:rPr>
          <w:lang w:val="en-US" w:eastAsia="zh-CN"/>
        </w:rPr>
      </w:pPr>
    </w:p>
    <w:sectPr>
      <w:footerReference r:id="rId3" w:type="default"/>
      <w:pgSz w:w="11906" w:h="16838"/>
      <w:pgMar w:top="2154" w:right="1474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AD4E1A-3549-4C26-B85D-3CF5F8394C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5EFC209-5317-4783-ABC6-050956AEFC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9A41768-71D3-49D3-A506-BBEAED1CE2D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EE9E90E-A43F-4D1F-A68F-F28913F8E4D8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498A9E34-1553-4374-8BCD-9D1DED2FB914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6" w:fontKey="{581D2FB1-1973-4248-866C-0ED4902CFEA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015F63D-34E6-41CF-9512-15FF351CE19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8A77822E-C766-4E50-B33F-79A8F498EBA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0637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04D3F">
                          <w:pPr>
                            <w:pStyle w:val="6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204D3F">
                    <w:pPr>
                      <w:pStyle w:val="6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6B3A9C"/>
    <w:rsid w:val="000423EA"/>
    <w:rsid w:val="00045431"/>
    <w:rsid w:val="00071D23"/>
    <w:rsid w:val="00075347"/>
    <w:rsid w:val="000816B0"/>
    <w:rsid w:val="0008403B"/>
    <w:rsid w:val="00092694"/>
    <w:rsid w:val="000969AD"/>
    <w:rsid w:val="000D1548"/>
    <w:rsid w:val="000E1778"/>
    <w:rsid w:val="000E6CFA"/>
    <w:rsid w:val="000F5646"/>
    <w:rsid w:val="00106D84"/>
    <w:rsid w:val="00120E4B"/>
    <w:rsid w:val="00122FF0"/>
    <w:rsid w:val="00163B45"/>
    <w:rsid w:val="0018142C"/>
    <w:rsid w:val="001A609F"/>
    <w:rsid w:val="001D67C1"/>
    <w:rsid w:val="001F2AA7"/>
    <w:rsid w:val="00222FFB"/>
    <w:rsid w:val="00233E33"/>
    <w:rsid w:val="00234592"/>
    <w:rsid w:val="00241B70"/>
    <w:rsid w:val="00243626"/>
    <w:rsid w:val="00247FE6"/>
    <w:rsid w:val="00250045"/>
    <w:rsid w:val="00267D7D"/>
    <w:rsid w:val="00282C69"/>
    <w:rsid w:val="002B0530"/>
    <w:rsid w:val="002B41ED"/>
    <w:rsid w:val="002C73A2"/>
    <w:rsid w:val="002C73B5"/>
    <w:rsid w:val="002E729F"/>
    <w:rsid w:val="002E7903"/>
    <w:rsid w:val="002F3F67"/>
    <w:rsid w:val="002F6477"/>
    <w:rsid w:val="002F6C4A"/>
    <w:rsid w:val="00301410"/>
    <w:rsid w:val="00302061"/>
    <w:rsid w:val="00304B36"/>
    <w:rsid w:val="00311A77"/>
    <w:rsid w:val="00357A4C"/>
    <w:rsid w:val="00364A85"/>
    <w:rsid w:val="00367479"/>
    <w:rsid w:val="003A5C24"/>
    <w:rsid w:val="003A7777"/>
    <w:rsid w:val="003C03E0"/>
    <w:rsid w:val="003C288F"/>
    <w:rsid w:val="003C31A0"/>
    <w:rsid w:val="003F0421"/>
    <w:rsid w:val="00402711"/>
    <w:rsid w:val="00412AC5"/>
    <w:rsid w:val="0042603E"/>
    <w:rsid w:val="004313EF"/>
    <w:rsid w:val="00433F43"/>
    <w:rsid w:val="004350C1"/>
    <w:rsid w:val="00442FCD"/>
    <w:rsid w:val="0044760E"/>
    <w:rsid w:val="00453BE4"/>
    <w:rsid w:val="0045577C"/>
    <w:rsid w:val="004629DA"/>
    <w:rsid w:val="0046308A"/>
    <w:rsid w:val="00475927"/>
    <w:rsid w:val="004778BB"/>
    <w:rsid w:val="004868A9"/>
    <w:rsid w:val="00491192"/>
    <w:rsid w:val="004930D4"/>
    <w:rsid w:val="004A147C"/>
    <w:rsid w:val="004B4D11"/>
    <w:rsid w:val="004C05F2"/>
    <w:rsid w:val="004C7121"/>
    <w:rsid w:val="004D7CB2"/>
    <w:rsid w:val="004E17A5"/>
    <w:rsid w:val="004E6B5C"/>
    <w:rsid w:val="004F667A"/>
    <w:rsid w:val="00503207"/>
    <w:rsid w:val="00524643"/>
    <w:rsid w:val="00551061"/>
    <w:rsid w:val="005563C7"/>
    <w:rsid w:val="00567F50"/>
    <w:rsid w:val="0058113F"/>
    <w:rsid w:val="005919B8"/>
    <w:rsid w:val="005A6A8F"/>
    <w:rsid w:val="005B489E"/>
    <w:rsid w:val="005B5712"/>
    <w:rsid w:val="005B73DA"/>
    <w:rsid w:val="005D6718"/>
    <w:rsid w:val="005E7038"/>
    <w:rsid w:val="005F24CA"/>
    <w:rsid w:val="00602AC5"/>
    <w:rsid w:val="0062363B"/>
    <w:rsid w:val="00625A07"/>
    <w:rsid w:val="00643C78"/>
    <w:rsid w:val="00664D54"/>
    <w:rsid w:val="0067779C"/>
    <w:rsid w:val="00692BA9"/>
    <w:rsid w:val="006C18D7"/>
    <w:rsid w:val="006C2463"/>
    <w:rsid w:val="006C2BAB"/>
    <w:rsid w:val="006C5F84"/>
    <w:rsid w:val="006E6A6E"/>
    <w:rsid w:val="00700130"/>
    <w:rsid w:val="0071041E"/>
    <w:rsid w:val="00725766"/>
    <w:rsid w:val="00752106"/>
    <w:rsid w:val="00762816"/>
    <w:rsid w:val="007808E4"/>
    <w:rsid w:val="007A6773"/>
    <w:rsid w:val="007C19C4"/>
    <w:rsid w:val="007D21AD"/>
    <w:rsid w:val="00812407"/>
    <w:rsid w:val="0086128B"/>
    <w:rsid w:val="00881C7C"/>
    <w:rsid w:val="008959DE"/>
    <w:rsid w:val="008E1105"/>
    <w:rsid w:val="008E4881"/>
    <w:rsid w:val="00917837"/>
    <w:rsid w:val="0093087D"/>
    <w:rsid w:val="00933C9D"/>
    <w:rsid w:val="00944CD7"/>
    <w:rsid w:val="00952785"/>
    <w:rsid w:val="00997545"/>
    <w:rsid w:val="009A72A0"/>
    <w:rsid w:val="009B4A1C"/>
    <w:rsid w:val="009B50FB"/>
    <w:rsid w:val="009E09C4"/>
    <w:rsid w:val="009F500F"/>
    <w:rsid w:val="00A1767A"/>
    <w:rsid w:val="00A236AD"/>
    <w:rsid w:val="00A36559"/>
    <w:rsid w:val="00A55056"/>
    <w:rsid w:val="00A83884"/>
    <w:rsid w:val="00AB2C9D"/>
    <w:rsid w:val="00AD5DD5"/>
    <w:rsid w:val="00AE3828"/>
    <w:rsid w:val="00AF1A2B"/>
    <w:rsid w:val="00AF5E97"/>
    <w:rsid w:val="00B14AED"/>
    <w:rsid w:val="00B34568"/>
    <w:rsid w:val="00B40B9F"/>
    <w:rsid w:val="00B41038"/>
    <w:rsid w:val="00B4393D"/>
    <w:rsid w:val="00B45331"/>
    <w:rsid w:val="00B65A76"/>
    <w:rsid w:val="00B737B8"/>
    <w:rsid w:val="00B82BF3"/>
    <w:rsid w:val="00B908D0"/>
    <w:rsid w:val="00BA4854"/>
    <w:rsid w:val="00BB5EDF"/>
    <w:rsid w:val="00BC4AC0"/>
    <w:rsid w:val="00BD2569"/>
    <w:rsid w:val="00C06E09"/>
    <w:rsid w:val="00C25389"/>
    <w:rsid w:val="00C268CD"/>
    <w:rsid w:val="00C2695F"/>
    <w:rsid w:val="00C5024D"/>
    <w:rsid w:val="00C5209A"/>
    <w:rsid w:val="00C72049"/>
    <w:rsid w:val="00C7247F"/>
    <w:rsid w:val="00C76174"/>
    <w:rsid w:val="00C9471B"/>
    <w:rsid w:val="00C94A8E"/>
    <w:rsid w:val="00C97834"/>
    <w:rsid w:val="00CB194D"/>
    <w:rsid w:val="00CB1F9D"/>
    <w:rsid w:val="00CB2A8C"/>
    <w:rsid w:val="00CD19F6"/>
    <w:rsid w:val="00CD499A"/>
    <w:rsid w:val="00CE5BC2"/>
    <w:rsid w:val="00CE696D"/>
    <w:rsid w:val="00CF37E1"/>
    <w:rsid w:val="00D12645"/>
    <w:rsid w:val="00D15B81"/>
    <w:rsid w:val="00D16C49"/>
    <w:rsid w:val="00D3620A"/>
    <w:rsid w:val="00D75DE0"/>
    <w:rsid w:val="00D8294D"/>
    <w:rsid w:val="00D93FAE"/>
    <w:rsid w:val="00DA499B"/>
    <w:rsid w:val="00DD4283"/>
    <w:rsid w:val="00DF11C5"/>
    <w:rsid w:val="00E0000B"/>
    <w:rsid w:val="00E0233E"/>
    <w:rsid w:val="00E2339B"/>
    <w:rsid w:val="00E24916"/>
    <w:rsid w:val="00E32C6B"/>
    <w:rsid w:val="00E421C5"/>
    <w:rsid w:val="00E6195E"/>
    <w:rsid w:val="00E62538"/>
    <w:rsid w:val="00E812DF"/>
    <w:rsid w:val="00E821A0"/>
    <w:rsid w:val="00E8782B"/>
    <w:rsid w:val="00E9076D"/>
    <w:rsid w:val="00EC0741"/>
    <w:rsid w:val="00ED7247"/>
    <w:rsid w:val="00F47F5D"/>
    <w:rsid w:val="00F54960"/>
    <w:rsid w:val="00F8105F"/>
    <w:rsid w:val="00F82606"/>
    <w:rsid w:val="00F8441F"/>
    <w:rsid w:val="00FA27D1"/>
    <w:rsid w:val="00FC0A90"/>
    <w:rsid w:val="00FC1243"/>
    <w:rsid w:val="00FC1D32"/>
    <w:rsid w:val="00FC491D"/>
    <w:rsid w:val="00FC49C6"/>
    <w:rsid w:val="00FC6CED"/>
    <w:rsid w:val="00FD13D1"/>
    <w:rsid w:val="00FE1EA4"/>
    <w:rsid w:val="00FE3E4C"/>
    <w:rsid w:val="00FE62A5"/>
    <w:rsid w:val="00FF0241"/>
    <w:rsid w:val="0195764A"/>
    <w:rsid w:val="029D45D5"/>
    <w:rsid w:val="03237D85"/>
    <w:rsid w:val="036D6233"/>
    <w:rsid w:val="039E565E"/>
    <w:rsid w:val="051F10E1"/>
    <w:rsid w:val="05412745"/>
    <w:rsid w:val="0576170F"/>
    <w:rsid w:val="06576B3E"/>
    <w:rsid w:val="066606B5"/>
    <w:rsid w:val="073A569E"/>
    <w:rsid w:val="075229E7"/>
    <w:rsid w:val="07893478"/>
    <w:rsid w:val="08B03E69"/>
    <w:rsid w:val="08DB66CD"/>
    <w:rsid w:val="092C7268"/>
    <w:rsid w:val="0A590531"/>
    <w:rsid w:val="0ADD339A"/>
    <w:rsid w:val="0C06006E"/>
    <w:rsid w:val="0CEA0CA3"/>
    <w:rsid w:val="0DEF1A52"/>
    <w:rsid w:val="0E43308A"/>
    <w:rsid w:val="0F040A6B"/>
    <w:rsid w:val="0F245F5A"/>
    <w:rsid w:val="0F7211ED"/>
    <w:rsid w:val="0FF54858"/>
    <w:rsid w:val="10392996"/>
    <w:rsid w:val="11A227BD"/>
    <w:rsid w:val="11A96266"/>
    <w:rsid w:val="131B45D5"/>
    <w:rsid w:val="13930956"/>
    <w:rsid w:val="151439D2"/>
    <w:rsid w:val="15586E28"/>
    <w:rsid w:val="158D108E"/>
    <w:rsid w:val="171406F0"/>
    <w:rsid w:val="17F43647"/>
    <w:rsid w:val="1A994721"/>
    <w:rsid w:val="1AED4AA9"/>
    <w:rsid w:val="1AF5570C"/>
    <w:rsid w:val="1B8E07CE"/>
    <w:rsid w:val="1B9F03A8"/>
    <w:rsid w:val="1C246FE5"/>
    <w:rsid w:val="1CA76EDA"/>
    <w:rsid w:val="1D214EDE"/>
    <w:rsid w:val="1D6EF650"/>
    <w:rsid w:val="1D70167B"/>
    <w:rsid w:val="1FBD283E"/>
    <w:rsid w:val="1FBF75C6"/>
    <w:rsid w:val="1FCB1131"/>
    <w:rsid w:val="1FFF1AE6"/>
    <w:rsid w:val="20730A5A"/>
    <w:rsid w:val="20A420AE"/>
    <w:rsid w:val="20EF0E4F"/>
    <w:rsid w:val="215D768B"/>
    <w:rsid w:val="21837F15"/>
    <w:rsid w:val="22001566"/>
    <w:rsid w:val="223D447B"/>
    <w:rsid w:val="237815D0"/>
    <w:rsid w:val="23DE7685"/>
    <w:rsid w:val="24417C14"/>
    <w:rsid w:val="24B639DB"/>
    <w:rsid w:val="25C446D8"/>
    <w:rsid w:val="25D80104"/>
    <w:rsid w:val="26E6487E"/>
    <w:rsid w:val="290C4C94"/>
    <w:rsid w:val="2A2506FF"/>
    <w:rsid w:val="2A2D5968"/>
    <w:rsid w:val="2A323871"/>
    <w:rsid w:val="2ACB46DB"/>
    <w:rsid w:val="2B397896"/>
    <w:rsid w:val="2B735917"/>
    <w:rsid w:val="2BC74EA2"/>
    <w:rsid w:val="2C424529"/>
    <w:rsid w:val="2C5D1AC1"/>
    <w:rsid w:val="2DAFD6BD"/>
    <w:rsid w:val="2DFE0923"/>
    <w:rsid w:val="2F2A282C"/>
    <w:rsid w:val="2F32147B"/>
    <w:rsid w:val="2FEF467E"/>
    <w:rsid w:val="2FFB511A"/>
    <w:rsid w:val="30D21ED3"/>
    <w:rsid w:val="310BED86"/>
    <w:rsid w:val="32605D02"/>
    <w:rsid w:val="333F5C66"/>
    <w:rsid w:val="3344327C"/>
    <w:rsid w:val="33524E23"/>
    <w:rsid w:val="33D70EFE"/>
    <w:rsid w:val="344F1ED9"/>
    <w:rsid w:val="34737BBB"/>
    <w:rsid w:val="34C77CC1"/>
    <w:rsid w:val="35170C48"/>
    <w:rsid w:val="351B6059"/>
    <w:rsid w:val="35260E8C"/>
    <w:rsid w:val="352E1AEE"/>
    <w:rsid w:val="37A4078E"/>
    <w:rsid w:val="38310ABF"/>
    <w:rsid w:val="3837624F"/>
    <w:rsid w:val="385C4308"/>
    <w:rsid w:val="38EE7F12"/>
    <w:rsid w:val="395A55A8"/>
    <w:rsid w:val="39AB48D1"/>
    <w:rsid w:val="39F50E2C"/>
    <w:rsid w:val="39F7F2BC"/>
    <w:rsid w:val="39FF47AE"/>
    <w:rsid w:val="3A964E85"/>
    <w:rsid w:val="3AFE4FBA"/>
    <w:rsid w:val="3B164422"/>
    <w:rsid w:val="3B7D22C7"/>
    <w:rsid w:val="3BEF3F1B"/>
    <w:rsid w:val="3BFBBCB9"/>
    <w:rsid w:val="3C0B2B89"/>
    <w:rsid w:val="3CC41D65"/>
    <w:rsid w:val="3D0777F5"/>
    <w:rsid w:val="3D3703C7"/>
    <w:rsid w:val="3DDE2F12"/>
    <w:rsid w:val="3DEAD673"/>
    <w:rsid w:val="3E587BDC"/>
    <w:rsid w:val="3E853997"/>
    <w:rsid w:val="3EB56CCB"/>
    <w:rsid w:val="3F5D7BA0"/>
    <w:rsid w:val="3FDE7CE7"/>
    <w:rsid w:val="3FFFD184"/>
    <w:rsid w:val="405C4A8A"/>
    <w:rsid w:val="406665E0"/>
    <w:rsid w:val="40E83499"/>
    <w:rsid w:val="415919E2"/>
    <w:rsid w:val="41A5233C"/>
    <w:rsid w:val="41C17B42"/>
    <w:rsid w:val="41DA54D8"/>
    <w:rsid w:val="437E00E5"/>
    <w:rsid w:val="44EB3AD2"/>
    <w:rsid w:val="45087BBF"/>
    <w:rsid w:val="4691727A"/>
    <w:rsid w:val="46AA2F9F"/>
    <w:rsid w:val="46CB53EF"/>
    <w:rsid w:val="476D66D1"/>
    <w:rsid w:val="477A30BB"/>
    <w:rsid w:val="48284AC3"/>
    <w:rsid w:val="48D93D7E"/>
    <w:rsid w:val="493B16DF"/>
    <w:rsid w:val="49834A60"/>
    <w:rsid w:val="49FB151C"/>
    <w:rsid w:val="4BBA3C84"/>
    <w:rsid w:val="4BF19E32"/>
    <w:rsid w:val="4CAC181F"/>
    <w:rsid w:val="4DF11C28"/>
    <w:rsid w:val="4E50267E"/>
    <w:rsid w:val="4ED41501"/>
    <w:rsid w:val="4FDC066D"/>
    <w:rsid w:val="4FFB02DE"/>
    <w:rsid w:val="50DE7239"/>
    <w:rsid w:val="513B5D25"/>
    <w:rsid w:val="51497F84"/>
    <w:rsid w:val="52D65847"/>
    <w:rsid w:val="53FF027B"/>
    <w:rsid w:val="551E7032"/>
    <w:rsid w:val="555FC9BF"/>
    <w:rsid w:val="556233C2"/>
    <w:rsid w:val="55CC2F32"/>
    <w:rsid w:val="564C5E20"/>
    <w:rsid w:val="591305FD"/>
    <w:rsid w:val="592117E6"/>
    <w:rsid w:val="5A93271B"/>
    <w:rsid w:val="5A936D09"/>
    <w:rsid w:val="5A9EEB2A"/>
    <w:rsid w:val="5B101B12"/>
    <w:rsid w:val="5B6FC646"/>
    <w:rsid w:val="5B9B75F8"/>
    <w:rsid w:val="5BBC1352"/>
    <w:rsid w:val="5CF90E52"/>
    <w:rsid w:val="5D699C33"/>
    <w:rsid w:val="5D752CE5"/>
    <w:rsid w:val="5DCB1D21"/>
    <w:rsid w:val="5DDE7CA6"/>
    <w:rsid w:val="5DF006A4"/>
    <w:rsid w:val="5E766130"/>
    <w:rsid w:val="5EF4923E"/>
    <w:rsid w:val="5F9F34C4"/>
    <w:rsid w:val="5FD4774C"/>
    <w:rsid w:val="5FF63D0D"/>
    <w:rsid w:val="60691517"/>
    <w:rsid w:val="606F4B42"/>
    <w:rsid w:val="60B42F40"/>
    <w:rsid w:val="60D51CF9"/>
    <w:rsid w:val="61D902B3"/>
    <w:rsid w:val="62210161"/>
    <w:rsid w:val="628161E8"/>
    <w:rsid w:val="62B62F9F"/>
    <w:rsid w:val="639C27A7"/>
    <w:rsid w:val="64436AB5"/>
    <w:rsid w:val="65864EAB"/>
    <w:rsid w:val="661D386D"/>
    <w:rsid w:val="68020779"/>
    <w:rsid w:val="691321D3"/>
    <w:rsid w:val="69382960"/>
    <w:rsid w:val="6A186FA7"/>
    <w:rsid w:val="6AF24339"/>
    <w:rsid w:val="6B8754D9"/>
    <w:rsid w:val="6CC12FE0"/>
    <w:rsid w:val="6CC4275D"/>
    <w:rsid w:val="6D27F307"/>
    <w:rsid w:val="6D342B2B"/>
    <w:rsid w:val="6D6B3A9C"/>
    <w:rsid w:val="6DE704B1"/>
    <w:rsid w:val="6E663FC2"/>
    <w:rsid w:val="6EBE0986"/>
    <w:rsid w:val="6EC96338"/>
    <w:rsid w:val="6FBE5A10"/>
    <w:rsid w:val="6FDF6EFE"/>
    <w:rsid w:val="6FFCD72D"/>
    <w:rsid w:val="712F289B"/>
    <w:rsid w:val="714300F4"/>
    <w:rsid w:val="716B764B"/>
    <w:rsid w:val="73B06A07"/>
    <w:rsid w:val="73EC4A73"/>
    <w:rsid w:val="74343D24"/>
    <w:rsid w:val="757D78E2"/>
    <w:rsid w:val="759AF1BA"/>
    <w:rsid w:val="759F88C1"/>
    <w:rsid w:val="76B16769"/>
    <w:rsid w:val="776D3AFF"/>
    <w:rsid w:val="77BEA720"/>
    <w:rsid w:val="77FCFFBA"/>
    <w:rsid w:val="7993773F"/>
    <w:rsid w:val="79E71438"/>
    <w:rsid w:val="79E85CDC"/>
    <w:rsid w:val="79FDA348"/>
    <w:rsid w:val="79FFB13C"/>
    <w:rsid w:val="7A1E2C2D"/>
    <w:rsid w:val="7A5944E4"/>
    <w:rsid w:val="7AB5143F"/>
    <w:rsid w:val="7B875081"/>
    <w:rsid w:val="7BBB387A"/>
    <w:rsid w:val="7BD023CD"/>
    <w:rsid w:val="7C3F770A"/>
    <w:rsid w:val="7CFE5C69"/>
    <w:rsid w:val="7D47A5C0"/>
    <w:rsid w:val="7DFFD1B6"/>
    <w:rsid w:val="7E474539"/>
    <w:rsid w:val="7EE876C8"/>
    <w:rsid w:val="7EF48636"/>
    <w:rsid w:val="7F37C20F"/>
    <w:rsid w:val="7F5FBB62"/>
    <w:rsid w:val="7F7B0E4B"/>
    <w:rsid w:val="7F7BD18C"/>
    <w:rsid w:val="7F7F1531"/>
    <w:rsid w:val="7F9F0666"/>
    <w:rsid w:val="7F9F2F74"/>
    <w:rsid w:val="7FAD87AD"/>
    <w:rsid w:val="7FBCC0EA"/>
    <w:rsid w:val="7FD810E5"/>
    <w:rsid w:val="7FFC90C0"/>
    <w:rsid w:val="7FFF6A05"/>
    <w:rsid w:val="9A7F0E6F"/>
    <w:rsid w:val="9E5B6E36"/>
    <w:rsid w:val="AFBF3CC8"/>
    <w:rsid w:val="AFF1399D"/>
    <w:rsid w:val="B3FFB6C6"/>
    <w:rsid w:val="B94E083C"/>
    <w:rsid w:val="B9DF31E4"/>
    <w:rsid w:val="B9FBF9F2"/>
    <w:rsid w:val="BB1EE73A"/>
    <w:rsid w:val="BD5F1F96"/>
    <w:rsid w:val="BF9FA4D9"/>
    <w:rsid w:val="BFFB5490"/>
    <w:rsid w:val="CE8A9B2D"/>
    <w:rsid w:val="CEFD5AE2"/>
    <w:rsid w:val="D17D5520"/>
    <w:rsid w:val="D36BB997"/>
    <w:rsid w:val="D73B667D"/>
    <w:rsid w:val="D7EFC935"/>
    <w:rsid w:val="DEB7EFF9"/>
    <w:rsid w:val="DFFBE89E"/>
    <w:rsid w:val="DFFF666A"/>
    <w:rsid w:val="E4F7EF50"/>
    <w:rsid w:val="E7D74822"/>
    <w:rsid w:val="EBED0528"/>
    <w:rsid w:val="EF7C5188"/>
    <w:rsid w:val="F3F7CA70"/>
    <w:rsid w:val="F77FF69D"/>
    <w:rsid w:val="F7BFAE2A"/>
    <w:rsid w:val="F7FFF2A3"/>
    <w:rsid w:val="F93F9C79"/>
    <w:rsid w:val="FB0B8062"/>
    <w:rsid w:val="FBADDA7E"/>
    <w:rsid w:val="FBFE7917"/>
    <w:rsid w:val="FC5BB486"/>
    <w:rsid w:val="FDFFBA5C"/>
    <w:rsid w:val="FF5EFC44"/>
    <w:rsid w:val="FFAF92B9"/>
    <w:rsid w:val="FFFBF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5026</Words>
  <Characters>5123</Characters>
  <Lines>36</Lines>
  <Paragraphs>10</Paragraphs>
  <TotalTime>91</TotalTime>
  <ScaleCrop>false</ScaleCrop>
  <LinksUpToDate>false</LinksUpToDate>
  <CharactersWithSpaces>5137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2025-05-16T09:55:00Z</dcterms:created>
  <dc:creator>林晶</dc:creator>
  <cp:lastModifiedBy>岑震</cp:lastModifiedBy>
  <dcterms:modified xsi:type="dcterms:W3CDTF">2025-09-18T00:53:57Z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295152B0983B4137AF43AA54DDF165B8_13</vt:lpwstr>
  </property>
  <property fmtid="{D5CDD505-2E9C-101B-9397-08002B2CF9AE}" pid="4" name="KSOTemplateDocerSaveRecord">
    <vt:lpwstr>eyJoZGlkIjoiMzEwNTM5NzYwMDRjMzkwZTVkZjY2ODkwMGIxNGU0OTUiLCJ1c2VySWQiOiIyNzkwMjQxNDIifQ==</vt:lpwstr>
  </property>
</Properties>
</file>