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23"/>
        </w:tabs>
        <w:spacing w:line="360" w:lineRule="auto"/>
        <w:jc w:val="left"/>
        <w:rPr>
          <w:rFonts w:hint="eastAsia" w:ascii="宋体" w:hAnsi="宋体" w:eastAsia="宋体" w:cs="宋体"/>
          <w:b/>
          <w:bCs/>
          <w:color w:val="000000"/>
          <w:sz w:val="28"/>
          <w:szCs w:val="28"/>
        </w:rPr>
      </w:pPr>
    </w:p>
    <w:p>
      <w:pPr>
        <w:spacing w:line="360" w:lineRule="auto"/>
        <w:jc w:val="center"/>
        <w:rPr>
          <w:rFonts w:hint="eastAsia" w:ascii="宋体" w:hAnsi="宋体" w:eastAsia="宋体" w:cs="宋体"/>
          <w:b/>
          <w:bCs/>
          <w:color w:val="000000"/>
          <w:sz w:val="28"/>
          <w:szCs w:val="28"/>
        </w:rPr>
      </w:pPr>
    </w:p>
    <w:p>
      <w:pPr>
        <w:spacing w:line="360" w:lineRule="auto"/>
        <w:jc w:val="center"/>
        <w:rPr>
          <w:rFonts w:hint="eastAsia" w:ascii="宋体" w:hAnsi="宋体" w:eastAsia="宋体" w:cs="宋体"/>
          <w:b/>
          <w:bCs/>
          <w:color w:val="000000"/>
          <w:sz w:val="28"/>
          <w:szCs w:val="28"/>
        </w:rPr>
      </w:pPr>
    </w:p>
    <w:p>
      <w:pPr>
        <w:spacing w:line="360" w:lineRule="auto"/>
        <w:jc w:val="center"/>
        <w:rPr>
          <w:rFonts w:hint="eastAsia" w:ascii="宋体" w:hAnsi="宋体" w:eastAsia="宋体" w:cs="宋体"/>
          <w:b/>
          <w:bCs/>
          <w:color w:val="000000"/>
          <w:sz w:val="28"/>
          <w:szCs w:val="28"/>
          <w:lang w:eastAsia="zh-CN"/>
        </w:rPr>
      </w:pPr>
    </w:p>
    <w:p>
      <w:pPr>
        <w:spacing w:line="360" w:lineRule="auto"/>
        <w:jc w:val="center"/>
        <w:rPr>
          <w:rFonts w:hint="eastAsia" w:ascii="宋体" w:hAnsi="宋体" w:eastAsia="宋体" w:cs="宋体"/>
          <w:b/>
          <w:bCs/>
          <w:color w:val="000000"/>
          <w:sz w:val="28"/>
          <w:szCs w:val="28"/>
          <w:lang w:eastAsia="zh-CN"/>
        </w:rPr>
      </w:pPr>
    </w:p>
    <w:p>
      <w:pPr>
        <w:spacing w:line="360" w:lineRule="auto"/>
        <w:jc w:val="center"/>
        <w:rPr>
          <w:rFonts w:hint="eastAsia" w:ascii="宋体" w:hAnsi="宋体" w:eastAsia="宋体" w:cs="宋体"/>
          <w:b/>
          <w:bCs/>
          <w:color w:val="000000"/>
          <w:sz w:val="28"/>
          <w:szCs w:val="28"/>
          <w:lang w:eastAsia="zh-CN"/>
        </w:rPr>
      </w:pPr>
    </w:p>
    <w:p>
      <w:pPr>
        <w:spacing w:line="360" w:lineRule="auto"/>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2022年儋州市基础事业专项债券（四期）</w:t>
      </w:r>
    </w:p>
    <w:p>
      <w:pPr>
        <w:spacing w:line="360" w:lineRule="auto"/>
        <w:jc w:val="center"/>
        <w:rPr>
          <w:rFonts w:hint="eastAsia" w:ascii="宋体" w:hAnsi="宋体" w:eastAsia="宋体" w:cs="宋体"/>
          <w:sz w:val="44"/>
          <w:szCs w:val="44"/>
        </w:rPr>
        <w:sectPr>
          <w:headerReference r:id="rId6" w:type="first"/>
          <w:headerReference r:id="rId4" w:type="default"/>
          <w:footerReference r:id="rId7" w:type="default"/>
          <w:headerReference r:id="rId5" w:type="even"/>
          <w:pgSz w:w="12240" w:h="15840"/>
          <w:pgMar w:top="1276" w:right="1800" w:bottom="1276" w:left="1800" w:header="708" w:footer="850" w:gutter="0"/>
          <w:pgBorders>
            <w:top w:val="none" w:sz="0" w:space="0"/>
            <w:left w:val="none" w:sz="0" w:space="0"/>
            <w:bottom w:val="none" w:sz="0" w:space="0"/>
            <w:right w:val="none" w:sz="0" w:space="0"/>
          </w:pgBorders>
          <w:pgNumType w:fmt="decimal" w:start="1"/>
          <w:cols w:space="708" w:num="1"/>
          <w:docGrid w:linePitch="360" w:charSpace="0"/>
        </w:sectPr>
      </w:pPr>
      <w:r>
        <w:rPr>
          <w:rFonts w:hint="eastAsia" w:ascii="宋体" w:hAnsi="宋体" w:eastAsia="宋体" w:cs="宋体"/>
          <w:b/>
          <w:bCs/>
          <w:color w:val="000000"/>
          <w:sz w:val="44"/>
          <w:szCs w:val="44"/>
          <w:lang w:eastAsia="zh-CN"/>
        </w:rPr>
        <w:t>项目收益与融资自求平衡方案</w:t>
      </w:r>
    </w:p>
    <w:p>
      <w:pPr>
        <w:pStyle w:val="4"/>
        <w:numPr>
          <w:ilvl w:val="0"/>
          <w:numId w:val="0"/>
        </w:numPr>
        <w:bidi w:val="0"/>
        <w:spacing w:line="360" w:lineRule="auto"/>
        <w:ind w:leftChars="0" w:firstLine="562" w:firstLineChars="200"/>
        <w:rPr>
          <w:rFonts w:hint="eastAsia" w:ascii="宋体" w:hAnsi="宋体" w:eastAsia="宋体" w:cs="宋体"/>
          <w:sz w:val="28"/>
          <w:szCs w:val="28"/>
        </w:rPr>
      </w:pPr>
      <w:bookmarkStart w:id="0" w:name="_Toc31645"/>
      <w:bookmarkStart w:id="1" w:name="_Toc17669"/>
      <w:bookmarkStart w:id="2" w:name="_Toc20871"/>
      <w:bookmarkStart w:id="3" w:name="_Toc29585"/>
      <w:bookmarkStart w:id="4" w:name="_Toc32218"/>
      <w:bookmarkStart w:id="5" w:name="_Toc23909"/>
      <w:bookmarkStart w:id="6" w:name="_Toc26308"/>
      <w:bookmarkStart w:id="7" w:name="_Toc22709"/>
      <w:bookmarkStart w:id="8" w:name="_Toc22976"/>
      <w:bookmarkStart w:id="9" w:name="_Toc8011"/>
      <w:bookmarkStart w:id="10" w:name="_Toc12112"/>
      <w:bookmarkStart w:id="11" w:name="_Toc31365"/>
      <w:bookmarkStart w:id="12" w:name="_Toc6123"/>
      <w:bookmarkStart w:id="13" w:name="_Toc16063"/>
      <w:bookmarkStart w:id="14" w:name="_Toc14518"/>
      <w:bookmarkStart w:id="15" w:name="_Toc21144"/>
      <w:bookmarkStart w:id="16" w:name="_Toc8993"/>
      <w:bookmarkStart w:id="17" w:name="_Toc24522"/>
      <w:bookmarkStart w:id="18" w:name="_Toc24724"/>
      <w:bookmarkStart w:id="19" w:name="_Toc30896"/>
      <w:bookmarkStart w:id="20" w:name="_Toc18128"/>
      <w:bookmarkStart w:id="21" w:name="_Toc27800"/>
      <w:bookmarkStart w:id="22" w:name="_Toc18989"/>
      <w:bookmarkStart w:id="23" w:name="_Toc13366"/>
      <w:bookmarkStart w:id="24" w:name="_Toc10394"/>
      <w:bookmarkStart w:id="25" w:name="_Toc15955"/>
      <w:bookmarkStart w:id="26" w:name="_Toc32706"/>
      <w:r>
        <w:rPr>
          <w:rFonts w:hint="eastAsia" w:ascii="宋体" w:hAnsi="宋体" w:eastAsia="宋体" w:cs="宋体"/>
          <w:sz w:val="28"/>
          <w:szCs w:val="28"/>
          <w:lang w:eastAsia="zh-CN"/>
        </w:rPr>
        <w:t>一、</w:t>
      </w:r>
      <w:r>
        <w:rPr>
          <w:rFonts w:hint="eastAsia" w:ascii="宋体" w:hAnsi="宋体" w:eastAsia="宋体" w:cs="宋体"/>
          <w:sz w:val="28"/>
          <w:szCs w:val="28"/>
        </w:rPr>
        <w:t>债券发行概况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2022年儋州市基础事业专项债券（四期）</w:t>
      </w:r>
      <w:r>
        <w:rPr>
          <w:rFonts w:hint="eastAsia" w:ascii="宋体" w:hAnsi="宋体" w:eastAsia="宋体" w:cs="宋体"/>
          <w:color w:val="000000"/>
          <w:kern w:val="0"/>
          <w:sz w:val="28"/>
          <w:szCs w:val="28"/>
        </w:rPr>
        <w:t>发行总额为</w:t>
      </w:r>
      <w:r>
        <w:rPr>
          <w:rFonts w:hint="eastAsia" w:ascii="宋体" w:hAnsi="宋体" w:eastAsia="宋体" w:cs="宋体"/>
          <w:color w:val="000000"/>
          <w:kern w:val="0"/>
          <w:sz w:val="28"/>
          <w:szCs w:val="28"/>
          <w:lang w:eastAsia="zh-CN"/>
        </w:rPr>
        <w:t>41,200万元</w:t>
      </w:r>
      <w:r>
        <w:rPr>
          <w:rFonts w:hint="eastAsia" w:ascii="宋体" w:hAnsi="宋体" w:eastAsia="宋体" w:cs="宋体"/>
          <w:color w:val="000000"/>
          <w:kern w:val="0"/>
          <w:sz w:val="28"/>
          <w:szCs w:val="28"/>
        </w:rPr>
        <w:t>，品种为记账式固定利率附息债券，为新增债券，期限为</w:t>
      </w:r>
      <w:r>
        <w:rPr>
          <w:rFonts w:hint="eastAsia" w:ascii="宋体" w:hAnsi="宋体" w:eastAsia="宋体" w:cs="宋体"/>
          <w:color w:val="000000"/>
          <w:kern w:val="0"/>
          <w:sz w:val="28"/>
          <w:szCs w:val="28"/>
          <w:lang w:eastAsia="zh-CN"/>
        </w:rPr>
        <w:t>10年期</w:t>
      </w:r>
      <w:r>
        <w:rPr>
          <w:rFonts w:hint="eastAsia" w:ascii="宋体" w:hAnsi="宋体" w:eastAsia="宋体" w:cs="宋体"/>
          <w:color w:val="000000"/>
          <w:kern w:val="0"/>
          <w:sz w:val="28"/>
          <w:szCs w:val="28"/>
        </w:rPr>
        <w:t>。本次债券</w:t>
      </w:r>
      <w:r>
        <w:rPr>
          <w:rFonts w:hint="eastAsia" w:ascii="宋体" w:hAnsi="宋体" w:eastAsia="宋体" w:cs="宋体"/>
          <w:color w:val="000000"/>
          <w:kern w:val="0"/>
          <w:sz w:val="28"/>
          <w:szCs w:val="28"/>
          <w:lang w:eastAsia="zh-CN"/>
        </w:rPr>
        <w:t>利息</w:t>
      </w:r>
      <w:r>
        <w:rPr>
          <w:rFonts w:hint="eastAsia" w:ascii="宋体" w:hAnsi="宋体" w:eastAsia="宋体" w:cs="宋体"/>
          <w:color w:val="000000"/>
          <w:kern w:val="0"/>
          <w:sz w:val="28"/>
          <w:szCs w:val="28"/>
        </w:rPr>
        <w:t>按半年</w:t>
      </w:r>
      <w:r>
        <w:rPr>
          <w:rFonts w:hint="eastAsia" w:ascii="宋体" w:hAnsi="宋体" w:eastAsia="宋体" w:cs="宋体"/>
          <w:color w:val="000000"/>
          <w:kern w:val="0"/>
          <w:sz w:val="28"/>
          <w:szCs w:val="28"/>
          <w:lang w:eastAsia="zh-CN"/>
        </w:rPr>
        <w:t>支付</w:t>
      </w:r>
      <w:r>
        <w:rPr>
          <w:rFonts w:hint="eastAsia" w:ascii="宋体" w:hAnsi="宋体" w:eastAsia="宋体" w:cs="宋体"/>
          <w:color w:val="000000"/>
          <w:kern w:val="0"/>
          <w:sz w:val="28"/>
          <w:szCs w:val="28"/>
        </w:rPr>
        <w:t>，最后一</w:t>
      </w:r>
      <w:r>
        <w:rPr>
          <w:rFonts w:hint="eastAsia" w:ascii="宋体" w:hAnsi="宋体" w:eastAsia="宋体" w:cs="宋体"/>
          <w:color w:val="000000"/>
          <w:kern w:val="0"/>
          <w:sz w:val="28"/>
          <w:szCs w:val="28"/>
          <w:lang w:eastAsia="zh-CN"/>
        </w:rPr>
        <w:t>次</w:t>
      </w:r>
      <w:r>
        <w:rPr>
          <w:rFonts w:hint="eastAsia" w:ascii="宋体" w:hAnsi="宋体" w:eastAsia="宋体" w:cs="宋体"/>
          <w:color w:val="000000"/>
          <w:kern w:val="0"/>
          <w:sz w:val="28"/>
          <w:szCs w:val="28"/>
        </w:rPr>
        <w:t>利息随本金一起支付，发行后可按规定在全国银行间债券市场和证券交易所债券市场上市流通。</w:t>
      </w:r>
    </w:p>
    <w:p>
      <w:pPr>
        <w:spacing w:line="360" w:lineRule="auto"/>
        <w:jc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eastAsia="zh-CN"/>
        </w:rPr>
        <w:t>2022年儋州市基础事业专项债券（四期）</w:t>
      </w:r>
      <w:r>
        <w:rPr>
          <w:rFonts w:hint="eastAsia" w:ascii="宋体" w:hAnsi="宋体" w:eastAsia="宋体" w:cs="宋体"/>
          <w:b/>
          <w:color w:val="000000"/>
          <w:kern w:val="0"/>
          <w:sz w:val="28"/>
          <w:szCs w:val="28"/>
        </w:rPr>
        <w:t>概况</w:t>
      </w:r>
    </w:p>
    <w:tbl>
      <w:tblPr>
        <w:tblStyle w:val="20"/>
        <w:tblW w:w="937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73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54" w:type="dxa"/>
            <w:vAlign w:val="center"/>
          </w:tcPr>
          <w:p>
            <w:pPr>
              <w:spacing w:line="360" w:lineRule="auto"/>
              <w:jc w:val="center"/>
              <w:rPr>
                <w:rFonts w:hint="eastAsia" w:ascii="宋体" w:hAnsi="宋体" w:eastAsia="宋体" w:cs="宋体"/>
                <w:b/>
                <w:color w:val="000000"/>
                <w:kern w:val="0"/>
                <w:sz w:val="28"/>
                <w:szCs w:val="28"/>
              </w:rPr>
            </w:pPr>
            <w:r>
              <w:rPr>
                <w:rFonts w:hint="eastAsia" w:ascii="宋体" w:hAnsi="宋体" w:eastAsia="宋体" w:cs="宋体"/>
                <w:b/>
                <w:sz w:val="28"/>
                <w:szCs w:val="28"/>
              </w:rPr>
              <w:t>债券名称</w:t>
            </w:r>
          </w:p>
        </w:tc>
        <w:tc>
          <w:tcPr>
            <w:tcW w:w="7325" w:type="dxa"/>
            <w:vAlign w:val="center"/>
          </w:tcPr>
          <w:p>
            <w:pPr>
              <w:spacing w:line="360" w:lineRule="auto"/>
              <w:jc w:val="center"/>
              <w:rPr>
                <w:rFonts w:hint="eastAsia" w:ascii="宋体" w:hAnsi="宋体" w:eastAsia="宋体" w:cs="宋体"/>
                <w:sz w:val="28"/>
                <w:szCs w:val="28"/>
                <w:lang w:eastAsia="zh-CN"/>
              </w:rPr>
            </w:pPr>
            <w:r>
              <w:rPr>
                <w:rFonts w:hint="eastAsia" w:ascii="宋体" w:hAnsi="宋体" w:eastAsia="宋体" w:cs="宋体"/>
                <w:b/>
                <w:color w:val="000000"/>
                <w:kern w:val="0"/>
                <w:sz w:val="28"/>
                <w:szCs w:val="28"/>
                <w:lang w:eastAsia="zh-CN"/>
              </w:rPr>
              <w:t>2022年儋州市基础事业专项债券（四期）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54" w:type="dxa"/>
            <w:vAlign w:val="center"/>
          </w:tcPr>
          <w:p>
            <w:pPr>
              <w:spacing w:line="360" w:lineRule="auto"/>
              <w:jc w:val="center"/>
              <w:rPr>
                <w:rFonts w:hint="eastAsia" w:ascii="宋体" w:hAnsi="宋体" w:eastAsia="宋体" w:cs="宋体"/>
                <w:b/>
                <w:color w:val="000000"/>
                <w:kern w:val="0"/>
                <w:sz w:val="28"/>
                <w:szCs w:val="28"/>
              </w:rPr>
            </w:pPr>
            <w:r>
              <w:rPr>
                <w:rFonts w:hint="eastAsia" w:ascii="宋体" w:hAnsi="宋体" w:eastAsia="宋体" w:cs="宋体"/>
                <w:b/>
                <w:sz w:val="28"/>
                <w:szCs w:val="28"/>
              </w:rPr>
              <w:t>发行规模</w:t>
            </w:r>
          </w:p>
        </w:tc>
        <w:tc>
          <w:tcPr>
            <w:tcW w:w="7325" w:type="dxa"/>
            <w:vAlign w:val="center"/>
          </w:tcPr>
          <w:p>
            <w:pPr>
              <w:spacing w:line="360" w:lineRule="auto"/>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41,200万元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54" w:type="dxa"/>
            <w:vAlign w:val="center"/>
          </w:tcPr>
          <w:p>
            <w:pPr>
              <w:pStyle w:val="29"/>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债券期限</w:t>
            </w:r>
          </w:p>
        </w:tc>
        <w:tc>
          <w:tcPr>
            <w:tcW w:w="7325" w:type="dxa"/>
            <w:vAlign w:val="center"/>
          </w:tcPr>
          <w:p>
            <w:pPr>
              <w:spacing w:line="360" w:lineRule="auto"/>
              <w:jc w:val="cente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10年期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54" w:type="dxa"/>
            <w:vAlign w:val="center"/>
          </w:tcPr>
          <w:p>
            <w:pPr>
              <w:pStyle w:val="29"/>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债券利率</w:t>
            </w:r>
          </w:p>
        </w:tc>
        <w:tc>
          <w:tcPr>
            <w:tcW w:w="7325" w:type="dxa"/>
            <w:vAlign w:val="center"/>
          </w:tcPr>
          <w:p>
            <w:pPr>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固定利率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54" w:type="dxa"/>
            <w:vAlign w:val="center"/>
          </w:tcPr>
          <w:p>
            <w:pPr>
              <w:pStyle w:val="29"/>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付息方式</w:t>
            </w:r>
          </w:p>
        </w:tc>
        <w:tc>
          <w:tcPr>
            <w:tcW w:w="7325" w:type="dxa"/>
            <w:vAlign w:val="center"/>
          </w:tcPr>
          <w:p>
            <w:pPr>
              <w:spacing w:line="360" w:lineRule="auto"/>
              <w:jc w:val="center"/>
              <w:rPr>
                <w:rFonts w:hint="eastAsia" w:ascii="宋体" w:hAnsi="宋体" w:eastAsia="宋体" w:cs="宋体"/>
                <w:color w:val="FF0000"/>
                <w:kern w:val="0"/>
                <w:sz w:val="28"/>
                <w:szCs w:val="28"/>
              </w:rPr>
            </w:pPr>
            <w:r>
              <w:rPr>
                <w:rFonts w:hint="eastAsia" w:ascii="宋体" w:hAnsi="宋体" w:eastAsia="宋体" w:cs="宋体"/>
                <w:color w:val="000000"/>
                <w:kern w:val="0"/>
                <w:sz w:val="28"/>
                <w:szCs w:val="28"/>
              </w:rPr>
              <w:t>债券</w:t>
            </w:r>
            <w:r>
              <w:rPr>
                <w:rFonts w:hint="eastAsia" w:ascii="宋体" w:hAnsi="宋体" w:eastAsia="宋体" w:cs="宋体"/>
                <w:color w:val="000000"/>
                <w:kern w:val="0"/>
                <w:sz w:val="28"/>
                <w:szCs w:val="28"/>
                <w:lang w:eastAsia="zh-CN"/>
              </w:rPr>
              <w:t>利息</w:t>
            </w:r>
            <w:r>
              <w:rPr>
                <w:rFonts w:hint="eastAsia" w:ascii="宋体" w:hAnsi="宋体" w:eastAsia="宋体" w:cs="宋体"/>
                <w:color w:val="000000"/>
                <w:kern w:val="0"/>
                <w:sz w:val="28"/>
                <w:szCs w:val="28"/>
              </w:rPr>
              <w:t>按半年</w:t>
            </w:r>
            <w:r>
              <w:rPr>
                <w:rFonts w:hint="eastAsia" w:ascii="宋体" w:hAnsi="宋体" w:eastAsia="宋体" w:cs="宋体"/>
                <w:color w:val="000000"/>
                <w:kern w:val="0"/>
                <w:sz w:val="28"/>
                <w:szCs w:val="28"/>
                <w:lang w:eastAsia="zh-CN"/>
              </w:rPr>
              <w:t>支付</w:t>
            </w:r>
            <w:r>
              <w:rPr>
                <w:rFonts w:hint="eastAsia" w:ascii="宋体" w:hAnsi="宋体" w:eastAsia="宋体" w:cs="宋体"/>
                <w:color w:val="000000"/>
                <w:kern w:val="0"/>
                <w:sz w:val="28"/>
                <w:szCs w:val="28"/>
              </w:rPr>
              <w:t>，最后一</w:t>
            </w:r>
            <w:r>
              <w:rPr>
                <w:rFonts w:hint="eastAsia" w:ascii="宋体" w:hAnsi="宋体" w:eastAsia="宋体" w:cs="宋体"/>
                <w:color w:val="000000"/>
                <w:kern w:val="0"/>
                <w:sz w:val="28"/>
                <w:szCs w:val="28"/>
                <w:lang w:eastAsia="zh-CN"/>
              </w:rPr>
              <w:t>次</w:t>
            </w:r>
            <w:r>
              <w:rPr>
                <w:rFonts w:hint="eastAsia" w:ascii="宋体" w:hAnsi="宋体" w:eastAsia="宋体" w:cs="宋体"/>
                <w:color w:val="000000"/>
                <w:kern w:val="0"/>
                <w:sz w:val="28"/>
                <w:szCs w:val="28"/>
              </w:rPr>
              <w:t>利息随本金一起支付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054" w:type="dxa"/>
            <w:vAlign w:val="center"/>
          </w:tcPr>
          <w:p>
            <w:pPr>
              <w:pStyle w:val="29"/>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上市流通安排</w:t>
            </w:r>
          </w:p>
        </w:tc>
        <w:tc>
          <w:tcPr>
            <w:tcW w:w="7325" w:type="dxa"/>
            <w:vAlign w:val="center"/>
          </w:tcPr>
          <w:p>
            <w:pPr>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于上市日（即招标日后第3个工作日）起，按规定在交易场所上市流通</w:t>
            </w:r>
          </w:p>
        </w:tc>
      </w:tr>
    </w:tbl>
    <w:p>
      <w:pPr>
        <w:spacing w:after="0" w:line="360" w:lineRule="auto"/>
        <w:ind w:firstLine="562" w:firstLineChars="200"/>
        <w:rPr>
          <w:rFonts w:hint="eastAsia" w:ascii="宋体" w:hAnsi="宋体" w:eastAsia="宋体" w:cs="宋体"/>
          <w:b/>
          <w:bCs/>
          <w:color w:val="000000"/>
          <w:sz w:val="28"/>
          <w:szCs w:val="28"/>
        </w:rPr>
      </w:pPr>
    </w:p>
    <w:p>
      <w:pPr>
        <w:numPr>
          <w:ilvl w:val="0"/>
          <w:numId w:val="0"/>
        </w:numPr>
        <w:spacing w:line="360" w:lineRule="auto"/>
        <w:ind w:firstLine="562" w:firstLineChars="200"/>
        <w:jc w:val="left"/>
        <w:outlineLvl w:val="0"/>
        <w:rPr>
          <w:rFonts w:hint="eastAsia" w:ascii="宋体" w:hAnsi="宋体" w:eastAsia="宋体" w:cs="宋体"/>
          <w:b/>
          <w:bCs/>
          <w:color w:val="000000"/>
          <w:kern w:val="0"/>
          <w:sz w:val="28"/>
          <w:szCs w:val="28"/>
        </w:rPr>
      </w:pPr>
      <w:bookmarkStart w:id="27" w:name="_Toc15423"/>
      <w:bookmarkStart w:id="28" w:name="_Toc31768"/>
      <w:bookmarkStart w:id="29" w:name="_Toc31921"/>
      <w:bookmarkStart w:id="30" w:name="_Toc20924"/>
      <w:bookmarkStart w:id="31" w:name="_Toc21875"/>
      <w:bookmarkStart w:id="32" w:name="_Toc9435"/>
      <w:bookmarkStart w:id="33" w:name="_Toc5410"/>
      <w:bookmarkStart w:id="34" w:name="_Toc20820"/>
      <w:bookmarkStart w:id="35" w:name="_Toc28940"/>
      <w:bookmarkStart w:id="36" w:name="_Toc7337"/>
      <w:bookmarkStart w:id="37" w:name="_Toc8730"/>
      <w:bookmarkStart w:id="38" w:name="_Toc16570"/>
      <w:bookmarkStart w:id="39" w:name="_Toc20818"/>
      <w:bookmarkStart w:id="40" w:name="_Toc15331"/>
      <w:bookmarkStart w:id="41" w:name="_Toc9015"/>
      <w:bookmarkStart w:id="42" w:name="_Toc4714"/>
      <w:bookmarkStart w:id="43" w:name="_Toc5537"/>
      <w:bookmarkStart w:id="44" w:name="_Toc7543"/>
      <w:bookmarkStart w:id="45" w:name="_Toc24792"/>
      <w:bookmarkStart w:id="46" w:name="_Toc21576"/>
      <w:bookmarkStart w:id="47" w:name="_Toc30844"/>
      <w:bookmarkStart w:id="48" w:name="_Toc32484"/>
      <w:bookmarkStart w:id="49" w:name="_Toc21352"/>
      <w:bookmarkStart w:id="50" w:name="_Toc26124"/>
      <w:bookmarkStart w:id="51" w:name="_Toc6293"/>
      <w:bookmarkStart w:id="52" w:name="_Toc13530"/>
      <w:bookmarkStart w:id="53" w:name="_Toc5112"/>
      <w:r>
        <w:rPr>
          <w:rFonts w:hint="eastAsia" w:ascii="宋体" w:hAnsi="宋体" w:eastAsia="宋体" w:cs="宋体"/>
          <w:b/>
          <w:bCs/>
          <w:color w:val="000000"/>
          <w:kern w:val="0"/>
          <w:sz w:val="28"/>
          <w:szCs w:val="28"/>
        </w:rPr>
        <w:t>二、区域情况</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spacing w:line="360" w:lineRule="auto"/>
        <w:ind w:firstLine="560" w:firstLineChars="200"/>
        <w:rPr>
          <w:rFonts w:hint="eastAsia" w:ascii="宋体" w:hAnsi="宋体" w:eastAsia="宋体" w:cs="宋体"/>
          <w:color w:val="000000"/>
          <w:kern w:val="0"/>
          <w:sz w:val="28"/>
          <w:szCs w:val="28"/>
        </w:rPr>
      </w:pPr>
      <w:bookmarkStart w:id="54" w:name="_bookmark1"/>
      <w:bookmarkEnd w:id="54"/>
      <w:r>
        <w:rPr>
          <w:rFonts w:hint="eastAsia" w:ascii="宋体" w:hAnsi="宋体" w:eastAsia="宋体" w:cs="宋体"/>
          <w:color w:val="000000"/>
          <w:kern w:val="0"/>
          <w:sz w:val="28"/>
          <w:szCs w:val="28"/>
          <w:lang w:val="en-US" w:eastAsia="zh-CN"/>
        </w:rPr>
        <w:t>儋州市（含洋浦经济开发区）地处海南岛西北部，毗邻北部湾。陆地面积3406平方公里，约占全省十分之一；海岸线300公里，约占全省六分之一，是海南省陆地面积最大、海岸线最长的市县。下辖3个办事处、16个镇、319个村（居）委会，常住人口近百万，约占全省十分之一。</w:t>
      </w:r>
      <w:r>
        <w:rPr>
          <w:rFonts w:hint="eastAsia" w:ascii="宋体" w:hAnsi="宋体" w:eastAsia="宋体" w:cs="宋体"/>
          <w:color w:val="000000"/>
          <w:kern w:val="0"/>
          <w:sz w:val="28"/>
          <w:szCs w:val="28"/>
          <w:lang w:eastAsia="zh-CN"/>
        </w:rPr>
        <w:br w:type="page"/>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儋州</w:t>
      </w:r>
      <w:r>
        <w:rPr>
          <w:rFonts w:hint="eastAsia" w:ascii="宋体" w:hAnsi="宋体" w:eastAsia="宋体" w:cs="宋体"/>
          <w:color w:val="000000"/>
          <w:kern w:val="0"/>
          <w:sz w:val="28"/>
          <w:szCs w:val="28"/>
        </w:rPr>
        <w:t>市财政收入情况详见下表：</w:t>
      </w:r>
    </w:p>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儋州市201</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—202</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年财政经济数据</w:t>
      </w:r>
    </w:p>
    <w:p>
      <w:pPr>
        <w:spacing w:after="0" w:line="360" w:lineRule="auto"/>
        <w:ind w:firstLine="560" w:firstLineChars="200"/>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单位：亿元</w:t>
      </w:r>
    </w:p>
    <w:tbl>
      <w:tblPr>
        <w:tblStyle w:val="20"/>
        <w:tblW w:w="8522"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508"/>
        <w:gridCol w:w="1670"/>
        <w:gridCol w:w="1672"/>
        <w:gridCol w:w="1672"/>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tcBorders>
              <w:top w:val="single" w:color="auto" w:sz="12" w:space="0"/>
              <w:bottom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w:t>
            </w:r>
          </w:p>
        </w:tc>
        <w:tc>
          <w:tcPr>
            <w:tcW w:w="1670" w:type="dxa"/>
            <w:tcBorders>
              <w:top w:val="single" w:color="auto" w:sz="12" w:space="0"/>
              <w:bottom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2019年</w:t>
            </w:r>
          </w:p>
        </w:tc>
        <w:tc>
          <w:tcPr>
            <w:tcW w:w="1672" w:type="dxa"/>
            <w:tcBorders>
              <w:top w:val="single" w:color="auto" w:sz="12" w:space="0"/>
              <w:bottom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2020年</w:t>
            </w:r>
          </w:p>
        </w:tc>
        <w:tc>
          <w:tcPr>
            <w:tcW w:w="1672" w:type="dxa"/>
            <w:tcBorders>
              <w:top w:val="single" w:color="auto" w:sz="12" w:space="0"/>
              <w:bottom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202</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年</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tcBorders>
              <w:top w:val="single" w:color="auto" w:sz="4" w:space="0"/>
            </w:tcBorders>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地区生产总值</w:t>
            </w:r>
          </w:p>
        </w:tc>
        <w:tc>
          <w:tcPr>
            <w:tcW w:w="1670" w:type="dxa"/>
            <w:tcBorders>
              <w:top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357.64</w:t>
            </w:r>
          </w:p>
        </w:tc>
        <w:tc>
          <w:tcPr>
            <w:tcW w:w="1672" w:type="dxa"/>
            <w:tcBorders>
              <w:top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359.41</w:t>
            </w:r>
          </w:p>
        </w:tc>
        <w:tc>
          <w:tcPr>
            <w:tcW w:w="1672" w:type="dxa"/>
            <w:tcBorders>
              <w:top w:val="single" w:color="auto" w:sz="4" w:space="0"/>
            </w:tcBorders>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395.33</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一般公共预算收入</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20.60</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22.03</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18.35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政府性基金收入</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5.70</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19.31</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9.14</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一般公共预算支出</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101.30</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89.52</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70.17</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政府性基金支出</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32.90</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46.10</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23.26</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地方债务限额</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119.50</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143.03</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217.7</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其中：一般债务限额</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60.07</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64.21</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103.25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1400" w:firstLineChars="5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专项债务限额</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59.43</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78.82</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114.45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36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地方债务余额</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119.13</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142.58</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217.7</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其中：一般债务余额</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59.71</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64.17</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103.25</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atLeast"/>
          <w:jc w:val="center"/>
        </w:trPr>
        <w:tc>
          <w:tcPr>
            <w:tcW w:w="3508" w:type="dxa"/>
            <w:vAlign w:val="center"/>
          </w:tcPr>
          <w:p>
            <w:pPr>
              <w:spacing w:after="0" w:line="360" w:lineRule="auto"/>
              <w:ind w:firstLine="1400" w:firstLineChars="5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专项债务余额</w:t>
            </w:r>
          </w:p>
        </w:tc>
        <w:tc>
          <w:tcPr>
            <w:tcW w:w="1670"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59.42</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78.41</w:t>
            </w:r>
          </w:p>
        </w:tc>
        <w:tc>
          <w:tcPr>
            <w:tcW w:w="1672" w:type="dxa"/>
            <w:vAlign w:val="center"/>
          </w:tcPr>
          <w:p>
            <w:pPr>
              <w:spacing w:after="0" w:line="360" w:lineRule="auto"/>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114.45</w:t>
            </w:r>
          </w:p>
        </w:tc>
      </w:tr>
    </w:tbl>
    <w:p>
      <w:pPr>
        <w:spacing w:after="0" w:line="360" w:lineRule="auto"/>
        <w:ind w:firstLine="560" w:firstLineChars="200"/>
        <w:rPr>
          <w:rFonts w:hint="eastAsia" w:ascii="宋体" w:hAnsi="宋体" w:eastAsia="宋体" w:cs="宋体"/>
          <w:sz w:val="28"/>
          <w:szCs w:val="28"/>
        </w:rPr>
      </w:pPr>
      <w:r>
        <w:rPr>
          <w:rFonts w:hint="eastAsia" w:ascii="宋体" w:hAnsi="宋体" w:eastAsia="宋体" w:cs="宋体"/>
          <w:color w:val="000000"/>
          <w:kern w:val="0"/>
          <w:sz w:val="28"/>
          <w:szCs w:val="28"/>
        </w:rPr>
        <w:t>注：以上数据来源于</w:t>
      </w:r>
      <w:r>
        <w:rPr>
          <w:rFonts w:hint="eastAsia" w:ascii="宋体" w:hAnsi="宋体" w:eastAsia="宋体" w:cs="宋体"/>
          <w:color w:val="000000"/>
          <w:kern w:val="0"/>
          <w:sz w:val="28"/>
          <w:szCs w:val="28"/>
          <w:lang w:eastAsia="zh-CN"/>
        </w:rPr>
        <w:t>儋州</w:t>
      </w:r>
      <w:r>
        <w:rPr>
          <w:rFonts w:hint="eastAsia" w:ascii="宋体" w:hAnsi="宋体" w:eastAsia="宋体" w:cs="宋体"/>
          <w:color w:val="000000"/>
          <w:kern w:val="0"/>
          <w:sz w:val="28"/>
          <w:szCs w:val="28"/>
        </w:rPr>
        <w:t>市财政局。</w:t>
      </w:r>
    </w:p>
    <w:p>
      <w:pPr>
        <w:numPr>
          <w:ilvl w:val="-1"/>
          <w:numId w:val="0"/>
        </w:numPr>
        <w:spacing w:after="0" w:line="360" w:lineRule="auto"/>
        <w:ind w:firstLine="562" w:firstLineChars="200"/>
        <w:jc w:val="left"/>
        <w:outlineLvl w:val="0"/>
        <w:rPr>
          <w:rFonts w:hint="eastAsia" w:ascii="宋体" w:hAnsi="宋体" w:eastAsia="宋体" w:cs="宋体"/>
          <w:b/>
          <w:bCs/>
          <w:color w:val="000000"/>
          <w:kern w:val="0"/>
          <w:sz w:val="28"/>
          <w:szCs w:val="28"/>
        </w:rPr>
      </w:pPr>
      <w:bookmarkStart w:id="55" w:name="_Toc7638"/>
      <w:bookmarkStart w:id="56" w:name="_Toc3136"/>
      <w:bookmarkStart w:id="57" w:name="_Toc2133"/>
      <w:bookmarkStart w:id="58" w:name="_Toc24166"/>
      <w:bookmarkStart w:id="59" w:name="_Toc4600"/>
      <w:bookmarkStart w:id="60" w:name="_Toc15440"/>
      <w:bookmarkStart w:id="61" w:name="_Toc29847"/>
      <w:bookmarkStart w:id="62" w:name="_Toc24946"/>
      <w:bookmarkStart w:id="63" w:name="_Toc4598"/>
      <w:bookmarkStart w:id="64" w:name="_Toc6997"/>
      <w:bookmarkStart w:id="65" w:name="_Toc9485"/>
      <w:bookmarkStart w:id="66" w:name="_Toc28746"/>
      <w:bookmarkStart w:id="67" w:name="_Toc1057"/>
      <w:bookmarkStart w:id="68" w:name="_Toc15039"/>
      <w:bookmarkStart w:id="69" w:name="_Toc9298"/>
      <w:bookmarkStart w:id="70" w:name="_Toc19481"/>
      <w:bookmarkStart w:id="71" w:name="_Toc2549"/>
      <w:bookmarkStart w:id="72" w:name="_Toc20012"/>
      <w:bookmarkStart w:id="73" w:name="_Toc26559"/>
      <w:bookmarkStart w:id="74" w:name="_Toc7518"/>
      <w:bookmarkStart w:id="75" w:name="_Toc14860"/>
      <w:bookmarkStart w:id="76" w:name="_Toc24603"/>
      <w:bookmarkStart w:id="77" w:name="_Toc2517"/>
      <w:bookmarkStart w:id="78" w:name="_Toc32487"/>
      <w:bookmarkStart w:id="79" w:name="_Toc14204"/>
      <w:bookmarkStart w:id="80" w:name="_Toc18677"/>
      <w:bookmarkStart w:id="81" w:name="_Toc27392"/>
      <w:r>
        <w:rPr>
          <w:rFonts w:hint="eastAsia" w:ascii="宋体" w:hAnsi="宋体" w:eastAsia="宋体" w:cs="宋体"/>
          <w:b/>
          <w:bCs/>
          <w:color w:val="000000"/>
          <w:kern w:val="0"/>
          <w:sz w:val="28"/>
          <w:szCs w:val="28"/>
          <w:lang w:eastAsia="zh-CN"/>
        </w:rPr>
        <w:t>三、</w:t>
      </w:r>
      <w:r>
        <w:rPr>
          <w:rFonts w:hint="eastAsia" w:ascii="宋体" w:hAnsi="宋体" w:eastAsia="宋体" w:cs="宋体"/>
          <w:b/>
          <w:bCs/>
          <w:color w:val="000000"/>
          <w:kern w:val="0"/>
          <w:sz w:val="28"/>
          <w:szCs w:val="28"/>
        </w:rPr>
        <w:t>项目概述</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2017年财政部公布《关于试点发展项目收益与融资自求平衡的地方政府专项债券品种的通知》（财预〔2017〕89号），提出在法定专项债务限额内，各地方按照本地区政府性基金收入项目分类发行专项债券，着力发展实现项目收益与融资自求平衡的专项债券品种。2018年财政部公布《关于做好2018年地方政府债务管理工作的通知》（财预〔2018〕34号），鼓励有条件的地方试点</w:t>
      </w:r>
      <w:r>
        <w:rPr>
          <w:rFonts w:hint="eastAsia" w:ascii="宋体" w:hAnsi="宋体" w:eastAsia="宋体" w:cs="宋体"/>
          <w:color w:val="000000"/>
          <w:kern w:val="0"/>
          <w:sz w:val="28"/>
          <w:szCs w:val="28"/>
          <w:lang w:eastAsia="zh-CN"/>
        </w:rPr>
        <w:t>发行</w:t>
      </w:r>
      <w:r>
        <w:rPr>
          <w:rFonts w:hint="eastAsia" w:ascii="宋体" w:hAnsi="宋体" w:eastAsia="宋体" w:cs="宋体"/>
          <w:color w:val="000000"/>
          <w:kern w:val="0"/>
          <w:sz w:val="28"/>
          <w:szCs w:val="28"/>
        </w:rPr>
        <w:t>项目收益与融资自求平衡的专项债券，优先在重大区域发展以及乡村振兴、生态环保、保障性住房、公立医院、公立高校、交通、水利、</w:t>
      </w:r>
      <w:r>
        <w:rPr>
          <w:rFonts w:hint="eastAsia" w:ascii="宋体" w:hAnsi="宋体" w:eastAsia="宋体" w:cs="宋体"/>
          <w:color w:val="000000"/>
          <w:kern w:val="0"/>
          <w:sz w:val="28"/>
          <w:szCs w:val="28"/>
          <w:lang w:eastAsia="zh-CN"/>
        </w:rPr>
        <w:t>基础事业</w:t>
      </w:r>
      <w:r>
        <w:rPr>
          <w:rFonts w:hint="eastAsia" w:ascii="宋体" w:hAnsi="宋体" w:eastAsia="宋体" w:cs="宋体"/>
          <w:color w:val="000000"/>
          <w:kern w:val="0"/>
          <w:sz w:val="28"/>
          <w:szCs w:val="28"/>
        </w:rPr>
        <w:t>等领域选择符合条件的项目，积极探索试点发行项目收益专项债券，以对应的政府性基金或专项收入偿还。</w:t>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根据财预〔2017〕89号文件的要求，分类发行专项债券建设的项目，应当能够产生持续稳定的反映为政府性基金收入或专项收入的现金流收入，且现金流收入应当能够完全覆盖专项债券还本付息的规模。</w:t>
      </w:r>
    </w:p>
    <w:p>
      <w:pPr>
        <w:widowControl/>
        <w:spacing w:after="0" w:line="360" w:lineRule="auto"/>
        <w:ind w:firstLine="480"/>
        <w:jc w:val="left"/>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GB" w:eastAsia="zh-CN"/>
        </w:rPr>
        <w:t>2022年儋州市基础事业专项债券（四期）</w:t>
      </w:r>
      <w:r>
        <w:rPr>
          <w:rFonts w:hint="eastAsia" w:ascii="宋体" w:hAnsi="宋体" w:eastAsia="宋体" w:cs="宋体"/>
          <w:color w:val="000000"/>
          <w:kern w:val="0"/>
          <w:sz w:val="28"/>
          <w:szCs w:val="28"/>
          <w:lang w:val="en-GB"/>
        </w:rPr>
        <w:t>项目（以下简称“本项目”）</w:t>
      </w:r>
      <w:r>
        <w:rPr>
          <w:rFonts w:hint="eastAsia" w:ascii="宋体" w:hAnsi="宋体" w:eastAsia="宋体" w:cs="宋体"/>
          <w:color w:val="000000"/>
          <w:kern w:val="0"/>
          <w:sz w:val="28"/>
          <w:szCs w:val="28"/>
        </w:rPr>
        <w:t>符合国家政策和</w:t>
      </w:r>
      <w:r>
        <w:rPr>
          <w:rFonts w:hint="eastAsia" w:ascii="宋体" w:hAnsi="宋体" w:eastAsia="宋体" w:cs="宋体"/>
          <w:color w:val="000000"/>
          <w:kern w:val="0"/>
          <w:sz w:val="28"/>
          <w:szCs w:val="28"/>
          <w:lang w:eastAsia="zh-CN"/>
        </w:rPr>
        <w:t>儋州</w:t>
      </w:r>
      <w:r>
        <w:rPr>
          <w:rFonts w:hint="eastAsia" w:ascii="宋体" w:hAnsi="宋体" w:eastAsia="宋体" w:cs="宋体"/>
          <w:color w:val="000000"/>
          <w:kern w:val="0"/>
          <w:sz w:val="28"/>
          <w:szCs w:val="28"/>
        </w:rPr>
        <w:t>市</w:t>
      </w:r>
      <w:r>
        <w:rPr>
          <w:rFonts w:hint="eastAsia" w:ascii="宋体" w:hAnsi="宋体" w:eastAsia="宋体" w:cs="宋体"/>
          <w:color w:val="000000"/>
          <w:kern w:val="0"/>
          <w:sz w:val="28"/>
          <w:szCs w:val="28"/>
          <w:lang w:eastAsia="zh-CN"/>
        </w:rPr>
        <w:t>基础事业</w:t>
      </w:r>
      <w:r>
        <w:rPr>
          <w:rFonts w:hint="eastAsia" w:ascii="宋体" w:hAnsi="宋体" w:eastAsia="宋体" w:cs="宋体"/>
          <w:color w:val="000000"/>
          <w:kern w:val="0"/>
          <w:sz w:val="28"/>
          <w:szCs w:val="28"/>
        </w:rPr>
        <w:t>事业的发展。</w:t>
      </w:r>
      <w:bookmarkStart w:id="82" w:name="_Toc30763"/>
      <w:bookmarkStart w:id="83" w:name="_Toc23674"/>
      <w:bookmarkStart w:id="84" w:name="_Toc23238"/>
      <w:bookmarkStart w:id="85" w:name="_Toc29894"/>
      <w:bookmarkStart w:id="86" w:name="_Toc12446"/>
      <w:bookmarkStart w:id="87" w:name="_Toc26815"/>
      <w:bookmarkStart w:id="88" w:name="_Toc30795"/>
      <w:bookmarkStart w:id="89" w:name="_Toc25476"/>
      <w:bookmarkStart w:id="90" w:name="_Toc24424"/>
      <w:bookmarkStart w:id="91" w:name="_Toc25010"/>
      <w:bookmarkStart w:id="92" w:name="_Toc5551"/>
      <w:bookmarkStart w:id="93" w:name="_Toc10741"/>
      <w:bookmarkStart w:id="94" w:name="_Toc30182"/>
      <w:bookmarkStart w:id="95" w:name="_Toc19107"/>
      <w:bookmarkStart w:id="96" w:name="_Toc28227"/>
      <w:bookmarkStart w:id="97" w:name="_Toc22924"/>
      <w:bookmarkStart w:id="98" w:name="_Toc4266"/>
      <w:bookmarkStart w:id="99" w:name="_Toc8176"/>
      <w:bookmarkStart w:id="100" w:name="_Toc15192"/>
      <w:bookmarkStart w:id="101" w:name="_Toc14590"/>
      <w:bookmarkStart w:id="102" w:name="_Toc18839"/>
      <w:bookmarkStart w:id="103" w:name="_Toc2865"/>
      <w:bookmarkStart w:id="104" w:name="_Toc21443"/>
      <w:bookmarkStart w:id="105" w:name="_Toc26851"/>
      <w:bookmarkStart w:id="106" w:name="_Toc29321"/>
      <w:bookmarkStart w:id="107" w:name="_Toc25930"/>
      <w:r>
        <w:rPr>
          <w:rFonts w:hint="eastAsia" w:ascii="宋体" w:hAnsi="宋体" w:eastAsia="宋体" w:cs="宋体"/>
          <w:color w:val="000000"/>
          <w:kern w:val="0"/>
          <w:sz w:val="28"/>
          <w:szCs w:val="28"/>
          <w:lang w:val="en-GB"/>
        </w:rPr>
        <w:t>本</w:t>
      </w:r>
      <w:r>
        <w:rPr>
          <w:rFonts w:hint="eastAsia" w:ascii="宋体" w:hAnsi="宋体" w:eastAsia="宋体" w:cs="宋体"/>
          <w:color w:val="000000"/>
          <w:kern w:val="0"/>
          <w:sz w:val="28"/>
          <w:szCs w:val="28"/>
          <w:lang w:val="en-GB" w:eastAsia="zh-CN"/>
        </w:rPr>
        <w:t>项目</w:t>
      </w:r>
      <w:r>
        <w:rPr>
          <w:rFonts w:hint="eastAsia" w:ascii="宋体" w:hAnsi="宋体" w:eastAsia="宋体" w:cs="宋体"/>
          <w:color w:val="000000"/>
          <w:kern w:val="0"/>
          <w:sz w:val="28"/>
          <w:szCs w:val="28"/>
          <w:lang w:val="en-US" w:eastAsia="zh-CN"/>
        </w:rPr>
        <w:t>共涉及8</w:t>
      </w:r>
      <w:r>
        <w:rPr>
          <w:rFonts w:hint="eastAsia" w:ascii="宋体" w:hAnsi="宋体" w:eastAsia="宋体" w:cs="宋体"/>
          <w:color w:val="000000"/>
          <w:kern w:val="0"/>
          <w:sz w:val="28"/>
          <w:szCs w:val="28"/>
          <w:lang w:val="en-GB" w:eastAsia="zh-CN"/>
        </w:rPr>
        <w:t>个</w:t>
      </w:r>
      <w:r>
        <w:rPr>
          <w:rFonts w:hint="eastAsia" w:ascii="宋体" w:hAnsi="宋体" w:eastAsia="宋体" w:cs="宋体"/>
          <w:color w:val="000000"/>
          <w:kern w:val="0"/>
          <w:sz w:val="28"/>
          <w:szCs w:val="28"/>
          <w:lang w:val="en-US" w:eastAsia="zh-CN"/>
        </w:rPr>
        <w:t>子</w:t>
      </w:r>
      <w:r>
        <w:rPr>
          <w:rFonts w:hint="eastAsia" w:ascii="宋体" w:hAnsi="宋体" w:eastAsia="宋体" w:cs="宋体"/>
          <w:color w:val="000000"/>
          <w:kern w:val="0"/>
          <w:sz w:val="28"/>
          <w:szCs w:val="28"/>
          <w:lang w:val="en-GB" w:eastAsia="zh-CN"/>
        </w:rPr>
        <w:t>项目，分别为儋州工业园王五园区道路建设工程（二期）、儋州工业园王五片区道路建设工程（三期）、省道S308美洋线那大至洋浦互通段公路改建工程（只含主线）、省道S315王五工业园区至白马井段市政化改建工程、儋州工业园木棠片区供电迁移工程、儋州工业园王五片区供电迁移工程、儋州工业园王五片区一期标准厂房项目、儋州工业园木棠片区生活配套区启动项目，</w:t>
      </w:r>
      <w:r>
        <w:rPr>
          <w:rFonts w:hint="eastAsia" w:ascii="宋体" w:hAnsi="宋体" w:eastAsia="宋体" w:cs="宋体"/>
          <w:color w:val="000000"/>
          <w:kern w:val="0"/>
          <w:sz w:val="28"/>
          <w:szCs w:val="28"/>
          <w:lang w:val="en-US" w:eastAsia="zh-CN"/>
        </w:rPr>
        <w:t>具体内容如下：</w:t>
      </w:r>
    </w:p>
    <w:p>
      <w:pPr>
        <w:keepNext/>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2"/>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1.儋州工业园王五园区道路建设工程（二期）</w:t>
      </w:r>
    </w:p>
    <w:p>
      <w:pPr>
        <w:keepNext/>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项目业主：儋州工业园建设投资有限公司</w:t>
      </w:r>
    </w:p>
    <w:p>
      <w:pPr>
        <w:keepNext/>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项目地点：儋州工业园王五片区</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主要包括园区北路、南王路和新村路3条新建市政道路，共2.77km的道路工程、岩土工程、绿化工程、给排水工程、电力工程、通信工程、照明工程、与既有道路或管线的衔接等设计。具体内容为：园区北路为园区西片区东西向次干路，往东一直延伸至王五新镇片区，目前实施为其中一段，西起规划滨江北路，东至规划南华路，双向4车道，道路里程为0.86km，规划红线宽度为26m；南王路为园区西片区内部南北向次干路及支路，规划滨江南路至园区北路段规划红线宽度为26m，双向4车道；园区北路至滨江北路段规划红线宽度为16m，双向2车道，道路里程为0.97km；新村路为园区西片区内部南北向联络性支路，规划红线宽度16m，双向2车道，道路里程为0.94km。</w:t>
      </w:r>
    </w:p>
    <w:p>
      <w:pPr>
        <w:keepNext w:val="0"/>
        <w:keepLines/>
        <w:pageBreakBefore w:val="0"/>
        <w:widowControl/>
        <w:kinsoku/>
        <w:wordWrap/>
        <w:overflowPunct/>
        <w:topLinePunct w:val="0"/>
        <w:autoSpaceDE/>
        <w:autoSpaceDN/>
        <w:bidi w:val="0"/>
        <w:adjustRightInd/>
        <w:snapToGrid/>
        <w:spacing w:after="0" w:line="360" w:lineRule="auto"/>
        <w:ind w:firstLine="562" w:firstLineChars="200"/>
        <w:jc w:val="left"/>
        <w:textAlignment w:val="auto"/>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2.儋州工业园王五片区道路建设工程（三期）</w:t>
      </w:r>
    </w:p>
    <w:p>
      <w:pPr>
        <w:keepNext/>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项目业主：儋州工业园建设投资有限公司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项目地点：儋州工业园王五片区</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项目内容：本项目共包括9条市政道路的新建工程以及场平工程。9条市政道路分别为创新大道、春江路、科技三路、智慧一路 、智慧二路南、智慧二路北、科技四路、创意大道和环湖路,9条道路长约8.46km。其中创新大道和春江路为主干路 ,道路长度合计3.04km；科技三路、智慧一路、智慧二路南、智慧二路北、科技四路、创意大道和环湖路为支路 ,道路长度合计5.42km。 场平工程包括园区中区、西区两个区域 (以科技三路为分界 ),场平面积合计约2005265m</w:t>
      </w:r>
      <w:r>
        <w:rPr>
          <w:rFonts w:hint="eastAsia" w:ascii="宋体" w:hAnsi="宋体" w:eastAsia="宋体" w:cs="宋体"/>
          <w:b w:val="0"/>
          <w:bCs w:val="0"/>
          <w:kern w:val="0"/>
          <w:sz w:val="28"/>
          <w:szCs w:val="28"/>
          <w:highlight w:val="none"/>
          <w:vertAlign w:val="superscript"/>
          <w:lang w:val="en-US" w:eastAsia="zh-CN" w:bidi="ar-SA"/>
        </w:rPr>
        <w:t>2</w:t>
      </w:r>
      <w:r>
        <w:rPr>
          <w:rFonts w:hint="eastAsia" w:ascii="宋体" w:hAnsi="宋体" w:eastAsia="宋体" w:cs="宋体"/>
          <w:b w:val="0"/>
          <w:bCs w:val="0"/>
          <w:kern w:val="0"/>
          <w:sz w:val="28"/>
          <w:szCs w:val="28"/>
          <w:highlight w:val="none"/>
          <w:lang w:val="en-US" w:eastAsia="zh-CN" w:bidi="ar-SA"/>
        </w:rPr>
        <w:t>。其中中区场平面枳约1243540m</w:t>
      </w:r>
      <w:r>
        <w:rPr>
          <w:rFonts w:hint="eastAsia" w:ascii="宋体" w:hAnsi="宋体" w:eastAsia="宋体" w:cs="宋体"/>
          <w:b w:val="0"/>
          <w:bCs w:val="0"/>
          <w:kern w:val="0"/>
          <w:sz w:val="28"/>
          <w:szCs w:val="28"/>
          <w:highlight w:val="none"/>
          <w:vertAlign w:val="superscript"/>
          <w:lang w:val="en-US" w:eastAsia="zh-CN" w:bidi="ar-SA"/>
        </w:rPr>
        <w:t>2</w:t>
      </w:r>
      <w:r>
        <w:rPr>
          <w:rFonts w:hint="eastAsia" w:ascii="宋体" w:hAnsi="宋体" w:eastAsia="宋体" w:cs="宋体"/>
          <w:b w:val="0"/>
          <w:bCs w:val="0"/>
          <w:kern w:val="0"/>
          <w:sz w:val="28"/>
          <w:szCs w:val="28"/>
          <w:highlight w:val="none"/>
          <w:lang w:val="en-US" w:eastAsia="zh-CN" w:bidi="ar-SA"/>
        </w:rPr>
        <w:t>,西区场平面积约761725m</w:t>
      </w:r>
      <w:r>
        <w:rPr>
          <w:rFonts w:hint="eastAsia" w:ascii="宋体" w:hAnsi="宋体" w:eastAsia="宋体" w:cs="宋体"/>
          <w:b w:val="0"/>
          <w:bCs w:val="0"/>
          <w:kern w:val="0"/>
          <w:sz w:val="28"/>
          <w:szCs w:val="28"/>
          <w:highlight w:val="none"/>
          <w:vertAlign w:val="superscript"/>
          <w:lang w:val="en-US" w:eastAsia="zh-CN" w:bidi="ar-SA"/>
        </w:rPr>
        <w:t>2</w:t>
      </w:r>
      <w:r>
        <w:rPr>
          <w:rFonts w:hint="eastAsia" w:ascii="宋体" w:hAnsi="宋体" w:eastAsia="宋体" w:cs="宋体"/>
          <w:b w:val="0"/>
          <w:bCs w:val="0"/>
          <w:kern w:val="0"/>
          <w:sz w:val="28"/>
          <w:szCs w:val="28"/>
          <w:highlight w:val="none"/>
          <w:lang w:val="en-US" w:eastAsia="zh-CN" w:bidi="ar-SA"/>
        </w:rPr>
        <w:t>。主要建设内容为道路工程、交通工程、岩土工程 、绿化工程 、给排水工程、电力工程、通信工程、照明工程、与既有道路或管线的衔接和场地整平等工程。</w:t>
      </w:r>
    </w:p>
    <w:p>
      <w:pPr>
        <w:keepNext w:val="0"/>
        <w:keepLines w:val="0"/>
        <w:widowControl/>
        <w:suppressLineNumbers w:val="0"/>
        <w:spacing w:after="0" w:line="360" w:lineRule="auto"/>
        <w:ind w:left="487" w:leftChars="232" w:firstLine="0" w:firstLineChars="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3.</w:t>
      </w:r>
      <w:r>
        <w:rPr>
          <w:rFonts w:hint="eastAsia" w:ascii="宋体" w:hAnsi="宋体" w:eastAsia="宋体" w:cs="宋体"/>
          <w:b/>
          <w:bCs/>
          <w:color w:val="000000"/>
          <w:kern w:val="0"/>
          <w:sz w:val="28"/>
          <w:szCs w:val="28"/>
          <w:lang w:val="en-GB" w:eastAsia="zh-CN"/>
        </w:rPr>
        <w:t>省道S308美洋线那大至洋浦互通段公路改建工程（只含主线）</w:t>
      </w:r>
      <w:r>
        <w:rPr>
          <w:rFonts w:hint="eastAsia" w:ascii="宋体" w:hAnsi="宋体" w:eastAsia="宋体" w:cs="宋体"/>
          <w:b w:val="0"/>
          <w:bCs w:val="0"/>
          <w:kern w:val="0"/>
          <w:sz w:val="28"/>
          <w:szCs w:val="28"/>
          <w:highlight w:val="none"/>
          <w:lang w:val="en-US" w:eastAsia="zh-CN" w:bidi="ar-SA"/>
        </w:rPr>
        <w:t>项目业主：洋浦经济开发区交通运输和航港局</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项目地点：海南省儋州市</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本项目对省道S308美洋线那大至洋浦互通段公路进行改建，主线全长25.525km，并改建环岛高速公路洋浦互通。按双向四车道一级公路标准建设，设计速度采用80km/h，路基宽度采用24.5m和32.0m两种断面，沥青混凝土路面。建设内容主要包括道路工程、桥涵工程、交叉工程、交通工程及沿线设施、绿化工程等。</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bCs/>
          <w:color w:val="000000"/>
          <w:sz w:val="28"/>
          <w:szCs w:val="28"/>
          <w:lang w:val="en-GB" w:eastAsia="zh-CN" w:bidi="ar-SA"/>
        </w:rPr>
      </w:pPr>
      <w:r>
        <w:rPr>
          <w:rFonts w:hint="eastAsia" w:ascii="宋体" w:hAnsi="宋体" w:eastAsia="宋体" w:cs="宋体"/>
          <w:b/>
          <w:bCs/>
          <w:sz w:val="28"/>
          <w:szCs w:val="28"/>
          <w:highlight w:val="none"/>
          <w:lang w:val="en-US" w:eastAsia="zh-CN" w:bidi="ar-SA"/>
        </w:rPr>
        <w:t>4.</w:t>
      </w:r>
      <w:r>
        <w:rPr>
          <w:rFonts w:hint="eastAsia" w:ascii="宋体" w:hAnsi="宋体" w:eastAsia="宋体" w:cs="宋体"/>
          <w:b/>
          <w:bCs/>
          <w:color w:val="000000"/>
          <w:sz w:val="28"/>
          <w:szCs w:val="28"/>
          <w:lang w:val="en-GB" w:eastAsia="zh-CN" w:bidi="ar-SA"/>
        </w:rPr>
        <w:t>省道S315王五工业园区至白马井段市政化改建工程</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项目业主：洋浦经济开发区交通运输和航港局</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项目地点：海南省儋州市</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项目内容：省道 S315 王五工业园区至白马井段市政化改建工程，全长约4090m，包含内容有：道路工程、交通工程、桥涵工程、给排水工程、照明工程、通信工程、电力工程及绿化工程。</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5.儋州工业园木棠片区供电迁移工程</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项目业主：儋州工业园建设投资有限公司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项目地点：儋州市木棠镇</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1）110kV三木特线（#47—#50段）本期将110kV三木特线#47—#50段架空线路改为电缆，新建电缆线路1×0.58km，沿电缆线路新建1根24芯管道光缆，新建110kV电缆终端塔2基。电缆沿规划绿化带新建电缆沟敷设。拆除110kV单回架空线路1×0.58km（导、地线）。（2）35kV木新线（#04—#07段）本期将35kV木新线#04—#07段架空线路改为电缆，新建电缆线路1×0.96km，沿电缆线路新建1根24芯管道光缆，新建35kV电缆终端塔2基；电缆沿规划绿化带穿管直埋方式敷设。拆除35kV单回架空线路1×0.55km（导、地线）。（3）35kV木光线（#03—#07段）本期将35kV木光线#03—#07段架空线路架空线路改为电缆，新建电缆线路1×1.26km，新建35kV电缆终端塔2基；电缆沿规划绿化带穿管直埋方式敷设。拆除35kV单回架空线路1×0.87km（导、地线）。（4）10kV木棠主线/松鹅主线（#9-#23段）以及10kV薛田支线（#1-#6段）（港丰物流段）本期将10kV木棠主线/松鹅主线#9-#23段架空线路改为电缆入地，新建电缆线路2×0.935km；新建10kV双回路电缆终端塔1基；新建环网柜（六间隔）2座；新增杆上隔离开关2组，杆上智能真空断路器2组，避雷器6只；拆除10kV双回架空线路2×0.65km。拆除10kV双回直线单杆13基、双回直线双杆4基；拆除10kV角钢塔1基。电缆沿规划绿化带穿管直埋方式敷设至前期已建好的市政原有电缆沟。本期将10kV薛田支线#1-#6号杆架空线路改为电缆入地，新建电缆线路1×0.57km；新建10kV单回路电缆终端塔1基；新增杆上隔离开关1组，杆上智能真空断路器1组；避雷器3只；拆除10kV单回架空线路1×0.36km。电缆沿乡村道路边缘穿管直埋方式敷设。（5）10kV海岛建材线（27#-#40段）（工业园区木棠大道段）本期将10kV海岛建材线27#-#40号杆架空线改为电缆入地，新建电缆线路1×1.42km；新建10kV单回路电缆终端塔1基；新建环网柜3座；新增杆上隔离开关1组，杆上智能真空断路器1组；拆除10kV单回架空线路1×1.48km。电缆沿规划绿化带穿管直埋方式敷设至前期已建好的市政原有电缆沟。</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bCs/>
          <w:color w:val="000000"/>
          <w:sz w:val="28"/>
          <w:szCs w:val="28"/>
          <w:lang w:val="en-GB" w:eastAsia="zh-CN" w:bidi="ar-SA"/>
        </w:rPr>
      </w:pPr>
      <w:r>
        <w:rPr>
          <w:rFonts w:hint="eastAsia" w:ascii="宋体" w:hAnsi="宋体" w:eastAsia="宋体" w:cs="宋体"/>
          <w:b/>
          <w:bCs/>
          <w:sz w:val="28"/>
          <w:szCs w:val="28"/>
          <w:highlight w:val="none"/>
          <w:lang w:val="en-US" w:eastAsia="zh-CN" w:bidi="ar-SA"/>
        </w:rPr>
        <w:t>6.</w:t>
      </w:r>
      <w:r>
        <w:rPr>
          <w:rFonts w:hint="eastAsia" w:ascii="宋体" w:hAnsi="宋体" w:eastAsia="宋体" w:cs="宋体"/>
          <w:b/>
          <w:bCs/>
          <w:color w:val="000000"/>
          <w:sz w:val="28"/>
          <w:szCs w:val="28"/>
          <w:lang w:val="en-GB" w:eastAsia="zh-CN" w:bidi="ar-SA"/>
        </w:rPr>
        <w:t>儋州工业园王五片区供电迁移工程</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项目业主：儋州工业园建设投资有限公司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项目地点：儋州市王五镇</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原双回同塔110kV排马线和李海线从#65号进行改道，沿儋州工业园王五片区外边缘架设，至#70号接回原线路。新建双回110kV架空线路约2.03km，110kV架空导线采用单根300mm2，同期沿架空线路新建2根24芯光缆。并将110kV排马线和李海线#65号——#70原线路拆除。35kV春江糖厂线从变电站电缆出线，沿道路套管直埋敷设至春江糖厂，新建单回35kV电缆线路约2.8km，35kV电缆采用3芯240mm2，同期沿电缆敷设24芯管道光缆。并将原35kV春江糖厂线架空线路全线拆除。原10kV王五#2线、东山线同杆双回线路，10kV和雷线、山营线同杆双回线路从#6电缆入地，沿规划电缆沟敷设至#12电缆升空接上原线路，新建四回10kV电缆线路约0.39km，10kV电缆采用3芯300mm2。并将原#6——#12段架空线路拆除。本次迁改不含电缆沟土建工程量。</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bCs/>
          <w:color w:val="000000"/>
          <w:sz w:val="28"/>
          <w:szCs w:val="28"/>
          <w:lang w:val="en-GB" w:eastAsia="zh-CN" w:bidi="ar-SA"/>
        </w:rPr>
      </w:pPr>
      <w:r>
        <w:rPr>
          <w:rFonts w:hint="eastAsia" w:ascii="宋体" w:hAnsi="宋体" w:eastAsia="宋体" w:cs="宋体"/>
          <w:b/>
          <w:bCs/>
          <w:sz w:val="28"/>
          <w:szCs w:val="28"/>
          <w:highlight w:val="none"/>
          <w:lang w:val="en-US" w:eastAsia="zh-CN" w:bidi="ar-SA"/>
        </w:rPr>
        <w:t>7.</w:t>
      </w:r>
      <w:r>
        <w:rPr>
          <w:rFonts w:hint="eastAsia" w:ascii="宋体" w:hAnsi="宋体" w:eastAsia="宋体" w:cs="宋体"/>
          <w:b/>
          <w:bCs/>
          <w:color w:val="000000"/>
          <w:sz w:val="28"/>
          <w:szCs w:val="28"/>
          <w:lang w:val="en-GB" w:eastAsia="zh-CN" w:bidi="ar-SA"/>
        </w:rPr>
        <w:t>儋州工业园王五片区一期标准厂房项目</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项目业主：儋州工业园建设投资有限公司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项目地点：儋州市儋州工业园王五片区中部</w:t>
      </w:r>
    </w:p>
    <w:p>
      <w:pPr>
        <w:widowControl/>
        <w:adjustRightInd w:val="0"/>
        <w:snapToGrid w:val="0"/>
        <w:spacing w:after="0" w:line="360" w:lineRule="auto"/>
        <w:ind w:firstLine="56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项目内容：拟建设农副产品深加工生产、检验检测、研发、销售等丙类轻工业标准厂房、配套宿舍楼、设备等用房。项目用地面积 5.36公顷（约 80.4 亩），项目总建筑面积 88570.00㎡。具体建设内容及规模如下：</w:t>
      </w:r>
      <w:bookmarkStart w:id="108" w:name="_Hlk98507397"/>
      <w:r>
        <w:rPr>
          <w:rFonts w:hint="eastAsia" w:ascii="宋体" w:hAnsi="宋体" w:eastAsia="宋体" w:cs="宋体"/>
          <w:b w:val="0"/>
          <w:bCs w:val="0"/>
          <w:kern w:val="0"/>
          <w:sz w:val="28"/>
          <w:szCs w:val="28"/>
          <w:highlight w:val="none"/>
          <w:lang w:val="en-US" w:eastAsia="zh-CN" w:bidi="ar-SA"/>
        </w:rPr>
        <w:t>（1）拟建标准厂房19栋，均为地上四层，首层层高为6.9m，二至四层层高为4.8m。建筑高度为23.7m。标准厂房建筑总建筑面积为 75630.00㎡；（2）拟建</w:t>
      </w:r>
      <w:bookmarkStart w:id="109" w:name="_Hlk98512084"/>
      <w:r>
        <w:rPr>
          <w:rFonts w:hint="eastAsia" w:ascii="宋体" w:hAnsi="宋体" w:eastAsia="宋体" w:cs="宋体"/>
          <w:b w:val="0"/>
          <w:bCs w:val="0"/>
          <w:kern w:val="0"/>
          <w:sz w:val="28"/>
          <w:szCs w:val="28"/>
          <w:highlight w:val="none"/>
          <w:lang w:val="en-US" w:eastAsia="zh-CN" w:bidi="ar-SA"/>
        </w:rPr>
        <w:t>配套宿舍楼</w:t>
      </w:r>
      <w:bookmarkEnd w:id="109"/>
      <w:r>
        <w:rPr>
          <w:rFonts w:hint="eastAsia" w:ascii="宋体" w:hAnsi="宋体" w:eastAsia="宋体" w:cs="宋体"/>
          <w:b w:val="0"/>
          <w:bCs w:val="0"/>
          <w:kern w:val="0"/>
          <w:sz w:val="28"/>
          <w:szCs w:val="28"/>
          <w:highlight w:val="none"/>
          <w:lang w:val="en-US" w:eastAsia="zh-CN" w:bidi="ar-SA"/>
        </w:rPr>
        <w:t xml:space="preserve"> 1栋，地上9层，首层层高5.4米，二至八层3.9米，建筑高度38米。建筑面积12600㎡；（3）拟建设备房2座，地上1层，层高4.5m，两座总建筑面积316㎡； 拟建门岗4个建筑面积共 24㎡。 </w:t>
      </w:r>
      <w:bookmarkEnd w:id="108"/>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bCs/>
          <w:color w:val="000000"/>
          <w:sz w:val="28"/>
          <w:szCs w:val="28"/>
          <w:lang w:val="en-GB" w:eastAsia="zh-CN" w:bidi="ar-SA"/>
        </w:rPr>
      </w:pPr>
      <w:r>
        <w:rPr>
          <w:rFonts w:hint="eastAsia" w:ascii="宋体" w:hAnsi="宋体" w:eastAsia="宋体" w:cs="宋体"/>
          <w:b/>
          <w:bCs/>
          <w:sz w:val="28"/>
          <w:szCs w:val="28"/>
          <w:highlight w:val="none"/>
          <w:lang w:val="en-US" w:eastAsia="zh-CN" w:bidi="ar-SA"/>
        </w:rPr>
        <w:t>8.</w:t>
      </w:r>
      <w:r>
        <w:rPr>
          <w:rFonts w:hint="eastAsia" w:ascii="宋体" w:hAnsi="宋体" w:eastAsia="宋体" w:cs="宋体"/>
          <w:b/>
          <w:bCs/>
          <w:color w:val="000000"/>
          <w:sz w:val="28"/>
          <w:szCs w:val="28"/>
          <w:lang w:val="en-GB" w:eastAsia="zh-CN" w:bidi="ar-SA"/>
        </w:rPr>
        <w:t>儋州工业园木棠片区生活配套区启动项目</w:t>
      </w:r>
    </w:p>
    <w:p>
      <w:pPr>
        <w:keepNext/>
        <w:keepLines w:val="0"/>
        <w:pageBreakBefore w:val="0"/>
        <w:widowControl w:val="0"/>
        <w:kinsoku/>
        <w:wordWrap/>
        <w:overflowPunct/>
        <w:topLinePunct w:val="0"/>
        <w:autoSpaceDE/>
        <w:autoSpaceDN/>
        <w:bidi w:val="0"/>
        <w:adjustRightInd/>
        <w:snapToGrid/>
        <w:spacing w:line="360" w:lineRule="auto"/>
        <w:ind w:left="487" w:leftChars="232" w:firstLine="0" w:firstLineChars="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项目业主：儋州工业园建设投资有限公司</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2"/>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项目地点：儋州市木棠镇镇区南侧</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项目内容：拟建安置性住房、商业配套用房、地下停车库等。项目用地面积20627.73m²（约30.94亩），规划总建筑面积36181.41m</w:t>
      </w:r>
      <w:r>
        <w:rPr>
          <w:rFonts w:hint="eastAsia" w:ascii="宋体" w:hAnsi="宋体" w:eastAsia="宋体" w:cs="宋体"/>
          <w:b w:val="0"/>
          <w:bCs w:val="0"/>
          <w:kern w:val="0"/>
          <w:sz w:val="28"/>
          <w:szCs w:val="28"/>
          <w:highlight w:val="none"/>
          <w:vertAlign w:val="superscript"/>
          <w:lang w:val="en-US" w:eastAsia="zh-CN" w:bidi="ar-SA"/>
        </w:rPr>
        <w:t>2</w:t>
      </w:r>
      <w:r>
        <w:rPr>
          <w:rFonts w:hint="eastAsia" w:ascii="宋体" w:hAnsi="宋体" w:eastAsia="宋体" w:cs="宋体"/>
          <w:b w:val="0"/>
          <w:bCs w:val="0"/>
          <w:kern w:val="0"/>
          <w:sz w:val="28"/>
          <w:szCs w:val="28"/>
          <w:highlight w:val="none"/>
          <w:lang w:val="en-US" w:eastAsia="zh-CN" w:bidi="ar-SA"/>
        </w:rPr>
        <w:t>，其中地上建筑面积29861.41m²，地下建筑面积6320.00m²。安置性住房沿南北向两边排布，中间形成景观中轴线，将楼间组团绿化串联，共布置11栋6层安置房，户型面积段按照“征收补偿安置方案”要求设置：60m²（12户）、90m²（42户）、120m²（190户）三种户型。户型总数为244户。商业配套用房沿东南锦棠大道设置一层商铺。主要建设内容为：总图工程（绿化、道路及室外管网工程）、建筑工程、结构工程、装修及无障碍设施工程、给排水工程、消防工程、强电工程、弱电工程以及暖通空调工程等。</w:t>
      </w:r>
    </w:p>
    <w:p>
      <w:pPr>
        <w:keepNext w:val="0"/>
        <w:keepLines w:val="0"/>
        <w:widowControl/>
        <w:suppressLineNumbers w:val="0"/>
        <w:spacing w:after="0" w:line="360" w:lineRule="auto"/>
        <w:ind w:firstLine="560" w:firstLineChars="200"/>
        <w:jc w:val="left"/>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本项目计划通过自筹资金和发行项目收益与融资自求平衡专项债券的方式完成项目资金筹措，本项目本期申请发行专项债券金额为41,200万元，预计该专项债券期限为10年，优先考虑政府专项债券融资并于2022年发行，各项目具体发行情况如下表2所示：</w:t>
      </w:r>
    </w:p>
    <w:p>
      <w:pPr>
        <w:keepNext w:val="0"/>
        <w:keepLines w:val="0"/>
        <w:pageBreakBefore w:val="0"/>
        <w:widowControl/>
        <w:kinsoku/>
        <w:wordWrap/>
        <w:overflowPunct/>
        <w:topLinePunct w:val="0"/>
        <w:autoSpaceDE/>
        <w:autoSpaceDN/>
        <w:bidi w:val="0"/>
        <w:adjustRightInd/>
        <w:snapToGrid/>
        <w:spacing w:before="0" w:after="120" w:line="360" w:lineRule="auto"/>
        <w:ind w:firstLine="281" w:firstLineChars="100"/>
        <w:jc w:val="center"/>
        <w:textAlignment w:val="auto"/>
        <w:rPr>
          <w:rFonts w:hint="eastAsia" w:ascii="宋体" w:hAnsi="宋体" w:eastAsia="宋体" w:cs="宋体"/>
          <w:b/>
          <w:bCs/>
          <w:sz w:val="28"/>
          <w:szCs w:val="28"/>
          <w:highlight w:val="none"/>
          <w:lang w:val="en-GB" w:eastAsia="zh-CN" w:bidi="ar-SA"/>
        </w:rPr>
      </w:pPr>
      <w:r>
        <w:rPr>
          <w:rFonts w:hint="eastAsia" w:ascii="宋体" w:hAnsi="宋体" w:eastAsia="宋体" w:cs="宋体"/>
          <w:b/>
          <w:bCs/>
          <w:sz w:val="28"/>
          <w:szCs w:val="28"/>
          <w:highlight w:val="none"/>
          <w:lang w:val="en-US" w:eastAsia="zh-CN" w:bidi="ar-SA"/>
        </w:rPr>
        <w:t xml:space="preserve">表2  </w:t>
      </w:r>
      <w:r>
        <w:rPr>
          <w:rFonts w:hint="eastAsia" w:ascii="宋体" w:hAnsi="宋体" w:eastAsia="宋体" w:cs="宋体"/>
          <w:b/>
          <w:bCs/>
          <w:sz w:val="28"/>
          <w:szCs w:val="28"/>
          <w:highlight w:val="none"/>
          <w:lang w:val="en-GB" w:eastAsia="zh-CN" w:bidi="ar-SA"/>
        </w:rPr>
        <w:t>2022年儋州市基础设施专项债券（四期）</w:t>
      </w:r>
    </w:p>
    <w:p>
      <w:pPr>
        <w:keepNext w:val="0"/>
        <w:keepLines w:val="0"/>
        <w:pageBreakBefore w:val="0"/>
        <w:widowControl/>
        <w:kinsoku/>
        <w:wordWrap/>
        <w:overflowPunct/>
        <w:topLinePunct w:val="0"/>
        <w:autoSpaceDE/>
        <w:autoSpaceDN/>
        <w:bidi w:val="0"/>
        <w:adjustRightInd/>
        <w:snapToGrid/>
        <w:spacing w:before="0" w:after="120" w:line="360" w:lineRule="auto"/>
        <w:ind w:firstLine="281" w:firstLineChars="100"/>
        <w:jc w:val="center"/>
        <w:textAlignment w:val="auto"/>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申请计划发行专项债券情况</w:t>
      </w:r>
    </w:p>
    <w:p>
      <w:pPr>
        <w:spacing w:line="360" w:lineRule="auto"/>
        <w:ind w:left="105" w:firstLine="560" w:firstLineChars="200"/>
        <w:jc w:val="right"/>
        <w:rPr>
          <w:rFonts w:hint="eastAsia" w:ascii="宋体" w:hAnsi="宋体" w:eastAsia="宋体" w:cs="宋体"/>
          <w:b w:val="0"/>
          <w:bCs w:val="0"/>
          <w:sz w:val="28"/>
          <w:szCs w:val="28"/>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10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5"/>
        <w:gridCol w:w="2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360" w:lineRule="auto"/>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534"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360" w:lineRule="auto"/>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本期计划发行额度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儋州工业园王五园区道路建设工程（二期）</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儋州工业园王五片区道路建设工程（三期）</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省道S308美洋线那大至洋浦互通段公路改建工程（只含主线）</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省道S315王五工业园区至白马井段市政化改建工程</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儋州工业园木棠片区供电迁移工程</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儋州工业园王五片区供电迁移工程</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儋州工业园王五片区一期标准厂房项目</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儋州工业园木棠片区生活配套区启动项目</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left"/>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360" w:lineRule="auto"/>
              <w:jc w:val="center"/>
              <w:textAlignment w:val="center"/>
              <w:rPr>
                <w:rFonts w:hint="eastAsia" w:ascii="宋体" w:hAnsi="宋体" w:eastAsia="宋体" w:cs="宋体"/>
                <w:b/>
                <w:bCs/>
                <w:i w:val="0"/>
                <w:iCs w:val="0"/>
                <w:color w:val="000000"/>
                <w:kern w:val="0"/>
                <w:sz w:val="24"/>
                <w:szCs w:val="24"/>
                <w:u w:val="none"/>
              </w:rPr>
            </w:pPr>
            <w:r>
              <w:rPr>
                <w:rFonts w:hint="eastAsia" w:ascii="宋体" w:hAnsi="宋体" w:eastAsia="宋体" w:cs="宋体"/>
                <w:b/>
                <w:bCs/>
                <w:i w:val="0"/>
                <w:iCs w:val="0"/>
                <w:color w:val="000000"/>
                <w:kern w:val="0"/>
                <w:sz w:val="24"/>
                <w:szCs w:val="24"/>
                <w:u w:val="none"/>
                <w:lang w:val="en-US" w:eastAsia="zh-CN" w:bidi="ar"/>
              </w:rPr>
              <w:t>41200</w:t>
            </w:r>
          </w:p>
        </w:tc>
      </w:tr>
    </w:tbl>
    <w:p>
      <w:pPr>
        <w:pStyle w:val="4"/>
        <w:numPr>
          <w:ilvl w:val="0"/>
          <w:numId w:val="0"/>
        </w:numPr>
        <w:bidi w:val="0"/>
        <w:spacing w:line="360" w:lineRule="auto"/>
        <w:ind w:left="420" w:leftChars="0"/>
        <w:rPr>
          <w:rFonts w:hint="eastAsia" w:ascii="宋体" w:hAnsi="宋体" w:eastAsia="宋体" w:cs="宋体"/>
          <w:sz w:val="28"/>
          <w:szCs w:val="28"/>
          <w:lang w:val="en-US" w:eastAsia="zh-CN"/>
        </w:rPr>
      </w:pPr>
      <w:bookmarkStart w:id="110" w:name="_Toc1343"/>
      <w:r>
        <w:rPr>
          <w:rFonts w:hint="eastAsia" w:ascii="宋体" w:hAnsi="宋体" w:eastAsia="宋体" w:cs="宋体"/>
          <w:sz w:val="28"/>
          <w:szCs w:val="28"/>
          <w:lang w:eastAsia="zh-CN"/>
        </w:rPr>
        <w:t>四、</w:t>
      </w:r>
      <w:r>
        <w:rPr>
          <w:rFonts w:hint="eastAsia" w:ascii="宋体" w:hAnsi="宋体" w:eastAsia="宋体" w:cs="宋体"/>
          <w:sz w:val="28"/>
          <w:szCs w:val="28"/>
        </w:rPr>
        <w:t>资金平衡方案</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10"/>
      <w:bookmarkStart w:id="111" w:name="_Toc19869"/>
      <w:bookmarkStart w:id="112" w:name="_Toc999"/>
      <w:bookmarkStart w:id="113" w:name="_Toc1997"/>
      <w:bookmarkStart w:id="114" w:name="_Toc13600"/>
      <w:bookmarkStart w:id="115" w:name="_Toc1660"/>
      <w:bookmarkStart w:id="116" w:name="_Toc22861"/>
      <w:bookmarkStart w:id="117" w:name="_Toc8097"/>
      <w:bookmarkStart w:id="118" w:name="_Toc11044"/>
      <w:bookmarkStart w:id="119" w:name="_Toc30193"/>
      <w:bookmarkStart w:id="120" w:name="_Toc25581"/>
      <w:bookmarkStart w:id="121" w:name="_Toc29379"/>
      <w:bookmarkStart w:id="122" w:name="_Toc16356"/>
      <w:bookmarkStart w:id="123" w:name="_Toc28172"/>
      <w:bookmarkStart w:id="124" w:name="_Toc21845"/>
      <w:bookmarkStart w:id="125" w:name="_Toc28201"/>
      <w:bookmarkStart w:id="126" w:name="_Toc14796"/>
      <w:bookmarkStart w:id="127" w:name="_Toc21128"/>
      <w:bookmarkStart w:id="128" w:name="_Toc28228"/>
      <w:bookmarkStart w:id="129" w:name="_Toc1887"/>
      <w:bookmarkStart w:id="130" w:name="_Toc27009"/>
      <w:bookmarkStart w:id="131" w:name="_Toc6449"/>
      <w:bookmarkStart w:id="132" w:name="_Toc26376"/>
      <w:bookmarkStart w:id="133" w:name="_Toc31437"/>
      <w:bookmarkStart w:id="134" w:name="_Toc30860"/>
      <w:bookmarkStart w:id="135" w:name="_Toc31583"/>
      <w:bookmarkStart w:id="136" w:name="_Toc25749"/>
    </w:p>
    <w:p>
      <w:pPr>
        <w:pStyle w:val="2"/>
        <w:bidi w:val="0"/>
        <w:spacing w:line="360" w:lineRule="auto"/>
        <w:rPr>
          <w:rFonts w:hint="eastAsia" w:ascii="宋体" w:hAnsi="宋体" w:eastAsia="宋体" w:cs="宋体"/>
          <w:sz w:val="28"/>
          <w:szCs w:val="28"/>
        </w:rPr>
      </w:pPr>
      <w:bookmarkStart w:id="137" w:name="_Toc14187"/>
      <w:r>
        <w:rPr>
          <w:rFonts w:hint="eastAsia" w:ascii="宋体" w:hAnsi="宋体" w:eastAsia="宋体" w:cs="宋体"/>
          <w:sz w:val="28"/>
          <w:szCs w:val="28"/>
          <w:lang w:eastAsia="zh-CN"/>
        </w:rPr>
        <w:t>（一）</w:t>
      </w:r>
      <w:r>
        <w:rPr>
          <w:rFonts w:hint="eastAsia" w:ascii="宋体" w:hAnsi="宋体" w:eastAsia="宋体" w:cs="宋体"/>
          <w:sz w:val="28"/>
          <w:szCs w:val="28"/>
        </w:rPr>
        <w:t>资金充足性</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kern w:val="0"/>
          <w:sz w:val="28"/>
          <w:szCs w:val="28"/>
          <w:highlight w:val="none"/>
          <w:lang w:val="en-US" w:eastAsia="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kern w:val="0"/>
          <w:sz w:val="28"/>
          <w:szCs w:val="28"/>
          <w:highlight w:val="none"/>
          <w:lang w:val="en-US" w:eastAsia="zh-CN"/>
        </w:rPr>
        <w:t>本项目本期申请发行专项债券共计41,200万元。根据项目收益与融资平衡分析结果显示，债券存续期内还本付息资金充足，其中：儋州工业园王五园区道路建设工程（二期）本息覆盖率可达到1.31儋州工业园王五片区道路建设工程（三期）本息覆盖率可达到1.34省道S308美洋线那大至洋浦互通段公路改建工程（只含主线）本息覆盖率可达到1.26，省道S315王五工业园区至白马井段市政化改建工程本息覆盖率可达到1.25，儋州工业园木棠片区供电迁移工程本息覆盖率可达到1.27，儋州工业园王五片区供电迁移工程本息覆盖率可达到1.79，儋州工业园王五片区一期标准厂房项目本息覆盖率可达到1.30，儋州工业园木棠片区生活配套区启动项目本息覆盖率可达到1.30。详见下表3：</w:t>
      </w:r>
    </w:p>
    <w:p>
      <w:pPr>
        <w:keepNext w:val="0"/>
        <w:keepLines w:val="0"/>
        <w:pageBreakBefore w:val="0"/>
        <w:widowControl/>
        <w:kinsoku/>
        <w:wordWrap/>
        <w:overflowPunct/>
        <w:topLinePunct w:val="0"/>
        <w:autoSpaceDE/>
        <w:autoSpaceDN/>
        <w:bidi w:val="0"/>
        <w:adjustRightInd/>
        <w:snapToGrid/>
        <w:spacing w:before="0" w:after="120" w:line="360" w:lineRule="auto"/>
        <w:ind w:left="0" w:leftChars="0" w:firstLine="0" w:firstLineChars="0"/>
        <w:jc w:val="center"/>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表3 2022年儋州市基础设施专项债券（四期）本息覆盖率表</w:t>
      </w:r>
      <w:r>
        <w:rPr>
          <w:rFonts w:hint="eastAsia" w:ascii="宋体" w:hAnsi="宋体" w:eastAsia="宋体" w:cs="宋体"/>
          <w:b/>
          <w:bCs/>
          <w:sz w:val="24"/>
          <w:szCs w:val="24"/>
          <w:highlight w:val="none"/>
          <w:lang w:val="en-US" w:eastAsia="zh-CN" w:bidi="ar-SA"/>
        </w:rPr>
        <w:footnoteReference w:id="0"/>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right"/>
        <w:textAlignment w:val="auto"/>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highlight w:val="none"/>
          <w:lang w:val="en-US" w:eastAsia="zh-CN"/>
        </w:rPr>
        <w:t xml:space="preserve">                                        </w:t>
      </w:r>
      <w:r>
        <w:rPr>
          <w:rFonts w:hint="eastAsia" w:ascii="宋体" w:hAnsi="宋体" w:eastAsia="宋体" w:cs="宋体"/>
          <w:kern w:val="0"/>
          <w:sz w:val="24"/>
          <w:szCs w:val="24"/>
          <w:highlight w:val="none"/>
          <w:lang w:val="en-US" w:eastAsia="zh-CN"/>
        </w:rPr>
        <w:t>单位：人民币万元</w:t>
      </w:r>
    </w:p>
    <w:tbl>
      <w:tblPr>
        <w:tblStyle w:val="20"/>
        <w:tblW w:w="15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2329"/>
        <w:gridCol w:w="1392"/>
        <w:gridCol w:w="1392"/>
        <w:gridCol w:w="1392"/>
        <w:gridCol w:w="1392"/>
        <w:gridCol w:w="1392"/>
        <w:gridCol w:w="1392"/>
        <w:gridCol w:w="1392"/>
        <w:gridCol w:w="1392"/>
        <w:gridCol w:w="85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32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项目总投资</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期末累计现金结存额</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项目总收益</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本次申请发行</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2022年后续计划发行</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2023年计划发行</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2024年计划发行</w:t>
            </w:r>
          </w:p>
        </w:tc>
        <w:tc>
          <w:tcPr>
            <w:tcW w:w="1392"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预计债券本息</w:t>
            </w:r>
          </w:p>
        </w:tc>
        <w:tc>
          <w:tcPr>
            <w:tcW w:w="85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本息覆盖率</w:t>
            </w:r>
          </w:p>
        </w:tc>
        <w:tc>
          <w:tcPr>
            <w:tcW w:w="85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本息覆盖倍数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儋州工业园王五园区道路建设工程（二期）</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14,768.81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4,160.36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17,493.00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4,600.00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5,387.00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13,332.65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1.31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儋州工业园王五片区道路建设工程（三期）</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82,161.63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16,708.04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63,702.65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25,000.00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12,062.00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49,477.77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1.34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省道S308美洋线那大至洋浦互通段公路改建工程（只含主线）</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38,872.51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1,046.00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4,850.00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4,005.00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1.26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省道S315王五工业园区至白马井段市政化改建工程</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34,788.25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337.00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1,605.00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1,335.00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1.25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儋州工业园木棠片区供电迁移工程</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2,221.00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358.69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1,693.69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1,335.00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1.27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儋州工业园王五片区供电迁移工程</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2,045.00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1,059.00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2,394.00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1,000.00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1,335.00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1.79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儋州工业园王五片区一期标准厂房项目</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41,861.97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12,974.02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55,051.43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2,100.00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17,189.00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13,147.00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43,302.06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儋州工业园木棠片区生活配套区启动项目</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23,773.42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7,307.73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31,064.58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3,500.00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8,070.00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6,790.00 </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24,510.60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1.30 </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1.27 </w:t>
            </w:r>
          </w:p>
        </w:tc>
      </w:tr>
    </w:tbl>
    <w:p>
      <w:pPr>
        <w:spacing w:after="0" w:line="360" w:lineRule="auto"/>
        <w:ind w:firstLine="560" w:firstLineChars="200"/>
        <w:rPr>
          <w:rFonts w:hint="eastAsia" w:ascii="宋体" w:hAnsi="宋体" w:eastAsia="宋体" w:cs="宋体"/>
          <w:color w:val="000000"/>
          <w:kern w:val="0"/>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根据项目的投资估算、债券发行和还本付息、发债项目盈利能力、偿债能力和可持续性等方面分析，得出如下结论：</w:t>
      </w:r>
    </w:p>
    <w:p>
      <w:pPr>
        <w:pStyle w:val="3"/>
        <w:bidi w:val="0"/>
        <w:spacing w:line="360" w:lineRule="auto"/>
        <w:rPr>
          <w:rFonts w:hint="eastAsia" w:ascii="宋体" w:hAnsi="宋体" w:eastAsia="宋体" w:cs="宋体"/>
          <w:sz w:val="28"/>
          <w:szCs w:val="28"/>
        </w:rPr>
      </w:pPr>
      <w:bookmarkStart w:id="138" w:name="_Toc28481"/>
      <w:bookmarkStart w:id="139" w:name="_Toc75350763"/>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投资估算</w:t>
      </w:r>
      <w:bookmarkEnd w:id="138"/>
      <w:bookmarkEnd w:id="139"/>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b w:val="0"/>
          <w:bCs w:val="0"/>
          <w:kern w:val="0"/>
          <w:sz w:val="28"/>
          <w:szCs w:val="28"/>
          <w:highlight w:val="none"/>
          <w:lang w:val="en-US" w:eastAsia="zh-CN" w:bidi="ar-SA"/>
        </w:rPr>
      </w:pPr>
      <w:bookmarkStart w:id="140" w:name="_Toc22301"/>
      <w:r>
        <w:rPr>
          <w:rFonts w:hint="eastAsia" w:ascii="宋体" w:hAnsi="宋体" w:eastAsia="宋体" w:cs="宋体"/>
          <w:b w:val="0"/>
          <w:bCs w:val="0"/>
          <w:kern w:val="0"/>
          <w:sz w:val="28"/>
          <w:szCs w:val="28"/>
          <w:highlight w:val="none"/>
          <w:lang w:val="en-US" w:eastAsia="zh-CN" w:bidi="ar-SA"/>
        </w:rPr>
        <w:t>本项目从客观、谨慎角度出发，本项目债券发行利率参考债券发行利率参考2022年中国债券信息网公布的待偿期为10年的国债收益率2.7576%上浮21.5%，即本项目10年期债券利率暂按3.35%测算，发行费率暂取0.10%。据此估算本项目总投资为240,492.59万元，其中：儋州工业园王五园区道路建设工程（二期）14,768.82万元、儋州工业园王五片区道路建设工程（三期）82,161.63万元、省道S308美洋线那大至洋浦互通段公路改建工程（只含主线）38,872.51万元、省道S315王五工业园区至白马井段市政化改建工程34,788.25万元、儋州工业园木棠片区供电迁移工程2,221万元、儋州工业园王五片区供电迁移工程2,045万元、儋州工业园王五片区一期标准厂房项目41,861.97万元、儋州工业园木棠片区生活配套区启动项目23,773.42万元。详见表4：</w:t>
      </w:r>
    </w:p>
    <w:p>
      <w:pPr>
        <w:keepNext w:val="0"/>
        <w:keepLines w:val="0"/>
        <w:pageBreakBefore w:val="0"/>
        <w:widowControl w:val="0"/>
        <w:kinsoku/>
        <w:wordWrap/>
        <w:overflowPunct/>
        <w:topLinePunct w:val="0"/>
        <w:autoSpaceDE/>
        <w:autoSpaceDN/>
        <w:bidi w:val="0"/>
        <w:adjustRightInd/>
        <w:snapToGrid/>
        <w:spacing w:after="0" w:line="240" w:lineRule="auto"/>
        <w:ind w:firstLine="422" w:firstLineChars="200"/>
        <w:jc w:val="center"/>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表4  2022年儋州市基础设施专项债券（四期）总投资估算情况及投资计划表</w:t>
      </w:r>
    </w:p>
    <w:p>
      <w:pPr>
        <w:widowControl/>
        <w:spacing w:after="0" w:line="240" w:lineRule="auto"/>
        <w:jc w:val="righ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单位：万元</w:t>
      </w:r>
    </w:p>
    <w:tbl>
      <w:tblPr>
        <w:tblStyle w:val="20"/>
        <w:tblW w:w="9067" w:type="dxa"/>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9"/>
        <w:gridCol w:w="2099"/>
        <w:gridCol w:w="1371"/>
        <w:gridCol w:w="1371"/>
        <w:gridCol w:w="1371"/>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blHeader/>
        </w:trPr>
        <w:tc>
          <w:tcPr>
            <w:tcW w:w="1299"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71"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2022年</w:t>
            </w:r>
          </w:p>
        </w:tc>
        <w:tc>
          <w:tcPr>
            <w:tcW w:w="1371"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2023年</w:t>
            </w:r>
          </w:p>
        </w:tc>
        <w:tc>
          <w:tcPr>
            <w:tcW w:w="1371"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2024年</w:t>
            </w:r>
          </w:p>
        </w:tc>
        <w:tc>
          <w:tcPr>
            <w:tcW w:w="1556" w:type="dxa"/>
            <w:tcBorders>
              <w:top w:val="single" w:color="000000" w:sz="4" w:space="0"/>
              <w:left w:val="single" w:color="000000" w:sz="4" w:space="0"/>
              <w:bottom w:val="single" w:color="000000" w:sz="4" w:space="0"/>
              <w:right w:val="single" w:color="000000" w:sz="4"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（一）儋州工业园王五园区道路建设工程（二期）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11,284.77</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11,284.77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2,842.15</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2,842.15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631.90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14,768.82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14,768.82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（二）儋州工业园王五片区道路建设工程（三期）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28,461.49</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30,000.00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8,349.79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66,811.28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8,538.51</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180.00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518.07</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9,236.58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1,640.60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1,509.00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443.95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3,593.55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37.06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1,241.58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1,241.58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1,241.58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1,241.58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2,483.15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37.06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38,677.66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32,930.58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10,553.39</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82,161.63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（三）省道S308美洋线那大至洋浦互通段公路改建工程（只含主线）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3,976.13</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23,194.10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5,964.20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33,134.42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280.95</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1,638.89</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421.43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383.14</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2,234.97</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574.71</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3,192.81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100.50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4,643.22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27,168.46</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7,060.83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38,872.51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（四）省道S315王五工业园区至白马井段市政化改建工程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2,788.75</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16,267.72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4,183.13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23,239.60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1,069.05</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6,236.15</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1,603.58</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8,908.78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308.62</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1,800.31</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462.94</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33.50</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4,167.43</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24,337.68</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6,283.15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34,788.25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（五）儋州工业园木棠片区供电迁移工程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1,878.00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236.00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106.00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2,221.00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2,221.00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（六）儋州工业园王五片区供电迁移工程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1,642.00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2,045.00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（七）儋州工业园王五片区一期标准厂房项目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1,147.00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19,957.73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10,000.00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31,104.73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5,353.05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1,753.34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其他工程项目支出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1,393.75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375.45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879.54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358.27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866.39</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1,224.66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17.19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13.15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2,149.10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25,686.23</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14,026.63</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41,861.97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06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（八）儋州工业园木棠片区生活配套区启动项目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建安工程费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1,589.27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11,037.56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5,769.10</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18,395.93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工程建设其他费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408.53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1,634.12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基本预备费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1,021.93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1,021.93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其他工程项目支出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1,540.80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21"/>
                <w:szCs w:val="21"/>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专项费用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260.49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508.12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772.11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建设期利息</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252.42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501.33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债券发行费用</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8.07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总投资</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3,542.10</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12,932.17</w:t>
            </w:r>
          </w:p>
        </w:tc>
        <w:tc>
          <w:tcPr>
            <w:tcW w:w="1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7,299.15</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23,773.42</w:t>
            </w:r>
          </w:p>
        </w:tc>
      </w:tr>
    </w:tbl>
    <w:p>
      <w:pPr>
        <w:rPr>
          <w:rFonts w:hint="eastAsia" w:ascii="宋体" w:hAnsi="宋体" w:eastAsia="宋体" w:cs="宋体"/>
          <w:sz w:val="28"/>
          <w:szCs w:val="28"/>
        </w:rPr>
      </w:pPr>
      <w:r>
        <w:rPr>
          <w:rFonts w:hint="eastAsia" w:ascii="宋体" w:hAnsi="宋体" w:eastAsia="宋体" w:cs="宋体"/>
          <w:sz w:val="28"/>
          <w:szCs w:val="28"/>
        </w:rPr>
        <w:br w:type="page"/>
      </w:r>
    </w:p>
    <w:p>
      <w:pPr>
        <w:pStyle w:val="3"/>
        <w:bidi w:val="0"/>
        <w:spacing w:line="360" w:lineRule="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债券发行和还本付息</w:t>
      </w:r>
      <w:bookmarkEnd w:id="14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highlight w:val="none"/>
          <w:lang w:val="en-US" w:eastAsia="zh-CN" w:bidi="ar-SA"/>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32" w:charSpace="0"/>
        </w:sectPr>
      </w:pPr>
      <w:r>
        <w:rPr>
          <w:rFonts w:hint="eastAsia" w:ascii="宋体" w:hAnsi="宋体" w:eastAsia="宋体" w:cs="宋体"/>
          <w:b w:val="0"/>
          <w:bCs w:val="0"/>
          <w:kern w:val="0"/>
          <w:sz w:val="28"/>
          <w:szCs w:val="28"/>
          <w:highlight w:val="none"/>
          <w:lang w:val="en-US" w:eastAsia="zh-CN" w:bidi="ar-SA"/>
        </w:rPr>
        <w:t>本项目债券的还本付息方式为每半年付息，到期一次性还本。本项目债券本息合计138,633.08万元，其中：儋州工业园王五园区道路建设工程（二期）本息合计13,332.65万元、儋州工业园王五片区道路建设工程（三期）本息合计49,477.77万元、省道S308美洋线那大至洋浦互通段公路改建工程（只含主线）本息合计4,005万元、省道S315王五工业园区至白马井段市政化改建工程本息合计1,335万元、儋州工业园木棠片区供电迁移工程本息合计1,335万元、儋州工业园王五片区供电迁移工程本息合计1,335万元、儋州工业园王五片区一期标准厂房项目本息合计43,302.06万元、儋州工业园木棠片区生活配套区启动项目本息合计24,510.60万元。自发行之日起十年债券存续期还本付息情况如表5：</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center"/>
        <w:textAlignment w:val="auto"/>
        <w:rPr>
          <w:rFonts w:hint="eastAsia" w:ascii="宋体" w:hAnsi="宋体" w:eastAsia="宋体" w:cs="宋体"/>
          <w:kern w:val="0"/>
          <w:sz w:val="28"/>
          <w:szCs w:val="28"/>
          <w:highlight w:val="none"/>
          <w:lang w:val="en-US" w:eastAsia="zh-CN"/>
        </w:rPr>
      </w:pPr>
      <w:bookmarkStart w:id="141" w:name="_Toc551"/>
      <w:bookmarkStart w:id="142" w:name="_Toc20098"/>
      <w:bookmarkStart w:id="143" w:name="_Toc28459"/>
      <w:bookmarkStart w:id="144" w:name="_Toc18407"/>
      <w:bookmarkStart w:id="145" w:name="_Toc8833"/>
      <w:bookmarkStart w:id="146" w:name="_Toc9636"/>
      <w:bookmarkStart w:id="147" w:name="_Toc30877"/>
      <w:bookmarkStart w:id="148" w:name="_Toc6439"/>
      <w:bookmarkStart w:id="149" w:name="_Toc12586"/>
      <w:bookmarkStart w:id="150" w:name="_Toc4288"/>
      <w:bookmarkStart w:id="151" w:name="_Toc19086"/>
      <w:bookmarkStart w:id="152" w:name="_Toc14036"/>
      <w:bookmarkStart w:id="153" w:name="_Toc21527"/>
      <w:bookmarkStart w:id="154" w:name="_Toc6819"/>
      <w:bookmarkStart w:id="155" w:name="_Toc30120"/>
      <w:bookmarkStart w:id="156" w:name="_Toc25158"/>
      <w:bookmarkStart w:id="157" w:name="_Toc5493"/>
      <w:bookmarkStart w:id="158" w:name="_Toc20552"/>
      <w:bookmarkStart w:id="159" w:name="_Toc31201"/>
      <w:bookmarkStart w:id="160" w:name="_Toc4625"/>
      <w:bookmarkStart w:id="161" w:name="_Toc23251"/>
      <w:bookmarkStart w:id="162" w:name="_Toc13959"/>
      <w:bookmarkStart w:id="163" w:name="_Toc558"/>
      <w:bookmarkStart w:id="164" w:name="_Toc4120"/>
      <w:bookmarkStart w:id="165" w:name="_Toc2177"/>
      <w:bookmarkStart w:id="166" w:name="_Toc75350767"/>
      <w:bookmarkStart w:id="167" w:name="_Toc31557"/>
      <w:r>
        <w:rPr>
          <w:rFonts w:hint="eastAsia" w:ascii="宋体" w:hAnsi="宋体" w:eastAsia="宋体" w:cs="宋体"/>
          <w:b/>
          <w:bCs/>
          <w:kern w:val="0"/>
          <w:sz w:val="28"/>
          <w:szCs w:val="28"/>
          <w:highlight w:val="none"/>
          <w:lang w:val="en-US" w:eastAsia="zh-CN"/>
        </w:rPr>
        <w:t>表5-1  2022年儋州市基础设施专项债券（四期）债券还本付息表</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kern w:val="0"/>
          <w:sz w:val="28"/>
          <w:szCs w:val="28"/>
          <w:highlight w:val="none"/>
          <w:lang w:val="en-US" w:eastAsia="zh-CN"/>
        </w:rPr>
        <w:t>单位：人民币万元</w:t>
      </w:r>
    </w:p>
    <w:tbl>
      <w:tblPr>
        <w:tblStyle w:val="20"/>
        <w:tblW w:w="15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1"/>
        <w:gridCol w:w="1143"/>
        <w:gridCol w:w="1143"/>
        <w:gridCol w:w="1143"/>
        <w:gridCol w:w="1143"/>
        <w:gridCol w:w="1143"/>
        <w:gridCol w:w="1143"/>
        <w:gridCol w:w="1143"/>
        <w:gridCol w:w="1143"/>
        <w:gridCol w:w="1143"/>
        <w:gridCol w:w="1143"/>
        <w:gridCol w:w="1143"/>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blHeader/>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年份/项目</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2022年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2023年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2024年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2025年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2026年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2027年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2028年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2029年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2030年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2031年</w:t>
            </w:r>
          </w:p>
        </w:tc>
        <w:tc>
          <w:tcPr>
            <w:tcW w:w="114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2032年</w:t>
            </w:r>
          </w:p>
        </w:tc>
        <w:tc>
          <w:tcPr>
            <w:tcW w:w="1148"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（一）儋州工业园王五园区道路建设工程（二期）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债券期初余额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本期发行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本期还款</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10,321.56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13,332.65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其中：利息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3,345.65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本金偿还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债券期末余额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9,987.00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（二）儋州工业园王五片区道路建设工程（三期）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债券期初余额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本期发行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本期还款</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38,303.58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49,477.77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其中：利息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1,241.58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12,415.77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本金偿还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债券期末余额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37,062.00 </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   </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（三）省道S308美洋线那大至洋浦互通段公路改建工程（只含主线）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债券期初余额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本期发行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本期还款</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3,100.50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其中：利息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 xml:space="preserve">      本金偿还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债券期末余额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（四）省道S315王五工业园区至白马井段市政化改建工程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债券期初余额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本期发行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本期还款</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1,033.50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其中：利息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 xml:space="preserve">      本金偿还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债券期末余额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（五）儋州工业园木棠片区供电迁移工程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债券期初余额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本期发行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本期还款</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1,033.50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其中：利息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本金偿还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债券期末余额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5412"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（六）儋州工业园王五片区供电迁移工程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债券期初余额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本期发行</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本期还款</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1,033.50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其中：利息</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本金偿还</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债券期末余额</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r>
    </w:tbl>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表5-2 2022年儋州市基础设施专项债券（四期）债券还本付息表</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kern w:val="0"/>
          <w:sz w:val="28"/>
          <w:szCs w:val="28"/>
          <w:highlight w:val="none"/>
          <w:lang w:val="en-US" w:eastAsia="zh-CN"/>
        </w:rPr>
        <w:t>单位：人民币万元</w:t>
      </w:r>
    </w:p>
    <w:tbl>
      <w:tblPr>
        <w:tblStyle w:val="20"/>
        <w:tblW w:w="15595" w:type="dxa"/>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7"/>
        <w:gridCol w:w="1011"/>
        <w:gridCol w:w="1011"/>
        <w:gridCol w:w="1011"/>
        <w:gridCol w:w="1011"/>
        <w:gridCol w:w="1011"/>
        <w:gridCol w:w="1011"/>
        <w:gridCol w:w="1011"/>
        <w:gridCol w:w="1011"/>
        <w:gridCol w:w="1011"/>
        <w:gridCol w:w="1011"/>
        <w:gridCol w:w="1011"/>
        <w:gridCol w:w="1011"/>
        <w:gridCol w:w="1011"/>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blHeader/>
        </w:trPr>
        <w:tc>
          <w:tcPr>
            <w:tcW w:w="14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年份/项目</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2022年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2023年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2024年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2025年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2026年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2027年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2028年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2029年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2030年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2031年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2032年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2033年</w:t>
            </w:r>
          </w:p>
        </w:tc>
        <w:tc>
          <w:tcPr>
            <w:tcW w:w="101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2034年</w:t>
            </w:r>
          </w:p>
        </w:tc>
        <w:tc>
          <w:tcPr>
            <w:tcW w:w="101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5595"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6"/>
                <w:szCs w:val="16"/>
                <w:u w:val="none"/>
              </w:rPr>
            </w:pPr>
            <w:r>
              <w:rPr>
                <w:rFonts w:hint="eastAsia" w:ascii="宋体" w:hAnsi="宋体" w:eastAsia="宋体" w:cs="宋体"/>
                <w:b/>
                <w:bCs/>
                <w:i w:val="0"/>
                <w:iCs w:val="0"/>
                <w:color w:val="000000"/>
                <w:kern w:val="0"/>
                <w:sz w:val="18"/>
                <w:szCs w:val="18"/>
                <w:u w:val="none"/>
                <w:lang w:val="en-US" w:eastAsia="zh-CN" w:bidi="ar"/>
              </w:rPr>
              <w:t>（七）儋州工业园王五片区一期标准厂房项目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债券期初余额</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19,289.00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30,336.00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13,147.00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本期发行</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17,189.00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13,147.00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本期还款</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358.27</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866.39</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3,186.61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17,917.34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13,367.21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43,302.06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其中：利息</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358.27</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866.39</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728.34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220.21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10,866.06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本金偿还</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17,189.00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13,147.00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债券期末余额</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19,289.00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32,436.00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30,336.00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13,147.00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5595"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6"/>
                <w:szCs w:val="16"/>
                <w:u w:val="none"/>
              </w:rPr>
            </w:pPr>
            <w:r>
              <w:rPr>
                <w:rFonts w:hint="eastAsia" w:ascii="宋体" w:hAnsi="宋体" w:eastAsia="宋体" w:cs="宋体"/>
                <w:b/>
                <w:bCs/>
                <w:i w:val="0"/>
                <w:iCs w:val="0"/>
                <w:color w:val="000000"/>
                <w:kern w:val="0"/>
                <w:sz w:val="18"/>
                <w:szCs w:val="18"/>
                <w:u w:val="none"/>
                <w:lang w:val="en-US" w:eastAsia="zh-CN" w:bidi="ar"/>
              </w:rPr>
              <w:t>（八）儋州工业园木棠片区生活配套区启动项目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债券期初余额</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11,570.00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14,860.00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6,790.00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本期发行</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8,070.00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6,790.00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本期还款</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252.42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501.33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8,432.64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6,903.73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24,510.60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其中：利息</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252.42</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501.33</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362.64</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113.73</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本金偿还</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8,070.00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6,790.00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债券期末余额</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11,570.00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14,860.00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6,790.00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p>
        </w:tc>
      </w:tr>
    </w:tbl>
    <w:p>
      <w:pPr>
        <w:spacing w:line="360" w:lineRule="auto"/>
        <w:rPr>
          <w:rFonts w:hint="eastAsia" w:ascii="宋体" w:hAnsi="宋体" w:eastAsia="宋体" w:cs="宋体"/>
          <w:kern w:val="0"/>
          <w:sz w:val="28"/>
          <w:szCs w:val="28"/>
          <w:lang w:val="en-GB"/>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outlineLvl w:val="2"/>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3.发债项目盈利能力、偿债能力和可持续性</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本项目累计资金筹措总额240,492.58万元，其中自筹资金 136,647.58万元</w:t>
      </w:r>
      <w:r>
        <w:rPr>
          <w:rFonts w:hint="eastAsia" w:ascii="宋体" w:hAnsi="宋体" w:eastAsia="宋体" w:cs="宋体"/>
          <w:kern w:val="0"/>
          <w:sz w:val="28"/>
          <w:szCs w:val="28"/>
          <w:highlight w:val="none"/>
          <w:lang w:eastAsia="zh-CN"/>
        </w:rPr>
        <w:t>，</w:t>
      </w:r>
      <w:r>
        <w:rPr>
          <w:rFonts w:hint="eastAsia" w:ascii="宋体" w:hAnsi="宋体" w:eastAsia="宋体" w:cs="宋体"/>
          <w:b w:val="0"/>
          <w:bCs w:val="0"/>
          <w:kern w:val="0"/>
          <w:sz w:val="28"/>
          <w:szCs w:val="28"/>
          <w:highlight w:val="none"/>
          <w:lang w:val="en-US" w:eastAsia="zh-CN"/>
        </w:rPr>
        <w:t>本次</w:t>
      </w:r>
      <w:r>
        <w:rPr>
          <w:rFonts w:hint="eastAsia" w:ascii="宋体" w:hAnsi="宋体" w:eastAsia="宋体" w:cs="宋体"/>
          <w:b w:val="0"/>
          <w:bCs w:val="0"/>
          <w:kern w:val="0"/>
          <w:sz w:val="28"/>
          <w:szCs w:val="28"/>
          <w:highlight w:val="none"/>
        </w:rPr>
        <w:t>申请专项债券</w:t>
      </w:r>
      <w:r>
        <w:rPr>
          <w:rFonts w:hint="eastAsia" w:ascii="宋体" w:hAnsi="宋体" w:eastAsia="宋体" w:cs="宋体"/>
          <w:b w:val="0"/>
          <w:bCs w:val="0"/>
          <w:kern w:val="0"/>
          <w:sz w:val="28"/>
          <w:szCs w:val="28"/>
          <w:highlight w:val="none"/>
          <w:lang w:val="en-US" w:eastAsia="zh-CN"/>
        </w:rPr>
        <w:t>41,200</w:t>
      </w:r>
      <w:r>
        <w:rPr>
          <w:rFonts w:hint="eastAsia" w:ascii="宋体" w:hAnsi="宋体" w:eastAsia="宋体" w:cs="宋体"/>
          <w:b w:val="0"/>
          <w:bCs w:val="0"/>
          <w:kern w:val="0"/>
          <w:sz w:val="28"/>
          <w:szCs w:val="28"/>
          <w:highlight w:val="none"/>
        </w:rPr>
        <w:t>万元</w:t>
      </w:r>
      <w:r>
        <w:rPr>
          <w:rFonts w:hint="eastAsia" w:ascii="宋体" w:hAnsi="宋体" w:eastAsia="宋体" w:cs="宋体"/>
          <w:kern w:val="0"/>
          <w:sz w:val="28"/>
          <w:szCs w:val="28"/>
          <w:highlight w:val="none"/>
        </w:rPr>
        <w:t>，</w:t>
      </w:r>
      <w:r>
        <w:rPr>
          <w:rFonts w:hint="eastAsia" w:ascii="宋体" w:hAnsi="宋体" w:eastAsia="宋体" w:cs="宋体"/>
          <w:b w:val="0"/>
          <w:bCs w:val="0"/>
          <w:kern w:val="0"/>
          <w:sz w:val="28"/>
          <w:szCs w:val="28"/>
          <w:highlight w:val="none"/>
        </w:rPr>
        <w:t>前述项目</w:t>
      </w:r>
      <w:r>
        <w:rPr>
          <w:rFonts w:hint="eastAsia" w:ascii="宋体" w:hAnsi="宋体" w:eastAsia="宋体" w:cs="宋体"/>
          <w:kern w:val="0"/>
          <w:sz w:val="28"/>
          <w:szCs w:val="28"/>
          <w:highlight w:val="none"/>
        </w:rPr>
        <w:t>的</w:t>
      </w:r>
      <w:r>
        <w:rPr>
          <w:rFonts w:hint="eastAsia" w:ascii="宋体" w:hAnsi="宋体" w:eastAsia="宋体" w:cs="宋体"/>
          <w:kern w:val="0"/>
          <w:sz w:val="28"/>
          <w:szCs w:val="28"/>
          <w:highlight w:val="none"/>
          <w:lang w:eastAsia="zh-CN"/>
        </w:rPr>
        <w:t>自筹资金</w:t>
      </w:r>
      <w:r>
        <w:rPr>
          <w:rFonts w:hint="eastAsia" w:ascii="宋体" w:hAnsi="宋体" w:eastAsia="宋体" w:cs="宋体"/>
          <w:kern w:val="0"/>
          <w:sz w:val="28"/>
          <w:szCs w:val="28"/>
          <w:highlight w:val="none"/>
        </w:rPr>
        <w:t>，由政府通过财政资金统筹安排。各年度</w:t>
      </w:r>
      <w:r>
        <w:rPr>
          <w:rFonts w:hint="eastAsia" w:ascii="宋体" w:hAnsi="宋体" w:eastAsia="宋体" w:cs="宋体"/>
          <w:kern w:val="0"/>
          <w:sz w:val="28"/>
          <w:szCs w:val="28"/>
          <w:highlight w:val="none"/>
          <w:lang w:val="en-US" w:eastAsia="zh-CN"/>
        </w:rPr>
        <w:t>资金筹措</w:t>
      </w:r>
      <w:r>
        <w:rPr>
          <w:rFonts w:hint="eastAsia" w:ascii="宋体" w:hAnsi="宋体" w:eastAsia="宋体" w:cs="宋体"/>
          <w:kern w:val="0"/>
          <w:sz w:val="28"/>
          <w:szCs w:val="28"/>
          <w:highlight w:val="none"/>
        </w:rPr>
        <w:t>计划具体如下：</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儋州工业园王五园区道路建设工程（二期）</w:t>
      </w:r>
      <w:r>
        <w:rPr>
          <w:rFonts w:hint="eastAsia" w:ascii="宋体" w:hAnsi="宋体" w:eastAsia="宋体" w:cs="宋体"/>
          <w:kern w:val="0"/>
          <w:sz w:val="28"/>
          <w:szCs w:val="28"/>
          <w:highlight w:val="none"/>
        </w:rPr>
        <w:t>累计资金筹措总额</w:t>
      </w:r>
      <w:r>
        <w:rPr>
          <w:rFonts w:hint="eastAsia" w:ascii="宋体" w:hAnsi="宋体" w:eastAsia="宋体" w:cs="宋体"/>
          <w:kern w:val="0"/>
          <w:sz w:val="28"/>
          <w:szCs w:val="28"/>
          <w:highlight w:val="none"/>
          <w:lang w:val="en-US" w:eastAsia="zh-CN"/>
        </w:rPr>
        <w:t>14,768.81万元，其中</w:t>
      </w:r>
      <w:r>
        <w:rPr>
          <w:rFonts w:hint="eastAsia" w:ascii="宋体" w:hAnsi="宋体" w:eastAsia="宋体" w:cs="宋体"/>
          <w:b w:val="0"/>
          <w:bCs w:val="0"/>
          <w:kern w:val="0"/>
          <w:sz w:val="28"/>
          <w:szCs w:val="28"/>
          <w:highlight w:val="none"/>
          <w:lang w:val="en-US" w:eastAsia="zh-CN" w:bidi="ar-SA"/>
        </w:rPr>
        <w:t>自筹资金4,781.81万元，本次申请发行专项债券为4,600万元，2022年后续计划发行专项债券5,387万元；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儋州工业园王五片区道路建设工程（三期）</w:t>
      </w:r>
      <w:r>
        <w:rPr>
          <w:rFonts w:hint="eastAsia" w:ascii="宋体" w:hAnsi="宋体" w:eastAsia="宋体" w:cs="宋体"/>
          <w:kern w:val="0"/>
          <w:sz w:val="28"/>
          <w:szCs w:val="28"/>
          <w:highlight w:val="none"/>
        </w:rPr>
        <w:t>累计资金筹措总额</w:t>
      </w:r>
      <w:r>
        <w:rPr>
          <w:rFonts w:hint="eastAsia" w:ascii="宋体" w:hAnsi="宋体" w:eastAsia="宋体" w:cs="宋体"/>
          <w:kern w:val="0"/>
          <w:sz w:val="28"/>
          <w:szCs w:val="28"/>
          <w:highlight w:val="none"/>
          <w:lang w:val="en-US" w:eastAsia="zh-CN"/>
        </w:rPr>
        <w:t>82,161.63万元，其中</w:t>
      </w:r>
      <w:r>
        <w:rPr>
          <w:rFonts w:hint="eastAsia" w:ascii="宋体" w:hAnsi="宋体" w:eastAsia="宋体" w:cs="宋体"/>
          <w:b w:val="0"/>
          <w:bCs w:val="0"/>
          <w:kern w:val="0"/>
          <w:sz w:val="28"/>
          <w:szCs w:val="28"/>
          <w:highlight w:val="none"/>
          <w:lang w:val="en-US" w:eastAsia="zh-CN" w:bidi="ar-SA"/>
        </w:rPr>
        <w:t>自筹资金45,099.63万元，本次申请发行专项债券25,000万元，2022年后续计划发行专项债券12,062万元；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省道S308美洋线那大至洋浦互通段公路改建工程（只含主线）</w:t>
      </w:r>
      <w:r>
        <w:rPr>
          <w:rFonts w:hint="eastAsia" w:ascii="宋体" w:hAnsi="宋体" w:eastAsia="宋体" w:cs="宋体"/>
          <w:kern w:val="0"/>
          <w:sz w:val="28"/>
          <w:szCs w:val="28"/>
          <w:highlight w:val="none"/>
        </w:rPr>
        <w:t>累计资金筹措总额38,872.51</w:t>
      </w:r>
      <w:r>
        <w:rPr>
          <w:rFonts w:hint="eastAsia" w:ascii="宋体" w:hAnsi="宋体" w:eastAsia="宋体" w:cs="宋体"/>
          <w:kern w:val="0"/>
          <w:sz w:val="28"/>
          <w:szCs w:val="28"/>
          <w:highlight w:val="none"/>
          <w:lang w:val="en-US" w:eastAsia="zh-CN"/>
        </w:rPr>
        <w:t>万元</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其中</w:t>
      </w:r>
      <w:r>
        <w:rPr>
          <w:rFonts w:hint="eastAsia" w:ascii="宋体" w:hAnsi="宋体" w:eastAsia="宋体" w:cs="宋体"/>
          <w:b w:val="0"/>
          <w:bCs w:val="0"/>
          <w:kern w:val="0"/>
          <w:sz w:val="28"/>
          <w:szCs w:val="28"/>
          <w:highlight w:val="none"/>
          <w:lang w:val="en-US" w:eastAsia="zh-CN" w:bidi="ar-SA"/>
        </w:rPr>
        <w:t>自筹资金35,872.51万元，本次申请发行专项债券3,000万元；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省道S315王五工业园区至白马井段市政化改建工程</w:t>
      </w:r>
      <w:r>
        <w:rPr>
          <w:rFonts w:hint="eastAsia" w:ascii="宋体" w:hAnsi="宋体" w:eastAsia="宋体" w:cs="宋体"/>
          <w:kern w:val="0"/>
          <w:sz w:val="28"/>
          <w:szCs w:val="28"/>
          <w:highlight w:val="none"/>
        </w:rPr>
        <w:t>累计资金筹措总额34,788.25</w:t>
      </w:r>
      <w:r>
        <w:rPr>
          <w:rFonts w:hint="eastAsia" w:ascii="宋体" w:hAnsi="宋体" w:eastAsia="宋体" w:cs="宋体"/>
          <w:kern w:val="0"/>
          <w:sz w:val="28"/>
          <w:szCs w:val="28"/>
          <w:highlight w:val="none"/>
          <w:lang w:val="en-US" w:eastAsia="zh-CN"/>
        </w:rPr>
        <w:t>万元</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其中</w:t>
      </w:r>
      <w:r>
        <w:rPr>
          <w:rFonts w:hint="eastAsia" w:ascii="宋体" w:hAnsi="宋体" w:eastAsia="宋体" w:cs="宋体"/>
          <w:b w:val="0"/>
          <w:bCs w:val="0"/>
          <w:kern w:val="0"/>
          <w:sz w:val="28"/>
          <w:szCs w:val="28"/>
          <w:highlight w:val="none"/>
          <w:lang w:val="en-US" w:eastAsia="zh-CN" w:bidi="ar-SA"/>
        </w:rPr>
        <w:t>自筹资金33,788.25万元，本次申请发行专项债券1,000万元；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儋州工业园木棠片区供电迁移工程</w:t>
      </w:r>
      <w:r>
        <w:rPr>
          <w:rFonts w:hint="eastAsia" w:ascii="宋体" w:hAnsi="宋体" w:eastAsia="宋体" w:cs="宋体"/>
          <w:kern w:val="0"/>
          <w:sz w:val="28"/>
          <w:szCs w:val="28"/>
          <w:highlight w:val="none"/>
        </w:rPr>
        <w:t>累计资金筹措总额</w:t>
      </w:r>
      <w:r>
        <w:rPr>
          <w:rFonts w:hint="eastAsia" w:ascii="宋体" w:hAnsi="宋体" w:eastAsia="宋体" w:cs="宋体"/>
          <w:kern w:val="0"/>
          <w:sz w:val="28"/>
          <w:szCs w:val="28"/>
          <w:highlight w:val="none"/>
          <w:lang w:val="en-US" w:eastAsia="zh-CN"/>
        </w:rPr>
        <w:t>2,221万元，其中</w:t>
      </w:r>
      <w:r>
        <w:rPr>
          <w:rFonts w:hint="eastAsia" w:ascii="宋体" w:hAnsi="宋体" w:eastAsia="宋体" w:cs="宋体"/>
          <w:b w:val="0"/>
          <w:bCs w:val="0"/>
          <w:kern w:val="0"/>
          <w:sz w:val="28"/>
          <w:szCs w:val="28"/>
          <w:highlight w:val="none"/>
          <w:lang w:val="en-US" w:eastAsia="zh-CN" w:bidi="ar-SA"/>
        </w:rPr>
        <w:t>自筹资金1,221万元，本次申请发行专项债券1,000万元；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儋州工业园王五片区供电迁移工程</w:t>
      </w:r>
      <w:r>
        <w:rPr>
          <w:rFonts w:hint="eastAsia" w:ascii="宋体" w:hAnsi="宋体" w:eastAsia="宋体" w:cs="宋体"/>
          <w:kern w:val="0"/>
          <w:sz w:val="28"/>
          <w:szCs w:val="28"/>
          <w:highlight w:val="none"/>
        </w:rPr>
        <w:t>累计资金筹措总额</w:t>
      </w:r>
      <w:r>
        <w:rPr>
          <w:rFonts w:hint="eastAsia" w:ascii="宋体" w:hAnsi="宋体" w:eastAsia="宋体" w:cs="宋体"/>
          <w:kern w:val="0"/>
          <w:sz w:val="28"/>
          <w:szCs w:val="28"/>
          <w:highlight w:val="none"/>
          <w:lang w:val="en-US" w:eastAsia="zh-CN"/>
        </w:rPr>
        <w:t>2,045万元，其中</w:t>
      </w:r>
      <w:r>
        <w:rPr>
          <w:rFonts w:hint="eastAsia" w:ascii="宋体" w:hAnsi="宋体" w:eastAsia="宋体" w:cs="宋体"/>
          <w:b w:val="0"/>
          <w:bCs w:val="0"/>
          <w:kern w:val="0"/>
          <w:sz w:val="28"/>
          <w:szCs w:val="28"/>
          <w:highlight w:val="none"/>
          <w:lang w:val="en-US" w:eastAsia="zh-CN" w:bidi="ar-SA"/>
        </w:rPr>
        <w:t>自筹资金自筹资金1,045万元，本次申请发行专项债券1,000万元；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儋州工业园王五片区一期标准厂房项目</w:t>
      </w:r>
      <w:r>
        <w:rPr>
          <w:rFonts w:hint="eastAsia" w:ascii="宋体" w:hAnsi="宋体" w:eastAsia="宋体" w:cs="宋体"/>
          <w:kern w:val="0"/>
          <w:sz w:val="28"/>
          <w:szCs w:val="28"/>
          <w:highlight w:val="none"/>
        </w:rPr>
        <w:t>累计资金筹措总额</w:t>
      </w:r>
      <w:r>
        <w:rPr>
          <w:rFonts w:hint="eastAsia" w:ascii="宋体" w:hAnsi="宋体" w:eastAsia="宋体" w:cs="宋体"/>
          <w:kern w:val="0"/>
          <w:sz w:val="28"/>
          <w:szCs w:val="28"/>
          <w:highlight w:val="none"/>
          <w:lang w:val="en-US" w:eastAsia="zh-CN"/>
        </w:rPr>
        <w:t>41,861.97万元，其中</w:t>
      </w:r>
      <w:r>
        <w:rPr>
          <w:rFonts w:hint="eastAsia" w:ascii="宋体" w:hAnsi="宋体" w:eastAsia="宋体" w:cs="宋体"/>
          <w:b w:val="0"/>
          <w:bCs w:val="0"/>
          <w:kern w:val="0"/>
          <w:sz w:val="28"/>
          <w:szCs w:val="28"/>
          <w:highlight w:val="none"/>
          <w:lang w:val="en-US" w:eastAsia="zh-CN" w:bidi="ar-SA"/>
        </w:rPr>
        <w:t>自筹资金9,425.97万元，本次申请发行专项债券为2,100万元，2023年计划发行专项债券17,189万元，2024年计划发行专项债券13,147万元；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儋州工业园木棠片区生活配套区启动项目</w:t>
      </w:r>
      <w:r>
        <w:rPr>
          <w:rFonts w:hint="eastAsia" w:ascii="宋体" w:hAnsi="宋体" w:eastAsia="宋体" w:cs="宋体"/>
          <w:kern w:val="0"/>
          <w:sz w:val="28"/>
          <w:szCs w:val="28"/>
          <w:highlight w:val="none"/>
        </w:rPr>
        <w:t>累计资金筹措总额</w:t>
      </w:r>
      <w:r>
        <w:rPr>
          <w:rFonts w:hint="eastAsia" w:ascii="宋体" w:hAnsi="宋体" w:eastAsia="宋体" w:cs="宋体"/>
          <w:kern w:val="0"/>
          <w:sz w:val="28"/>
          <w:szCs w:val="28"/>
          <w:highlight w:val="none"/>
          <w:lang w:val="en-US" w:eastAsia="zh-CN"/>
        </w:rPr>
        <w:t>23,773.42万元，其中</w:t>
      </w:r>
      <w:r>
        <w:rPr>
          <w:rFonts w:hint="eastAsia" w:ascii="宋体" w:hAnsi="宋体" w:eastAsia="宋体" w:cs="宋体"/>
          <w:b w:val="0"/>
          <w:bCs w:val="0"/>
          <w:kern w:val="0"/>
          <w:sz w:val="28"/>
          <w:szCs w:val="28"/>
          <w:highlight w:val="none"/>
          <w:lang w:val="en-US" w:eastAsia="zh-CN" w:bidi="ar-SA"/>
        </w:rPr>
        <w:t>自筹资金5,413.42万元，本次申请发行专项债券为3,500万元，2023年计划发行专项债券8,070万元,2024年计划发行专项债券6,790万元。</w:t>
      </w:r>
    </w:p>
    <w:p>
      <w:pPr>
        <w:keepNext w:val="0"/>
        <w:keepLines w:val="0"/>
        <w:pageBreakBefore w:val="0"/>
        <w:widowControl/>
        <w:kinsoku/>
        <w:wordWrap/>
        <w:overflowPunct/>
        <w:topLinePunct w:val="0"/>
        <w:autoSpaceDE/>
        <w:autoSpaceDN/>
        <w:bidi w:val="0"/>
        <w:adjustRightInd/>
        <w:snapToGrid/>
        <w:spacing w:after="0" w:line="360" w:lineRule="auto"/>
        <w:ind w:firstLine="560"/>
        <w:jc w:val="left"/>
        <w:textAlignment w:val="auto"/>
        <w:rPr>
          <w:rFonts w:hint="eastAsia" w:ascii="宋体" w:hAnsi="宋体" w:eastAsia="宋体" w:cs="宋体"/>
          <w:kern w:val="0"/>
          <w:sz w:val="28"/>
          <w:szCs w:val="28"/>
          <w:highlight w:val="none"/>
        </w:rPr>
      </w:pPr>
      <w:r>
        <w:rPr>
          <w:rFonts w:hint="eastAsia" w:ascii="宋体" w:hAnsi="宋体" w:eastAsia="宋体" w:cs="宋体"/>
          <w:b w:val="0"/>
          <w:bCs w:val="0"/>
          <w:kern w:val="0"/>
          <w:sz w:val="28"/>
          <w:szCs w:val="28"/>
          <w:highlight w:val="none"/>
          <w:lang w:val="en-US" w:eastAsia="zh-CN" w:bidi="ar-SA"/>
        </w:rPr>
        <w:t>前述各项目的自筹资金，由政府通过财政资金统筹安排。各年度投资计划及资金筹措方案详见表6,项目现金流平衡表详见表7:</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center"/>
        <w:textAlignment w:val="auto"/>
        <w:rPr>
          <w:rFonts w:hint="eastAsia"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lang w:val="en-US" w:eastAsia="zh-CN"/>
        </w:rPr>
        <w:t>表6  投资计划及资金筹措表</w:t>
      </w:r>
    </w:p>
    <w:p>
      <w:pPr>
        <w:keepNext w:val="0"/>
        <w:keepLines w:val="0"/>
        <w:pageBreakBefore w:val="0"/>
        <w:widowControl/>
        <w:kinsoku/>
        <w:wordWrap/>
        <w:overflowPunct/>
        <w:topLinePunct w:val="0"/>
        <w:autoSpaceDE/>
        <w:autoSpaceDN/>
        <w:bidi w:val="0"/>
        <w:adjustRightInd/>
        <w:snapToGrid/>
        <w:spacing w:after="0" w:line="360" w:lineRule="auto"/>
        <w:ind w:right="-7"/>
        <w:jc w:val="right"/>
        <w:textAlignment w:val="auto"/>
        <w:rPr>
          <w:rFonts w:hint="eastAsia" w:ascii="宋体" w:hAnsi="宋体" w:eastAsia="宋体" w:cs="宋体"/>
          <w:b/>
          <w:color w:val="000000"/>
          <w:kern w:val="0"/>
          <w:sz w:val="28"/>
          <w:szCs w:val="28"/>
        </w:rPr>
      </w:pPr>
      <w:r>
        <w:rPr>
          <w:rFonts w:hint="eastAsia" w:ascii="宋体" w:hAnsi="宋体" w:eastAsia="宋体" w:cs="宋体"/>
          <w:color w:val="000000"/>
          <w:kern w:val="0"/>
          <w:sz w:val="28"/>
          <w:szCs w:val="28"/>
        </w:rPr>
        <w:t>单位：人民币万元</w:t>
      </w:r>
    </w:p>
    <w:tbl>
      <w:tblPr>
        <w:tblStyle w:val="20"/>
        <w:tblW w:w="83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0"/>
        <w:gridCol w:w="1662"/>
        <w:gridCol w:w="1389"/>
        <w:gridCol w:w="1389"/>
        <w:gridCol w:w="1389"/>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blHeader/>
        </w:trPr>
        <w:tc>
          <w:tcPr>
            <w:tcW w:w="114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662"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8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2022年</w:t>
            </w:r>
          </w:p>
        </w:tc>
        <w:tc>
          <w:tcPr>
            <w:tcW w:w="138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2023年</w:t>
            </w:r>
          </w:p>
        </w:tc>
        <w:tc>
          <w:tcPr>
            <w:tcW w:w="138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2024年</w:t>
            </w:r>
          </w:p>
        </w:tc>
        <w:tc>
          <w:tcPr>
            <w:tcW w:w="1389"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（一）儋州工业园王五园区道路建设工程（二期）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4,781.81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FF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FF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4,781.81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9,987.00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FF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FF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9,987.00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14,768.81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FF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FF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14,768.81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（二）儋州工业园王五片区道路建设工程（三期）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1,615.66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32,930.58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10,553.39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45,099.63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37,062.00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37,062.00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38,677.66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32,930.58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10,553.39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82,161.63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（三）省道S308美洋线那大至洋浦互通段公路改建工程（只含主线）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1,643.22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27,168.46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7,060.83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35,872.51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4,643.22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27,168.46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7,060.83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38,872.51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（四）省道S315王五工业园区至白马井段市政化改建工程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3,167.43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24,337.68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6,283.15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33,788.25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4,167.43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24,337.68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6,283.15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 34,788.25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（五）儋州工业园木棠片区供电迁移工程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1,221.00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1,221.00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1,000.00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2,221.00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2,221.00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（六）儋州工业园王五片区供电迁移工程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1,045.00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1,000.00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2,045.00 </w:t>
            </w: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after="0" w:line="240" w:lineRule="auto"/>
              <w:jc w:val="center"/>
              <w:rPr>
                <w:rFonts w:hint="default" w:ascii="Times New Roman" w:hAnsi="Times New Roman" w:eastAsia="宋体" w:cs="Times New Roman"/>
                <w:i w:val="0"/>
                <w:iCs w:val="0"/>
                <w:color w:val="000000"/>
                <w:kern w:val="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2,045.00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（七）儋州工业园王五片区一期标准厂房项目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49.10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8,497.23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879.63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9,425.97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2,100.00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17,189.00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13,147.00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32,436.00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2,149.10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25,686.23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14,026.63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41,861.97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35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（八）儋州工业园木棠片区生活配套区启动项目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自筹资金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42.10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4,862.17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509.15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5,413.42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债券发行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3,500.00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8,070.00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6,790.00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 xml:space="preserve"> 18,360.00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after="0" w:line="240" w:lineRule="auto"/>
              <w:jc w:val="center"/>
              <w:textAlignment w:val="center"/>
              <w:rPr>
                <w:rFonts w:hint="default" w:ascii="Times New Roman" w:hAnsi="Times New Roman" w:eastAsia="宋体" w:cs="Times New Roman"/>
                <w:i w:val="0"/>
                <w:iCs w:val="0"/>
                <w:color w:val="000000"/>
                <w:kern w:val="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合计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3,542.10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12,932.17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7,299.15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23,773.42 </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auto"/>
          <w:sz w:val="28"/>
          <w:szCs w:val="28"/>
          <w:highlight w:val="none"/>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表7-1  儋州工业园王五园区道路建设工程（二期）现金流平衡表</w:t>
      </w:r>
    </w:p>
    <w:p>
      <w:pPr>
        <w:keepNext w:val="0"/>
        <w:keepLines w:val="0"/>
        <w:pageBreakBefore w:val="0"/>
        <w:kinsoku/>
        <w:wordWrap/>
        <w:overflowPunct/>
        <w:topLinePunct w:val="0"/>
        <w:autoSpaceDE/>
        <w:autoSpaceDN/>
        <w:bidi w:val="0"/>
        <w:spacing w:line="360" w:lineRule="auto"/>
        <w:ind w:right="-7"/>
        <w:jc w:val="center"/>
        <w:rPr>
          <w:rFonts w:hint="eastAsia" w:ascii="宋体" w:hAnsi="宋体" w:eastAsia="宋体" w:cs="宋体"/>
          <w:sz w:val="28"/>
          <w:szCs w:val="28"/>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单位： 人民币万元</w:t>
      </w:r>
    </w:p>
    <w:tbl>
      <w:tblPr>
        <w:tblStyle w:val="20"/>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4,781.81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4,781.81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9,987.00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9,987.00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土地出让收入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1,749.30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14,768.81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1,749.30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32,261.81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14,758.82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14,758.82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10,321.56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13,332.65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14,768.82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334.56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10,321.56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28,101.47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-8,572.26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4,160.34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1,414.74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2,829.47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4,244.21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5,658.94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7,073.68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8,488.41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9,903.15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11,317.88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12,732.62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4,160.36</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r>
    </w:tbl>
    <w:p>
      <w:pPr>
        <w:pStyle w:val="2"/>
        <w:spacing w:line="360" w:lineRule="auto"/>
        <w:rPr>
          <w:rFonts w:hint="eastAsia" w:ascii="宋体" w:hAnsi="宋体" w:eastAsia="宋体" w:cs="宋体"/>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3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color w:val="auto"/>
          <w:sz w:val="28"/>
          <w:szCs w:val="28"/>
          <w:highlight w:val="none"/>
          <w:lang w:val="en-US" w:eastAsia="zh-CN"/>
        </w:rPr>
        <w:t>表7-2   儋州工业园王五片区道路建设工程（三期）现金流平衡</w:t>
      </w:r>
      <w:r>
        <w:rPr>
          <w:rFonts w:hint="eastAsia" w:ascii="宋体" w:hAnsi="宋体" w:eastAsia="宋体" w:cs="宋体"/>
          <w:b/>
          <w:bCs/>
          <w:sz w:val="28"/>
          <w:szCs w:val="28"/>
          <w:highlight w:val="none"/>
          <w:lang w:val="en-US" w:eastAsia="zh-CN"/>
        </w:rPr>
        <w:t>表</w:t>
      </w:r>
    </w:p>
    <w:p>
      <w:pPr>
        <w:keepNext w:val="0"/>
        <w:keepLines w:val="0"/>
        <w:pageBreakBefore w:val="0"/>
        <w:kinsoku/>
        <w:wordWrap/>
        <w:overflowPunct/>
        <w:topLinePunct w:val="0"/>
        <w:autoSpaceDE/>
        <w:autoSpaceDN/>
        <w:bidi w:val="0"/>
        <w:spacing w:line="360" w:lineRule="auto"/>
        <w:ind w:right="-7"/>
        <w:jc w:val="center"/>
        <w:rPr>
          <w:rFonts w:hint="eastAsia" w:ascii="宋体" w:hAnsi="宋体" w:eastAsia="宋体" w:cs="宋体"/>
          <w:sz w:val="28"/>
          <w:szCs w:val="28"/>
          <w:highlight w:val="none"/>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单位： 人民币万元</w:t>
      </w:r>
    </w:p>
    <w:tbl>
      <w:tblPr>
        <w:tblStyle w:val="20"/>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1,615.66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32,930.58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10,553.39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45,099.63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37,062.00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37,062.00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土地出让收入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6,370.27</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38,677.66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39,300.84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16,923.65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145,864.28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38,640.60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31,689.00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9,311.81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79,641.41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37.06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38,303.58</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49,477.77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38,677.66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32,930.58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10,553.39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1,241.58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38,303.58</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129,156.24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5,128.69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-31,933.31</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16,708.04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6,370.27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12,740.53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17,869.22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22,997.91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28,126.60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33,255.28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38,383.97</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43,512.66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48,641.35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16,708.04</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表7-3  省道S308美洋线那大至洋浦互通段公路改建工程（只含主线）现金流平衡表</w:t>
      </w:r>
    </w:p>
    <w:p>
      <w:pPr>
        <w:keepNext w:val="0"/>
        <w:keepLines w:val="0"/>
        <w:pageBreakBefore w:val="0"/>
        <w:kinsoku/>
        <w:wordWrap/>
        <w:overflowPunct/>
        <w:topLinePunct w:val="0"/>
        <w:autoSpaceDE/>
        <w:autoSpaceDN/>
        <w:bidi w:val="0"/>
        <w:spacing w:line="360" w:lineRule="auto"/>
        <w:ind w:right="-7"/>
        <w:jc w:val="center"/>
        <w:rPr>
          <w:rFonts w:hint="eastAsia" w:ascii="宋体" w:hAnsi="宋体" w:eastAsia="宋体" w:cs="宋体"/>
          <w:sz w:val="28"/>
          <w:szCs w:val="28"/>
          <w:highlight w:val="none"/>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单位： 人民币万元</w:t>
      </w:r>
    </w:p>
    <w:tbl>
      <w:tblPr>
        <w:tblStyle w:val="20"/>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1,643.22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27,168.46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7,060.83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35,872.51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土地出让收入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485.00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4,643.22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27,653.46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7,545.83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43,722.51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4,640.22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27,067.96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6,960.33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38,668.51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3,100.50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4,643.22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27,168.46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7,060.83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3,100.50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42,676.51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384.50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-2,615.50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970.00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1,354.50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1,739.00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2,123.50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2,508.00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2,892.50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3,277.00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3,661.50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1,046.00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表7-4  省道S315王五工业园区至白马井段市政化改建工程现金流平衡表</w:t>
      </w:r>
    </w:p>
    <w:p>
      <w:pPr>
        <w:keepNext w:val="0"/>
        <w:keepLines w:val="0"/>
        <w:pageBreakBefore w:val="0"/>
        <w:kinsoku/>
        <w:wordWrap/>
        <w:overflowPunct/>
        <w:topLinePunct w:val="0"/>
        <w:autoSpaceDE/>
        <w:autoSpaceDN/>
        <w:bidi w:val="0"/>
        <w:spacing w:line="360" w:lineRule="auto"/>
        <w:ind w:right="-7"/>
        <w:jc w:val="center"/>
        <w:rPr>
          <w:rFonts w:hint="eastAsia" w:ascii="宋体" w:hAnsi="宋体" w:eastAsia="宋体" w:cs="宋体"/>
          <w:sz w:val="28"/>
          <w:szCs w:val="28"/>
          <w:lang w:val="en-US" w:eastAsia="zh-CN"/>
        </w:rPr>
      </w:pP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单位： 人民币万元</w:t>
      </w:r>
    </w:p>
    <w:tbl>
      <w:tblPr>
        <w:tblStyle w:val="20"/>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3,167.43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24,337.68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6,283.15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33,788.25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土地出让收入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160.50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4,167.43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24,498.18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6,443.65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36,393.25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4,166.43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24,304.18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6,249.65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34,720.25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1,033.50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4,167.43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24,337.68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6,283.15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1,033.50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36,056.25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127.00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-873.00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160.50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321.00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448.00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575.00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702.00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829.00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956.00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1,083.00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1,210.00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337.00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表7-5  儋州工业园木棠片区供电迁移工程现金流平衡表</w:t>
      </w:r>
    </w:p>
    <w:p>
      <w:pPr>
        <w:keepNext w:val="0"/>
        <w:keepLines w:val="0"/>
        <w:pageBreakBefore w:val="0"/>
        <w:kinsoku/>
        <w:wordWrap/>
        <w:overflowPunct/>
        <w:topLinePunct w:val="0"/>
        <w:autoSpaceDE/>
        <w:autoSpaceDN/>
        <w:bidi w:val="0"/>
        <w:spacing w:line="240" w:lineRule="auto"/>
        <w:ind w:right="-7"/>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单位： 人民币万元</w:t>
      </w:r>
    </w:p>
    <w:tbl>
      <w:tblPr>
        <w:tblStyle w:val="20"/>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1,221.00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经营性收入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222.85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445.71</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4,234.23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2,221.00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222.85</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445.71</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6,455.23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2,220.00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经营性支出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133.71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267.43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2,540.54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1,033.50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2,221.00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167.21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300.93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1,300.93</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6,096.54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55.64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-855.22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55.64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200.43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345.21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489.99</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634.78</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779.56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924.34</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1,069.13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1,213.91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358.69</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bl>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表7-6  儋州工业园王五片区供电迁移工程现金流平衡表</w:t>
      </w:r>
    </w:p>
    <w:p>
      <w:pPr>
        <w:keepNext w:val="0"/>
        <w:keepLines w:val="0"/>
        <w:pageBreakBefore w:val="0"/>
        <w:kinsoku/>
        <w:wordWrap/>
        <w:overflowPunct/>
        <w:topLinePunct w:val="0"/>
        <w:autoSpaceDE/>
        <w:autoSpaceDN/>
        <w:bidi w:val="0"/>
        <w:spacing w:line="240" w:lineRule="auto"/>
        <w:ind w:right="-7"/>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单位： 人民币万元</w:t>
      </w:r>
    </w:p>
    <w:tbl>
      <w:tblPr>
        <w:tblStyle w:val="20"/>
        <w:tblW w:w="15731"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83"/>
        <w:gridCol w:w="1137"/>
        <w:gridCol w:w="1137"/>
        <w:gridCol w:w="1137"/>
        <w:gridCol w:w="1137"/>
        <w:gridCol w:w="1137"/>
        <w:gridCol w:w="1137"/>
        <w:gridCol w:w="1137"/>
        <w:gridCol w:w="1137"/>
        <w:gridCol w:w="1137"/>
        <w:gridCol w:w="1137"/>
        <w:gridCol w:w="1137"/>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13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141"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1,045.00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经营性收入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420.00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840.00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7,980.00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2,045.00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420.00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840.00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10,025.00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2,044.00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经营性支出</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lang w:val="en-US" w:eastAsia="zh-CN" w:bidi="ar"/>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294.00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588.00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5,586.00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33.50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000000"/>
                <w:kern w:val="0"/>
                <w:sz w:val="18"/>
                <w:szCs w:val="18"/>
                <w:u w:val="none"/>
                <w:lang w:val="en-US" w:eastAsia="zh-CN" w:bidi="ar"/>
              </w:rPr>
              <w:t>1,033.50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1,335.00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2,045.00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327.50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621.50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1,621.50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8,966.00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92.50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218.50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-781.50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92.50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311.00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529.50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748.00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966.50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1,185.00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1,403.50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1,622.00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1,840.50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000000"/>
                <w:kern w:val="0"/>
                <w:sz w:val="18"/>
                <w:szCs w:val="18"/>
                <w:u w:val="none"/>
                <w:lang w:val="en-US" w:eastAsia="zh-CN" w:bidi="ar"/>
              </w:rPr>
              <w:t>1,059.00</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8"/>
                <w:szCs w:val="18"/>
                <w:u w:val="none"/>
              </w:rPr>
            </w:pPr>
          </w:p>
        </w:tc>
      </w:tr>
    </w:tbl>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表7-7 儋州工业园王五片区一期标准厂房项目现金流平衡表</w:t>
      </w:r>
    </w:p>
    <w:p>
      <w:pPr>
        <w:keepNext w:val="0"/>
        <w:keepLines w:val="0"/>
        <w:pageBreakBefore w:val="0"/>
        <w:kinsoku/>
        <w:wordWrap/>
        <w:overflowPunct/>
        <w:topLinePunct w:val="0"/>
        <w:autoSpaceDE/>
        <w:autoSpaceDN/>
        <w:bidi w:val="0"/>
        <w:spacing w:line="240" w:lineRule="auto"/>
        <w:ind w:right="-7"/>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单位： 人民币万元</w:t>
      </w:r>
    </w:p>
    <w:tbl>
      <w:tblPr>
        <w:tblStyle w:val="20"/>
        <w:tblW w:w="15952"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5"/>
        <w:gridCol w:w="1007"/>
        <w:gridCol w:w="1007"/>
        <w:gridCol w:w="1007"/>
        <w:gridCol w:w="1007"/>
        <w:gridCol w:w="1007"/>
        <w:gridCol w:w="1007"/>
        <w:gridCol w:w="1007"/>
        <w:gridCol w:w="1007"/>
        <w:gridCol w:w="1007"/>
        <w:gridCol w:w="1007"/>
        <w:gridCol w:w="1007"/>
        <w:gridCol w:w="1010"/>
        <w:gridCol w:w="1010"/>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0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2033</w:t>
            </w:r>
          </w:p>
        </w:tc>
        <w:tc>
          <w:tcPr>
            <w:tcW w:w="10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2034</w:t>
            </w:r>
          </w:p>
        </w:tc>
        <w:tc>
          <w:tcPr>
            <w:tcW w:w="10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49.10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8,497.23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879.63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9,425.97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17,189.00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13,147.00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32,436.00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经营性收入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3,478.87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3,478.87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3,478.87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34,788.70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土地出让收入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2,026.27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20,262.73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2,149.10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25,686.23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14,026.63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5,505.14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5,505.14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5,505.14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96,913.39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2,147.00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25,310.78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13,147.09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40,604.87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17.19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13.15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358.27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866.39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3,186.61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17,917.34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13,367.21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43,302.06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2,149.10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25,686.23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14,026.63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1,086.61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3,186.61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17,917.34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13,367.21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83,939.37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2,318.54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-12,412.2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-7,862.07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12,974.02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4,418.54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8,837.07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13,255.61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17,674.15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22,092.68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26,511.22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30,929.76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33,248.29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20,836.09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12,974.02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表7-8 儋州工业园木棠片区生活配套区启动项目现金流平衡表</w:t>
      </w:r>
    </w:p>
    <w:p>
      <w:pPr>
        <w:keepNext w:val="0"/>
        <w:keepLines w:val="0"/>
        <w:pageBreakBefore w:val="0"/>
        <w:kinsoku/>
        <w:wordWrap/>
        <w:overflowPunct/>
        <w:topLinePunct w:val="0"/>
        <w:autoSpaceDE/>
        <w:autoSpaceDN/>
        <w:bidi w:val="0"/>
        <w:spacing w:line="240" w:lineRule="auto"/>
        <w:ind w:right="-7"/>
        <w:jc w:val="center"/>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单位： 人民币万元</w:t>
      </w:r>
    </w:p>
    <w:tbl>
      <w:tblPr>
        <w:tblStyle w:val="20"/>
        <w:tblW w:w="15952" w:type="dxa"/>
        <w:tblInd w:w="-6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45"/>
        <w:gridCol w:w="1007"/>
        <w:gridCol w:w="1007"/>
        <w:gridCol w:w="1007"/>
        <w:gridCol w:w="1007"/>
        <w:gridCol w:w="1007"/>
        <w:gridCol w:w="1007"/>
        <w:gridCol w:w="1007"/>
        <w:gridCol w:w="1007"/>
        <w:gridCol w:w="1007"/>
        <w:gridCol w:w="1007"/>
        <w:gridCol w:w="1007"/>
        <w:gridCol w:w="1010"/>
        <w:gridCol w:w="1010"/>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年度</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2022</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2023</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2024</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2025</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2026</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2027</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2028</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2029</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2030</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2031</w:t>
            </w:r>
          </w:p>
        </w:tc>
        <w:tc>
          <w:tcPr>
            <w:tcW w:w="1007"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2032</w:t>
            </w:r>
          </w:p>
        </w:tc>
        <w:tc>
          <w:tcPr>
            <w:tcW w:w="10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2033</w:t>
            </w:r>
          </w:p>
        </w:tc>
        <w:tc>
          <w:tcPr>
            <w:tcW w:w="10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2034</w:t>
            </w:r>
          </w:p>
        </w:tc>
        <w:tc>
          <w:tcPr>
            <w:tcW w:w="101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w:t>
            </w: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自筹资金收入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42.10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4,862.17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509.15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5,413.42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债券资金流入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3,500.00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8,070.00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6,790.00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18,360.00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经营性收入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2,617.91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2,617.91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26,179.08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土地出让收入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现金流入总额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3,542.10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12,932.17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7,299.15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3,106.46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3,106.46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3,106.46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54,838.00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w:t>
            </w: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建设期资金流出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3,538.60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12,671.68</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6,791.03</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23,001.31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发行费用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8.07</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6.79</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000000"/>
                <w:kern w:val="0"/>
                <w:sz w:val="16"/>
                <w:szCs w:val="16"/>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auto"/>
                <w:kern w:val="0"/>
                <w:sz w:val="18"/>
                <w:szCs w:val="18"/>
                <w:u w:val="none"/>
              </w:rPr>
            </w:pPr>
            <w:r>
              <w:rPr>
                <w:rFonts w:hint="eastAsia" w:ascii="宋体" w:hAnsi="宋体" w:eastAsia="宋体" w:cs="宋体"/>
                <w:i w:val="0"/>
                <w:iCs w:val="0"/>
                <w:color w:val="auto"/>
                <w:kern w:val="0"/>
                <w:sz w:val="18"/>
                <w:szCs w:val="18"/>
                <w:u w:val="none"/>
                <w:lang w:val="en-US" w:eastAsia="zh-CN" w:bidi="ar"/>
              </w:rPr>
              <w:t>债券还本付息</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252.42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501.33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4,115.06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8,432.64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6,903.73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i w:val="0"/>
                <w:iCs w:val="0"/>
                <w:color w:val="000000"/>
                <w:kern w:val="0"/>
                <w:sz w:val="16"/>
                <w:szCs w:val="16"/>
                <w:u w:val="none"/>
                <w:lang w:val="en-US" w:eastAsia="zh-CN" w:bidi="ar"/>
              </w:rPr>
              <w:t>24,510.60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现金流出总额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3,542.10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12,932.17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7,299.15</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615.06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4,115.06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8,432.64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6,903.73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47,530.27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现金净流量</w:t>
            </w: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当年项目现金净流入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-1,008.60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-5,326.18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-3,797.27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7,307.73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auto"/>
                <w:kern w:val="0"/>
                <w:sz w:val="18"/>
                <w:szCs w:val="18"/>
                <w:u w:val="none"/>
              </w:rPr>
            </w:pPr>
            <w:r>
              <w:rPr>
                <w:rFonts w:hint="eastAsia" w:ascii="宋体" w:hAnsi="宋体" w:eastAsia="宋体" w:cs="宋体"/>
                <w:b/>
                <w:bCs/>
                <w:i w:val="0"/>
                <w:iCs w:val="0"/>
                <w:color w:val="auto"/>
                <w:kern w:val="0"/>
                <w:sz w:val="18"/>
                <w:szCs w:val="18"/>
                <w:u w:val="none"/>
                <w:lang w:val="en-US" w:eastAsia="zh-CN" w:bidi="ar"/>
              </w:rPr>
              <w:t>期末项目累计现金结存额</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2,491.40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4,982.80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7,474.19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9,965.59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12,456.99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14,948.39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17,439.79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16,431.19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11,105.01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auto"/>
                <w:kern w:val="0"/>
                <w:sz w:val="16"/>
                <w:szCs w:val="16"/>
                <w:u w:val="none"/>
              </w:rPr>
            </w:pPr>
            <w:r>
              <w:rPr>
                <w:rFonts w:hint="eastAsia" w:ascii="宋体" w:hAnsi="宋体" w:eastAsia="宋体" w:cs="宋体"/>
                <w:b/>
                <w:bCs/>
                <w:i w:val="0"/>
                <w:iCs w:val="0"/>
                <w:color w:val="000000"/>
                <w:kern w:val="0"/>
                <w:sz w:val="16"/>
                <w:szCs w:val="16"/>
                <w:u w:val="none"/>
                <w:lang w:val="en-US" w:eastAsia="zh-CN" w:bidi="ar"/>
              </w:rPr>
              <w:t>7,307.73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center"/>
              <w:rPr>
                <w:rFonts w:hint="eastAsia" w:ascii="宋体" w:hAnsi="宋体" w:eastAsia="宋体" w:cs="宋体"/>
                <w:b/>
                <w:bCs/>
                <w:i w:val="0"/>
                <w:iCs w:val="0"/>
                <w:color w:val="auto"/>
                <w:kern w:val="0"/>
                <w:sz w:val="16"/>
                <w:szCs w:val="16"/>
                <w:u w:val="none"/>
              </w:rPr>
            </w:pPr>
          </w:p>
        </w:tc>
      </w:tr>
    </w:tbl>
    <w:p>
      <w:pPr>
        <w:widowControl/>
        <w:spacing w:before="120" w:after="120" w:line="360" w:lineRule="auto"/>
        <w:ind w:firstLine="560" w:firstLineChars="200"/>
        <w:jc w:val="both"/>
        <w:rPr>
          <w:rFonts w:hint="eastAsia" w:ascii="宋体" w:hAnsi="宋体" w:eastAsia="宋体" w:cs="宋体"/>
          <w:kern w:val="0"/>
          <w:sz w:val="28"/>
          <w:szCs w:val="28"/>
          <w:lang w:val="en-GB"/>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spacing w:after="0" w:line="360" w:lineRule="auto"/>
        <w:ind w:firstLine="560" w:firstLineChars="200"/>
        <w:jc w:val="left"/>
        <w:rPr>
          <w:rFonts w:hint="eastAsia" w:ascii="宋体" w:hAnsi="宋体" w:eastAsia="宋体" w:cs="宋体"/>
          <w:kern w:val="0"/>
          <w:sz w:val="28"/>
          <w:szCs w:val="28"/>
          <w:highlight w:val="none"/>
          <w:lang w:val="en-US" w:eastAsia="zh-CN"/>
        </w:rPr>
      </w:pPr>
      <w:bookmarkStart w:id="168" w:name="_Toc92298430"/>
      <w:bookmarkStart w:id="169" w:name="_Toc16931"/>
      <w:r>
        <w:rPr>
          <w:rFonts w:hint="eastAsia" w:ascii="宋体" w:hAnsi="宋体" w:eastAsia="宋体" w:cs="宋体"/>
          <w:b w:val="0"/>
          <w:bCs w:val="0"/>
          <w:kern w:val="0"/>
          <w:sz w:val="28"/>
          <w:szCs w:val="28"/>
          <w:highlight w:val="none"/>
        </w:rPr>
        <w:t>基于以上投资计划、资金筹措安排，我们未发现建设期内所需建设资金存在缺口的情况，且项目每年资金余额为正值，满足项目自身收益还本付息的前提下，仍有富余资金，显示项目具备一定的盈利能力、偿债能力和可持续性。</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outlineLvl w:val="2"/>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4.收入来源情况说明</w:t>
      </w:r>
    </w:p>
    <w:p>
      <w:pPr>
        <w:keepNext w:val="0"/>
        <w:keepLines w:val="0"/>
        <w:pageBreakBefore w:val="0"/>
        <w:widowControl/>
        <w:kinsoku/>
        <w:wordWrap/>
        <w:overflowPunct/>
        <w:topLinePunct w:val="0"/>
        <w:autoSpaceDE/>
        <w:autoSpaceDN/>
        <w:bidi w:val="0"/>
        <w:adjustRightInd/>
        <w:snapToGrid/>
        <w:spacing w:after="0" w:line="360" w:lineRule="auto"/>
        <w:ind w:firstLine="561"/>
        <w:jc w:val="left"/>
        <w:textAlignment w:val="auto"/>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kern w:val="0"/>
          <w:sz w:val="28"/>
          <w:szCs w:val="28"/>
          <w:highlight w:val="none"/>
          <w:lang w:val="en-US" w:eastAsia="zh-CN"/>
        </w:rPr>
        <w:t>本项目收入来源主要为厂房租金收入、商品房出售收入、商铺租售收入、停车费收入以及土地出让收入等，具体情况如下：</w:t>
      </w:r>
    </w:p>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（1）儋州工业园王五园区道路建设工程（二期）</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lang w:val="en-US" w:eastAsia="zh-CN"/>
        </w:rPr>
        <w:t>儋州工业园王五园区道路建设工程（二期）</w:t>
      </w:r>
      <w:r>
        <w:rPr>
          <w:rFonts w:hint="eastAsia" w:ascii="宋体" w:hAnsi="宋体" w:eastAsia="宋体" w:cs="宋体"/>
          <w:b w:val="0"/>
          <w:bCs w:val="0"/>
          <w:kern w:val="0"/>
          <w:sz w:val="28"/>
          <w:szCs w:val="28"/>
          <w:highlight w:val="none"/>
        </w:rPr>
        <w:t>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根据《财政部关于印发&lt;国有土地使用权出让收支管理办法&gt;的通知》（财综[2006]68号）等相关文件要求，</w:t>
      </w:r>
      <w:r>
        <w:rPr>
          <w:rFonts w:hint="eastAsia" w:ascii="宋体" w:hAnsi="宋体" w:eastAsia="宋体" w:cs="宋体"/>
          <w:b w:val="0"/>
          <w:bCs w:val="0"/>
          <w:kern w:val="0"/>
          <w:sz w:val="28"/>
          <w:szCs w:val="28"/>
          <w:highlight w:val="none"/>
          <w:lang w:val="en-US" w:eastAsia="zh-CN"/>
        </w:rPr>
        <w:t>儋州</w:t>
      </w:r>
      <w:r>
        <w:rPr>
          <w:rFonts w:hint="eastAsia" w:ascii="宋体" w:hAnsi="宋体" w:eastAsia="宋体" w:cs="宋体"/>
          <w:b w:val="0"/>
          <w:bCs w:val="0"/>
          <w:kern w:val="0"/>
          <w:sz w:val="28"/>
          <w:szCs w:val="28"/>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kern w:val="0"/>
          <w:sz w:val="28"/>
          <w:szCs w:val="28"/>
          <w:highlight w:val="none"/>
          <w:lang w:val="en-US" w:eastAsia="zh-CN"/>
        </w:rPr>
        <w:t>8</w:t>
      </w:r>
      <w:r>
        <w:rPr>
          <w:rFonts w:hint="eastAsia" w:ascii="宋体" w:hAnsi="宋体" w:eastAsia="宋体" w:cs="宋体"/>
          <w:b w:val="0"/>
          <w:bCs w:val="0"/>
          <w:kern w:val="0"/>
          <w:sz w:val="28"/>
          <w:szCs w:val="28"/>
          <w:highlight w:val="none"/>
        </w:rPr>
        <w:t>：</w:t>
      </w:r>
    </w:p>
    <w:p>
      <w:pP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br w:type="page"/>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jc w:val="center"/>
        <w:textAlignment w:val="auto"/>
        <w:outlineLvl w:val="9"/>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表</w:t>
      </w:r>
      <w:r>
        <w:rPr>
          <w:rFonts w:hint="eastAsia" w:ascii="宋体" w:hAnsi="宋体" w:eastAsia="宋体" w:cs="宋体"/>
          <w:b/>
          <w:bCs/>
          <w:kern w:val="0"/>
          <w:sz w:val="28"/>
          <w:szCs w:val="28"/>
          <w:highlight w:val="none"/>
          <w:lang w:val="en-US" w:eastAsia="zh-CN"/>
        </w:rPr>
        <w:t>8</w:t>
      </w:r>
      <w:r>
        <w:rPr>
          <w:rFonts w:hint="eastAsia" w:ascii="宋体" w:hAnsi="宋体" w:eastAsia="宋体" w:cs="宋体"/>
          <w:b/>
          <w:bCs/>
          <w:kern w:val="0"/>
          <w:sz w:val="28"/>
          <w:szCs w:val="28"/>
          <w:highlight w:val="none"/>
        </w:rPr>
        <w:t xml:space="preserve"> </w:t>
      </w:r>
      <w:r>
        <w:rPr>
          <w:rFonts w:hint="eastAsia" w:ascii="宋体" w:hAnsi="宋体" w:eastAsia="宋体" w:cs="宋体"/>
          <w:b/>
          <w:bCs/>
          <w:kern w:val="0"/>
          <w:sz w:val="28"/>
          <w:szCs w:val="28"/>
          <w:highlight w:val="none"/>
          <w:lang w:val="en-US" w:eastAsia="zh-CN" w:bidi="ar-SA"/>
        </w:rPr>
        <w:t>儋州工业园王五园区道路建设工程（二期）</w:t>
      </w:r>
      <w:r>
        <w:rPr>
          <w:rFonts w:hint="eastAsia" w:ascii="宋体" w:hAnsi="宋体" w:eastAsia="宋体" w:cs="宋体"/>
          <w:b/>
          <w:bCs/>
          <w:kern w:val="0"/>
          <w:sz w:val="28"/>
          <w:szCs w:val="28"/>
          <w:highlight w:val="none"/>
        </w:rPr>
        <w:t>土地出让收入预测表</w:t>
      </w:r>
    </w:p>
    <w:p>
      <w:pPr>
        <w:adjustRightInd/>
        <w:snapToGrid/>
        <w:spacing w:before="0" w:after="120" w:line="360" w:lineRule="auto"/>
        <w:ind w:firstLine="280" w:firstLineChars="100"/>
        <w:jc w:val="right"/>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2308" w:type="dxa"/>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2023年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34,986.00</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17,493.00</w:t>
            </w:r>
          </w:p>
        </w:tc>
      </w:tr>
    </w:tbl>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p>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用于本次发行专项债券的项目偿债的土地出让情况见下表</w:t>
      </w:r>
      <w:r>
        <w:rPr>
          <w:rFonts w:hint="eastAsia" w:ascii="宋体" w:hAnsi="宋体" w:eastAsia="宋体" w:cs="宋体"/>
          <w:b/>
          <w:bCs/>
          <w:color w:val="auto"/>
          <w:kern w:val="0"/>
          <w:sz w:val="28"/>
          <w:szCs w:val="28"/>
          <w:highlight w:val="none"/>
          <w:lang w:val="en-US" w:eastAsia="zh-CN"/>
        </w:rPr>
        <w:t>9</w:t>
      </w:r>
      <w:r>
        <w:rPr>
          <w:rFonts w:hint="eastAsia" w:ascii="宋体" w:hAnsi="宋体" w:eastAsia="宋体" w:cs="宋体"/>
          <w:b/>
          <w:bCs/>
          <w:color w:val="auto"/>
          <w:kern w:val="0"/>
          <w:sz w:val="28"/>
          <w:szCs w:val="28"/>
          <w:highlight w:val="none"/>
        </w:rPr>
        <w:t>：</w:t>
      </w:r>
    </w:p>
    <w:tbl>
      <w:tblPr>
        <w:tblStyle w:val="20"/>
        <w:tblW w:w="9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4"/>
        <w:gridCol w:w="1485"/>
        <w:gridCol w:w="1365"/>
        <w:gridCol w:w="1406"/>
        <w:gridCol w:w="1066"/>
        <w:gridCol w:w="112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204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地块位置</w:t>
            </w:r>
          </w:p>
        </w:tc>
        <w:tc>
          <w:tcPr>
            <w:tcW w:w="136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面积（亩)</w:t>
            </w:r>
          </w:p>
        </w:tc>
        <w:tc>
          <w:tcPr>
            <w:tcW w:w="140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预估地价（万元/亩）</w:t>
            </w:r>
          </w:p>
        </w:tc>
        <w:tc>
          <w:tcPr>
            <w:tcW w:w="106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土地性质</w:t>
            </w:r>
          </w:p>
        </w:tc>
        <w:tc>
          <w:tcPr>
            <w:tcW w:w="112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预计出让年限</w:t>
            </w:r>
          </w:p>
        </w:tc>
        <w:tc>
          <w:tcPr>
            <w:tcW w:w="148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SA"/>
              </w:rPr>
              <w:t>儋州工业园王五园区道路建设工程（二期）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SA"/>
              </w:rPr>
              <w:t>政府储备地（奥伦帕克）</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291.55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建设用地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SA"/>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34,986.00</w:t>
            </w:r>
          </w:p>
        </w:tc>
      </w:tr>
    </w:tbl>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按照预估的土地出让单价、出让计划及成本费用，在项目存续期间有稳定的政府性基金收入及专项收入，可稳定覆盖债券存续期间各年利息及到期偿还本金的支出需求。</w:t>
      </w:r>
    </w:p>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（2）儋州工业园王五片区道路建设工程（三期）</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lang w:val="en-US" w:eastAsia="zh-CN"/>
        </w:rPr>
        <w:t>儋州工业园王五片区道路建设工程（三期）</w:t>
      </w:r>
      <w:r>
        <w:rPr>
          <w:rFonts w:hint="eastAsia" w:ascii="宋体" w:hAnsi="宋体" w:eastAsia="宋体" w:cs="宋体"/>
          <w:b w:val="0"/>
          <w:bCs w:val="0"/>
          <w:kern w:val="0"/>
          <w:sz w:val="28"/>
          <w:szCs w:val="28"/>
          <w:highlight w:val="none"/>
        </w:rPr>
        <w:t>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根据《财政部关于印发&lt;国有土地使用权出让收支管理办法&gt;的通知》（财综[2006]68号）等相关文件要求，</w:t>
      </w:r>
      <w:r>
        <w:rPr>
          <w:rFonts w:hint="eastAsia" w:ascii="宋体" w:hAnsi="宋体" w:eastAsia="宋体" w:cs="宋体"/>
          <w:b w:val="0"/>
          <w:bCs w:val="0"/>
          <w:kern w:val="0"/>
          <w:sz w:val="28"/>
          <w:szCs w:val="28"/>
          <w:highlight w:val="none"/>
          <w:lang w:val="en-US" w:eastAsia="zh-CN"/>
        </w:rPr>
        <w:t>儋州</w:t>
      </w:r>
      <w:r>
        <w:rPr>
          <w:rFonts w:hint="eastAsia" w:ascii="宋体" w:hAnsi="宋体" w:eastAsia="宋体" w:cs="宋体"/>
          <w:b w:val="0"/>
          <w:bCs w:val="0"/>
          <w:kern w:val="0"/>
          <w:sz w:val="28"/>
          <w:szCs w:val="28"/>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kern w:val="0"/>
          <w:sz w:val="28"/>
          <w:szCs w:val="28"/>
          <w:highlight w:val="none"/>
          <w:lang w:val="en-US" w:eastAsia="zh-CN"/>
        </w:rPr>
        <w:t>10</w:t>
      </w:r>
      <w:r>
        <w:rPr>
          <w:rFonts w:hint="eastAsia" w:ascii="宋体" w:hAnsi="宋体" w:eastAsia="宋体" w:cs="宋体"/>
          <w:b w:val="0"/>
          <w:bCs w:val="0"/>
          <w:kern w:val="0"/>
          <w:sz w:val="28"/>
          <w:szCs w:val="28"/>
          <w:highlight w:val="none"/>
        </w:rPr>
        <w:t>：</w:t>
      </w:r>
    </w:p>
    <w:p>
      <w:pPr>
        <w:keepNext/>
        <w:keepLines w:val="0"/>
        <w:pageBreakBefore w:val="0"/>
        <w:widowControl w:val="0"/>
        <w:kinsoku/>
        <w:wordWrap/>
        <w:overflowPunct/>
        <w:topLinePunct w:val="0"/>
        <w:autoSpaceDE/>
        <w:autoSpaceDN/>
        <w:bidi w:val="0"/>
        <w:adjustRightInd/>
        <w:snapToGrid/>
        <w:spacing w:before="0" w:after="0" w:line="360" w:lineRule="auto"/>
        <w:ind w:left="0" w:leftChars="0" w:firstLine="562" w:firstLineChars="200"/>
        <w:jc w:val="center"/>
        <w:textAlignment w:val="auto"/>
        <w:outlineLvl w:val="9"/>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表</w:t>
      </w:r>
      <w:r>
        <w:rPr>
          <w:rFonts w:hint="eastAsia" w:ascii="宋体" w:hAnsi="宋体" w:eastAsia="宋体" w:cs="宋体"/>
          <w:b/>
          <w:bCs/>
          <w:kern w:val="0"/>
          <w:sz w:val="28"/>
          <w:szCs w:val="28"/>
          <w:highlight w:val="none"/>
          <w:lang w:val="en-US" w:eastAsia="zh-CN"/>
        </w:rPr>
        <w:t>10</w:t>
      </w:r>
      <w:r>
        <w:rPr>
          <w:rFonts w:hint="eastAsia" w:ascii="宋体" w:hAnsi="宋体" w:eastAsia="宋体" w:cs="宋体"/>
          <w:b/>
          <w:bCs/>
          <w:kern w:val="0"/>
          <w:sz w:val="28"/>
          <w:szCs w:val="28"/>
          <w:highlight w:val="none"/>
        </w:rPr>
        <w:t xml:space="preserve"> </w:t>
      </w:r>
      <w:r>
        <w:rPr>
          <w:rFonts w:hint="eastAsia" w:ascii="宋体" w:hAnsi="宋体" w:eastAsia="宋体" w:cs="宋体"/>
          <w:b/>
          <w:bCs/>
          <w:kern w:val="0"/>
          <w:sz w:val="28"/>
          <w:szCs w:val="28"/>
          <w:highlight w:val="none"/>
          <w:lang w:val="en-US" w:eastAsia="zh-CN"/>
        </w:rPr>
        <w:t>儋州工业园王五片区道路建设工程（三期）</w:t>
      </w:r>
      <w:r>
        <w:rPr>
          <w:rFonts w:hint="eastAsia" w:ascii="宋体" w:hAnsi="宋体" w:eastAsia="宋体" w:cs="宋体"/>
          <w:b/>
          <w:bCs/>
          <w:kern w:val="0"/>
          <w:sz w:val="28"/>
          <w:szCs w:val="28"/>
          <w:highlight w:val="none"/>
        </w:rPr>
        <w:t>土地出让收入预测表</w:t>
      </w:r>
    </w:p>
    <w:p>
      <w:pPr>
        <w:adjustRightInd/>
        <w:snapToGrid/>
        <w:spacing w:before="0" w:after="120" w:line="360" w:lineRule="auto"/>
        <w:ind w:firstLine="280" w:firstLineChars="100"/>
        <w:jc w:val="right"/>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2308" w:type="dxa"/>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2023年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127,405.31</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63,702.65</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63,702.65</w:t>
            </w:r>
          </w:p>
        </w:tc>
      </w:tr>
    </w:tbl>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p>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用于本次发行专项债券的项目偿债的土地出让情况见下表</w:t>
      </w:r>
      <w:r>
        <w:rPr>
          <w:rFonts w:hint="eastAsia" w:ascii="宋体" w:hAnsi="宋体" w:eastAsia="宋体" w:cs="宋体"/>
          <w:b/>
          <w:bCs/>
          <w:color w:val="auto"/>
          <w:kern w:val="0"/>
          <w:sz w:val="28"/>
          <w:szCs w:val="28"/>
          <w:highlight w:val="none"/>
          <w:lang w:val="en-US" w:eastAsia="zh-CN"/>
        </w:rPr>
        <w:t>11</w:t>
      </w:r>
      <w:r>
        <w:rPr>
          <w:rFonts w:hint="eastAsia" w:ascii="宋体" w:hAnsi="宋体" w:eastAsia="宋体" w:cs="宋体"/>
          <w:b/>
          <w:bCs/>
          <w:color w:val="auto"/>
          <w:kern w:val="0"/>
          <w:sz w:val="28"/>
          <w:szCs w:val="28"/>
          <w:highlight w:val="none"/>
        </w:rPr>
        <w:t>：</w:t>
      </w:r>
    </w:p>
    <w:tbl>
      <w:tblPr>
        <w:tblStyle w:val="20"/>
        <w:tblW w:w="9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15"/>
        <w:gridCol w:w="1464"/>
        <w:gridCol w:w="1347"/>
        <w:gridCol w:w="1386"/>
        <w:gridCol w:w="1051"/>
        <w:gridCol w:w="890"/>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blHeader/>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146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地块位置</w:t>
            </w:r>
          </w:p>
        </w:tc>
        <w:tc>
          <w:tcPr>
            <w:tcW w:w="134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面积（亩)</w:t>
            </w:r>
          </w:p>
        </w:tc>
        <w:tc>
          <w:tcPr>
            <w:tcW w:w="138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预估地价（万元/亩）</w:t>
            </w:r>
          </w:p>
        </w:tc>
        <w:tc>
          <w:tcPr>
            <w:tcW w:w="105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土地性质</w:t>
            </w:r>
          </w:p>
        </w:tc>
        <w:tc>
          <w:tcPr>
            <w:tcW w:w="89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预计出让年限</w:t>
            </w:r>
          </w:p>
        </w:tc>
        <w:tc>
          <w:tcPr>
            <w:tcW w:w="168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儋州工业园王五片区道路建设工程（三期）</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王五物流园区</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436.993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291.55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建设用地</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127,405.31</w:t>
            </w:r>
          </w:p>
        </w:tc>
      </w:tr>
    </w:tbl>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按照预估的土地出让单价、出让计划及成本费用，在项目存续期间有稳定的政府性基金收入及专项收入，可稳定覆盖债券存续期间各年利息及到期偿还本金的支出需求。</w:t>
      </w:r>
    </w:p>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GB" w:eastAsia="zh-CN" w:bidi="ar-SA"/>
        </w:rPr>
      </w:pPr>
      <w:r>
        <w:rPr>
          <w:rFonts w:hint="eastAsia" w:ascii="宋体" w:hAnsi="宋体" w:eastAsia="宋体" w:cs="宋体"/>
          <w:b/>
          <w:bCs/>
          <w:sz w:val="28"/>
          <w:szCs w:val="28"/>
          <w:highlight w:val="none"/>
          <w:lang w:val="en-US" w:eastAsia="zh-CN" w:bidi="ar-SA"/>
        </w:rPr>
        <w:t>（3）</w:t>
      </w:r>
      <w:r>
        <w:rPr>
          <w:rFonts w:hint="eastAsia" w:ascii="宋体" w:hAnsi="宋体" w:eastAsia="宋体" w:cs="宋体"/>
          <w:b/>
          <w:bCs/>
          <w:sz w:val="28"/>
          <w:szCs w:val="28"/>
          <w:highlight w:val="none"/>
          <w:lang w:val="en-GB" w:eastAsia="zh-CN" w:bidi="ar-SA"/>
        </w:rPr>
        <w:t>省道S308美洋线那大至洋浦互通段公路改建工程（只含主线）</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lang w:val="en-US" w:eastAsia="zh-CN"/>
        </w:rPr>
        <w:t>省道S308美洋线那大至洋浦互通段公路改建工程（只含主线）</w:t>
      </w:r>
      <w:r>
        <w:rPr>
          <w:rFonts w:hint="eastAsia" w:ascii="宋体" w:hAnsi="宋体" w:eastAsia="宋体" w:cs="宋体"/>
          <w:b w:val="0"/>
          <w:bCs w:val="0"/>
          <w:kern w:val="0"/>
          <w:sz w:val="28"/>
          <w:szCs w:val="28"/>
          <w:highlight w:val="none"/>
        </w:rPr>
        <w:t>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根据《财政部关于印发&lt;国有土地使用权出让收支管理办法&gt;的通知》（财综[2006]68号）等相关文件要求，</w:t>
      </w:r>
      <w:r>
        <w:rPr>
          <w:rFonts w:hint="eastAsia" w:ascii="宋体" w:hAnsi="宋体" w:eastAsia="宋体" w:cs="宋体"/>
          <w:b w:val="0"/>
          <w:bCs w:val="0"/>
          <w:kern w:val="0"/>
          <w:sz w:val="28"/>
          <w:szCs w:val="28"/>
          <w:highlight w:val="none"/>
          <w:lang w:val="en-US" w:eastAsia="zh-CN"/>
        </w:rPr>
        <w:t>儋州</w:t>
      </w:r>
      <w:r>
        <w:rPr>
          <w:rFonts w:hint="eastAsia" w:ascii="宋体" w:hAnsi="宋体" w:eastAsia="宋体" w:cs="宋体"/>
          <w:b w:val="0"/>
          <w:bCs w:val="0"/>
          <w:kern w:val="0"/>
          <w:sz w:val="28"/>
          <w:szCs w:val="28"/>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kern w:val="0"/>
          <w:sz w:val="28"/>
          <w:szCs w:val="28"/>
          <w:highlight w:val="none"/>
          <w:lang w:val="en-US" w:eastAsia="zh-CN"/>
        </w:rPr>
        <w:t>12</w:t>
      </w:r>
      <w:r>
        <w:rPr>
          <w:rFonts w:hint="eastAsia" w:ascii="宋体" w:hAnsi="宋体" w:eastAsia="宋体" w:cs="宋体"/>
          <w:b w:val="0"/>
          <w:bCs w:val="0"/>
          <w:kern w:val="0"/>
          <w:sz w:val="28"/>
          <w:szCs w:val="28"/>
          <w:highlight w:val="none"/>
        </w:rPr>
        <w:t>：</w:t>
      </w:r>
    </w:p>
    <w:p>
      <w:pPr>
        <w:keepNext/>
        <w:keepLines w:val="0"/>
        <w:pageBreakBefore w:val="0"/>
        <w:widowControl w:val="0"/>
        <w:kinsoku/>
        <w:wordWrap/>
        <w:overflowPunct/>
        <w:topLinePunct w:val="0"/>
        <w:autoSpaceDE/>
        <w:autoSpaceDN/>
        <w:bidi w:val="0"/>
        <w:adjustRightInd w:val="0"/>
        <w:snapToGrid w:val="0"/>
        <w:spacing w:before="0" w:after="0" w:line="360" w:lineRule="auto"/>
        <w:ind w:left="0" w:leftChars="0" w:firstLine="562" w:firstLineChars="200"/>
        <w:jc w:val="center"/>
        <w:textAlignment w:val="auto"/>
        <w:outlineLvl w:val="9"/>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表</w:t>
      </w:r>
      <w:r>
        <w:rPr>
          <w:rFonts w:hint="eastAsia" w:ascii="宋体" w:hAnsi="宋体" w:eastAsia="宋体" w:cs="宋体"/>
          <w:b/>
          <w:bCs/>
          <w:kern w:val="0"/>
          <w:sz w:val="28"/>
          <w:szCs w:val="28"/>
          <w:highlight w:val="none"/>
          <w:lang w:val="en-US" w:eastAsia="zh-CN"/>
        </w:rPr>
        <w:t xml:space="preserve">12  </w:t>
      </w:r>
      <w:r>
        <w:rPr>
          <w:rFonts w:hint="eastAsia" w:ascii="宋体" w:hAnsi="宋体" w:eastAsia="宋体" w:cs="宋体"/>
          <w:b/>
          <w:bCs/>
          <w:kern w:val="0"/>
          <w:sz w:val="28"/>
          <w:szCs w:val="28"/>
          <w:highlight w:val="none"/>
          <w:lang w:val="en-GB" w:eastAsia="zh-CN" w:bidi="ar-SA"/>
        </w:rPr>
        <w:t>省道S308美洋线那大至洋浦互通段公路改建工程（只含主线）</w:t>
      </w:r>
      <w:r>
        <w:rPr>
          <w:rFonts w:hint="eastAsia" w:ascii="宋体" w:hAnsi="宋体" w:eastAsia="宋体" w:cs="宋体"/>
          <w:b/>
          <w:bCs/>
          <w:kern w:val="0"/>
          <w:sz w:val="28"/>
          <w:szCs w:val="28"/>
          <w:highlight w:val="none"/>
        </w:rPr>
        <w:t>土地出让收入预测表</w:t>
      </w:r>
    </w:p>
    <w:p>
      <w:pPr>
        <w:adjustRightInd/>
        <w:snapToGrid/>
        <w:spacing w:before="0" w:after="120" w:line="360" w:lineRule="auto"/>
        <w:ind w:firstLine="280" w:firstLineChars="100"/>
        <w:jc w:val="right"/>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2308" w:type="dxa"/>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2023年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9,700.00</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4,850.00</w:t>
            </w:r>
          </w:p>
        </w:tc>
      </w:tr>
    </w:tbl>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p>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用于本次发行专项债券的项目偿债的土地出让情况见下表</w:t>
      </w:r>
      <w:r>
        <w:rPr>
          <w:rFonts w:hint="eastAsia" w:ascii="宋体" w:hAnsi="宋体" w:eastAsia="宋体" w:cs="宋体"/>
          <w:b/>
          <w:bCs/>
          <w:color w:val="auto"/>
          <w:kern w:val="0"/>
          <w:sz w:val="28"/>
          <w:szCs w:val="28"/>
          <w:highlight w:val="none"/>
          <w:lang w:val="en-US" w:eastAsia="zh-CN"/>
        </w:rPr>
        <w:t>13</w:t>
      </w:r>
      <w:r>
        <w:rPr>
          <w:rFonts w:hint="eastAsia" w:ascii="宋体" w:hAnsi="宋体" w:eastAsia="宋体" w:cs="宋体"/>
          <w:b/>
          <w:bCs/>
          <w:color w:val="auto"/>
          <w:kern w:val="0"/>
          <w:sz w:val="28"/>
          <w:szCs w:val="28"/>
          <w:highlight w:val="none"/>
        </w:rPr>
        <w:t>：</w:t>
      </w:r>
    </w:p>
    <w:tbl>
      <w:tblPr>
        <w:tblStyle w:val="20"/>
        <w:tblW w:w="9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8"/>
        <w:gridCol w:w="1070"/>
        <w:gridCol w:w="1257"/>
        <w:gridCol w:w="1294"/>
        <w:gridCol w:w="982"/>
        <w:gridCol w:w="832"/>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blHeader/>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项目名称</w:t>
            </w:r>
          </w:p>
        </w:tc>
        <w:tc>
          <w:tcPr>
            <w:tcW w:w="107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地块位置</w:t>
            </w:r>
          </w:p>
        </w:tc>
        <w:tc>
          <w:tcPr>
            <w:tcW w:w="125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面积（亩)</w:t>
            </w:r>
          </w:p>
        </w:tc>
        <w:tc>
          <w:tcPr>
            <w:tcW w:w="129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预估地价（万元/亩）</w:t>
            </w:r>
          </w:p>
        </w:tc>
        <w:tc>
          <w:tcPr>
            <w:tcW w:w="98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土地性质</w:t>
            </w:r>
          </w:p>
        </w:tc>
        <w:tc>
          <w:tcPr>
            <w:tcW w:w="83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预计出让年限</w:t>
            </w:r>
          </w:p>
        </w:tc>
        <w:tc>
          <w:tcPr>
            <w:tcW w:w="166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省道S308美洋线那大至洋浦互通段公路改建工程（只含主线）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幸福家园-1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33.270 </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291.55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建设用地</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9,700.00 </w:t>
            </w:r>
          </w:p>
        </w:tc>
      </w:tr>
    </w:tbl>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按照预估的土地出让单价、出让计划及成本费用，在项目存续期间有稳定的政府性基金收入及专项收入，可稳定覆盖债券存续期间各年利息及到期偿还本金的支出需求。</w:t>
      </w:r>
    </w:p>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GB" w:eastAsia="zh-CN" w:bidi="ar-SA"/>
        </w:rPr>
      </w:pPr>
      <w:r>
        <w:rPr>
          <w:rFonts w:hint="eastAsia" w:ascii="宋体" w:hAnsi="宋体" w:eastAsia="宋体" w:cs="宋体"/>
          <w:b/>
          <w:bCs/>
          <w:sz w:val="28"/>
          <w:szCs w:val="28"/>
          <w:highlight w:val="none"/>
          <w:lang w:val="en-US" w:eastAsia="zh-CN" w:bidi="ar-SA"/>
        </w:rPr>
        <w:t>（4）</w:t>
      </w:r>
      <w:r>
        <w:rPr>
          <w:rFonts w:hint="eastAsia" w:ascii="宋体" w:hAnsi="宋体" w:eastAsia="宋体" w:cs="宋体"/>
          <w:b/>
          <w:bCs/>
          <w:sz w:val="28"/>
          <w:szCs w:val="28"/>
          <w:highlight w:val="none"/>
          <w:lang w:val="en-GB" w:eastAsia="zh-CN" w:bidi="ar-SA"/>
        </w:rPr>
        <w:t>省道S315王五工业园区至白马井段市政化改建工程</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省道S315王五工业园区至白马井段市政化改建工程还本付息以项目周边地块的国有土地使用权出让收入为基础。本项目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根据《财政部关于印发&lt;国有土地使用权出让收支管理办法&gt;的通知》（财综[2006]68号）等相关文件要求，</w:t>
      </w:r>
      <w:r>
        <w:rPr>
          <w:rFonts w:hint="eastAsia" w:ascii="宋体" w:hAnsi="宋体" w:eastAsia="宋体" w:cs="宋体"/>
          <w:b w:val="0"/>
          <w:bCs w:val="0"/>
          <w:kern w:val="0"/>
          <w:sz w:val="28"/>
          <w:szCs w:val="28"/>
          <w:highlight w:val="none"/>
          <w:lang w:val="en-US" w:eastAsia="zh-CN"/>
        </w:rPr>
        <w:t>儋州</w:t>
      </w:r>
      <w:r>
        <w:rPr>
          <w:rFonts w:hint="eastAsia" w:ascii="宋体" w:hAnsi="宋体" w:eastAsia="宋体" w:cs="宋体"/>
          <w:b w:val="0"/>
          <w:bCs w:val="0"/>
          <w:kern w:val="0"/>
          <w:sz w:val="28"/>
          <w:szCs w:val="28"/>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kern w:val="0"/>
          <w:sz w:val="28"/>
          <w:szCs w:val="28"/>
          <w:highlight w:val="none"/>
          <w:lang w:val="en-US" w:eastAsia="zh-CN"/>
        </w:rPr>
        <w:t>14</w:t>
      </w:r>
      <w:r>
        <w:rPr>
          <w:rFonts w:hint="eastAsia" w:ascii="宋体" w:hAnsi="宋体" w:eastAsia="宋体" w:cs="宋体"/>
          <w:b w:val="0"/>
          <w:bCs w:val="0"/>
          <w:kern w:val="0"/>
          <w:sz w:val="28"/>
          <w:szCs w:val="28"/>
          <w:highlight w:val="none"/>
        </w:rPr>
        <w:t>：</w:t>
      </w:r>
    </w:p>
    <w:p>
      <w:pPr>
        <w:keepNext/>
        <w:keepLines w:val="0"/>
        <w:pageBreakBefore w:val="0"/>
        <w:widowControl w:val="0"/>
        <w:kinsoku/>
        <w:wordWrap/>
        <w:overflowPunct/>
        <w:topLinePunct w:val="0"/>
        <w:autoSpaceDE/>
        <w:autoSpaceDN/>
        <w:bidi w:val="0"/>
        <w:adjustRightInd w:val="0"/>
        <w:snapToGrid w:val="0"/>
        <w:spacing w:before="0" w:after="0" w:line="240" w:lineRule="auto"/>
        <w:ind w:left="0" w:leftChars="0" w:firstLine="562" w:firstLineChars="200"/>
        <w:jc w:val="center"/>
        <w:textAlignment w:val="auto"/>
        <w:outlineLvl w:val="9"/>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表</w:t>
      </w:r>
      <w:r>
        <w:rPr>
          <w:rFonts w:hint="eastAsia" w:ascii="宋体" w:hAnsi="宋体" w:eastAsia="宋体" w:cs="宋体"/>
          <w:b/>
          <w:bCs/>
          <w:kern w:val="0"/>
          <w:sz w:val="28"/>
          <w:szCs w:val="28"/>
          <w:highlight w:val="none"/>
          <w:lang w:val="en-US" w:eastAsia="zh-CN"/>
        </w:rPr>
        <w:t>14</w:t>
      </w:r>
      <w:r>
        <w:rPr>
          <w:rFonts w:hint="eastAsia" w:ascii="宋体" w:hAnsi="宋体" w:eastAsia="宋体" w:cs="宋体"/>
          <w:b/>
          <w:bCs/>
          <w:kern w:val="0"/>
          <w:sz w:val="28"/>
          <w:szCs w:val="28"/>
          <w:highlight w:val="none"/>
        </w:rPr>
        <w:t xml:space="preserve"> 省道S315王五工业园区至白马井段市政化改建工程土地出让收入预测表</w:t>
      </w:r>
    </w:p>
    <w:p>
      <w:pPr>
        <w:adjustRightInd/>
        <w:snapToGrid/>
        <w:spacing w:before="0" w:after="120" w:line="240" w:lineRule="auto"/>
        <w:ind w:firstLine="280" w:firstLineChars="100"/>
        <w:jc w:val="right"/>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jc w:val="center"/>
        </w:trPr>
        <w:tc>
          <w:tcPr>
            <w:tcW w:w="2308" w:type="dxa"/>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2023年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3,210.00</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1,605.00</w:t>
            </w:r>
          </w:p>
        </w:tc>
      </w:tr>
    </w:tbl>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用于本次发行专项债券的项目偿债的土地出让情况见下表</w:t>
      </w:r>
      <w:r>
        <w:rPr>
          <w:rFonts w:hint="eastAsia" w:ascii="宋体" w:hAnsi="宋体" w:eastAsia="宋体" w:cs="宋体"/>
          <w:b/>
          <w:bCs/>
          <w:color w:val="auto"/>
          <w:kern w:val="0"/>
          <w:sz w:val="28"/>
          <w:szCs w:val="28"/>
          <w:highlight w:val="none"/>
          <w:lang w:val="en-US" w:eastAsia="zh-CN"/>
        </w:rPr>
        <w:t>15</w:t>
      </w:r>
      <w:r>
        <w:rPr>
          <w:rFonts w:hint="eastAsia" w:ascii="宋体" w:hAnsi="宋体" w:eastAsia="宋体" w:cs="宋体"/>
          <w:b/>
          <w:bCs/>
          <w:color w:val="auto"/>
          <w:kern w:val="0"/>
          <w:sz w:val="28"/>
          <w:szCs w:val="28"/>
          <w:highlight w:val="none"/>
        </w:rPr>
        <w:t>：</w:t>
      </w:r>
    </w:p>
    <w:tbl>
      <w:tblPr>
        <w:tblStyle w:val="20"/>
        <w:tblW w:w="10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80"/>
        <w:gridCol w:w="1169"/>
        <w:gridCol w:w="1373"/>
        <w:gridCol w:w="1414"/>
        <w:gridCol w:w="1072"/>
        <w:gridCol w:w="908"/>
        <w:gridCol w:w="1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blHeader/>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项目名称</w:t>
            </w:r>
          </w:p>
        </w:tc>
        <w:tc>
          <w:tcPr>
            <w:tcW w:w="116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地块位置</w:t>
            </w:r>
          </w:p>
        </w:tc>
        <w:tc>
          <w:tcPr>
            <w:tcW w:w="13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面积（亩)</w:t>
            </w:r>
          </w:p>
        </w:tc>
        <w:tc>
          <w:tcPr>
            <w:tcW w:w="14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预估地价（万元/亩）</w:t>
            </w:r>
          </w:p>
        </w:tc>
        <w:tc>
          <w:tcPr>
            <w:tcW w:w="1072"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土地性质</w:t>
            </w:r>
          </w:p>
        </w:tc>
        <w:tc>
          <w:tcPr>
            <w:tcW w:w="90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预计出让年限</w:t>
            </w:r>
          </w:p>
        </w:tc>
        <w:tc>
          <w:tcPr>
            <w:tcW w:w="1818"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省道S315王五工业园区至白马井段市政化改建工程</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幸福家园-2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11.010 </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291.55</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建设用地</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3,210.00 </w:t>
            </w:r>
          </w:p>
        </w:tc>
      </w:tr>
    </w:tbl>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按照预估的土地出让单价、出让计划及成本费用，在项目存续期间有稳定的政府性基金收入及专项收入，可稳定覆盖债券存续期间各年利息及到期偿还本金的支出需求。</w:t>
      </w:r>
    </w:p>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（5）儋州工业园木棠片区供电迁移工程</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rPr>
        <w:t>根据可行性研究报告，儋州工业园木棠片区供电迁移工程</w:t>
      </w:r>
      <w:r>
        <w:rPr>
          <w:rFonts w:hint="eastAsia" w:ascii="宋体" w:hAnsi="宋体" w:eastAsia="宋体" w:cs="宋体"/>
          <w:b w:val="0"/>
          <w:bCs w:val="0"/>
          <w:kern w:val="0"/>
          <w:sz w:val="28"/>
          <w:szCs w:val="28"/>
          <w:highlight w:val="none"/>
        </w:rPr>
        <w:t>还本付息</w:t>
      </w:r>
      <w:r>
        <w:rPr>
          <w:rFonts w:hint="eastAsia" w:ascii="宋体" w:hAnsi="宋体" w:eastAsia="宋体" w:cs="宋体"/>
          <w:b w:val="0"/>
          <w:bCs w:val="0"/>
          <w:kern w:val="0"/>
          <w:sz w:val="28"/>
          <w:szCs w:val="28"/>
          <w:highlight w:val="none"/>
          <w:lang w:val="en-US" w:eastAsia="zh-CN" w:bidi="ar-SA"/>
        </w:rPr>
        <w:t>资金来源主要为园区内厂房租金。儋州工业园木棠片区供电迁移工程110kV、35kV、10kV线路迁移长度总计约7km，按线行影响宽度20米计算，迁移后腾出来的园区内用地面积约为8万㎡。预计园区内工业厂房租金约10元/平米·月，办公写字楼租金约30元/平米·月。暂估园区内建筑面积为用地面积的1/2， 厂房与办公写字楼面积比例为4:1。不考虑租金上涨的情况下，线路迁移后腾出来的园区内用地面积在10年内产生的租金收入总额为4,234.23万元，运营维护成本按照收入的60%计提，各年度收益如下表16所示：</w:t>
      </w:r>
    </w:p>
    <w:p>
      <w:pPr>
        <w:keepNext w:val="0"/>
        <w:keepLines w:val="0"/>
        <w:pageBreakBefore w:val="0"/>
        <w:widowControl/>
        <w:kinsoku/>
        <w:wordWrap/>
        <w:overflowPunct/>
        <w:topLinePunct w:val="0"/>
        <w:autoSpaceDE/>
        <w:autoSpaceDN/>
        <w:bidi w:val="0"/>
        <w:adjustRightInd w:val="0"/>
        <w:snapToGrid w:val="0"/>
        <w:spacing w:before="0" w:after="120" w:line="360" w:lineRule="auto"/>
        <w:ind w:firstLine="281" w:firstLineChars="100"/>
        <w:jc w:val="center"/>
        <w:textAlignment w:val="auto"/>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表16  儋州工业园木棠片区供电迁移工程各年租金收入预测表</w:t>
      </w:r>
    </w:p>
    <w:p>
      <w:pPr>
        <w:keepNext w:val="0"/>
        <w:keepLines w:val="0"/>
        <w:pageBreakBefore w:val="0"/>
        <w:widowControl/>
        <w:kinsoku/>
        <w:wordWrap/>
        <w:overflowPunct/>
        <w:topLinePunct w:val="0"/>
        <w:autoSpaceDE/>
        <w:autoSpaceDN/>
        <w:bidi w:val="0"/>
        <w:adjustRightInd w:val="0"/>
        <w:snapToGrid w:val="0"/>
        <w:spacing w:line="360" w:lineRule="auto"/>
        <w:ind w:left="105" w:firstLine="560" w:firstLineChars="200"/>
        <w:jc w:val="right"/>
        <w:textAlignment w:val="auto"/>
        <w:rPr>
          <w:rFonts w:hint="eastAsia" w:ascii="宋体" w:hAnsi="宋体" w:eastAsia="宋体" w:cs="宋体"/>
          <w:sz w:val="28"/>
          <w:szCs w:val="28"/>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3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2279"/>
        <w:gridCol w:w="204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blHeader/>
        </w:trPr>
        <w:tc>
          <w:tcPr>
            <w:tcW w:w="204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年度</w:t>
            </w:r>
          </w:p>
        </w:tc>
        <w:tc>
          <w:tcPr>
            <w:tcW w:w="2279"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w:t>
            </w:r>
          </w:p>
        </w:tc>
        <w:tc>
          <w:tcPr>
            <w:tcW w:w="204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运营维护成本</w:t>
            </w:r>
          </w:p>
        </w:tc>
        <w:tc>
          <w:tcPr>
            <w:tcW w:w="204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222.85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133.7125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267.425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178.28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4,234.23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2,540.54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1,693.69</w:t>
            </w:r>
          </w:p>
        </w:tc>
      </w:tr>
    </w:tbl>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US" w:eastAsia="zh-CN" w:bidi="ar-SA"/>
        </w:rPr>
      </w:pPr>
    </w:p>
    <w:p>
      <w:pPr>
        <w:keepNext/>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GB" w:eastAsia="zh-CN" w:bidi="ar-SA"/>
        </w:rPr>
      </w:pPr>
      <w:r>
        <w:rPr>
          <w:rFonts w:hint="eastAsia" w:ascii="宋体" w:hAnsi="宋体" w:eastAsia="宋体" w:cs="宋体"/>
          <w:b/>
          <w:bCs/>
          <w:sz w:val="28"/>
          <w:szCs w:val="28"/>
          <w:highlight w:val="none"/>
          <w:lang w:val="en-US" w:eastAsia="zh-CN" w:bidi="ar-SA"/>
        </w:rPr>
        <w:t>（6）</w:t>
      </w:r>
      <w:r>
        <w:rPr>
          <w:rFonts w:hint="eastAsia" w:ascii="宋体" w:hAnsi="宋体" w:eastAsia="宋体" w:cs="宋体"/>
          <w:b/>
          <w:bCs/>
          <w:sz w:val="28"/>
          <w:szCs w:val="28"/>
          <w:highlight w:val="none"/>
          <w:lang w:val="en-GB" w:eastAsia="zh-CN" w:bidi="ar-SA"/>
        </w:rPr>
        <w:t>儋州工业园王五片区供电迁移工程</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rPr>
        <w:t>根据可行性研究报告，儋州工业园王五片区供电迁移工程</w:t>
      </w:r>
      <w:r>
        <w:rPr>
          <w:rFonts w:hint="eastAsia" w:ascii="宋体" w:hAnsi="宋体" w:eastAsia="宋体" w:cs="宋体"/>
          <w:b w:val="0"/>
          <w:bCs w:val="0"/>
          <w:kern w:val="0"/>
          <w:sz w:val="28"/>
          <w:szCs w:val="28"/>
          <w:highlight w:val="none"/>
        </w:rPr>
        <w:t>还本付息</w:t>
      </w:r>
      <w:r>
        <w:rPr>
          <w:rFonts w:hint="eastAsia" w:ascii="宋体" w:hAnsi="宋体" w:eastAsia="宋体" w:cs="宋体"/>
          <w:b w:val="0"/>
          <w:bCs w:val="0"/>
          <w:kern w:val="0"/>
          <w:sz w:val="28"/>
          <w:szCs w:val="28"/>
          <w:highlight w:val="none"/>
          <w:lang w:val="en-US" w:eastAsia="zh-CN" w:bidi="ar-SA"/>
        </w:rPr>
        <w:t>资金来源主要为园区内厂房租金。</w:t>
      </w:r>
      <w:r>
        <w:rPr>
          <w:rFonts w:hint="eastAsia" w:ascii="宋体" w:hAnsi="宋体" w:eastAsia="宋体" w:cs="宋体"/>
          <w:b w:val="0"/>
          <w:bCs w:val="0"/>
          <w:kern w:val="0"/>
          <w:sz w:val="28"/>
          <w:szCs w:val="28"/>
          <w:highlight w:val="none"/>
          <w:lang w:val="en-US" w:eastAsia="zh-CN"/>
        </w:rPr>
        <w:t>儋州市工业园区王五片区110kV、35kV、10kV线路迁移长度总计约5km，按线行影响宽度20米计算，迁移后腾出来的园区内用地面积约为10万㎡。预计园区内工业厂房租金约10元/平米·月，办公写字楼租金约30元/平米·月。暂估园区内建筑面积为用地面积的1/2， 厂房与办公写字楼面积比例为4:1。不考虑租金上涨的情况下，线路迁移后腾出来的园区内用地面积在24年内产生的租金收入总额为7,980万元，</w:t>
      </w:r>
      <w:r>
        <w:rPr>
          <w:rFonts w:hint="eastAsia" w:ascii="宋体" w:hAnsi="宋体" w:eastAsia="宋体" w:cs="宋体"/>
          <w:b w:val="0"/>
          <w:bCs w:val="0"/>
          <w:kern w:val="0"/>
          <w:sz w:val="28"/>
          <w:szCs w:val="28"/>
          <w:highlight w:val="none"/>
          <w:lang w:val="en-US" w:eastAsia="zh-CN" w:bidi="ar-SA"/>
        </w:rPr>
        <w:t>运营维护成本按照收入的70%计提，各年度收益如下表17所示：</w:t>
      </w:r>
    </w:p>
    <w:p>
      <w:pPr>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br w:type="page"/>
      </w:r>
    </w:p>
    <w:p>
      <w:pPr>
        <w:keepNext w:val="0"/>
        <w:keepLines w:val="0"/>
        <w:pageBreakBefore w:val="0"/>
        <w:widowControl/>
        <w:kinsoku/>
        <w:wordWrap/>
        <w:overflowPunct/>
        <w:topLinePunct w:val="0"/>
        <w:autoSpaceDE/>
        <w:autoSpaceDN/>
        <w:bidi w:val="0"/>
        <w:adjustRightInd w:val="0"/>
        <w:snapToGrid w:val="0"/>
        <w:spacing w:before="0" w:after="120" w:line="360" w:lineRule="auto"/>
        <w:ind w:firstLine="281" w:firstLineChars="100"/>
        <w:jc w:val="center"/>
        <w:textAlignment w:val="auto"/>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表17  儋州工业园王五片区供电迁移工程各年租金收入预测表</w:t>
      </w:r>
    </w:p>
    <w:p>
      <w:pPr>
        <w:keepNext w:val="0"/>
        <w:keepLines w:val="0"/>
        <w:pageBreakBefore w:val="0"/>
        <w:widowControl/>
        <w:kinsoku/>
        <w:wordWrap/>
        <w:overflowPunct/>
        <w:topLinePunct w:val="0"/>
        <w:autoSpaceDE/>
        <w:autoSpaceDN/>
        <w:bidi w:val="0"/>
        <w:adjustRightInd w:val="0"/>
        <w:snapToGrid w:val="0"/>
        <w:spacing w:line="360" w:lineRule="auto"/>
        <w:ind w:left="105" w:firstLine="560" w:firstLineChars="200"/>
        <w:jc w:val="right"/>
        <w:textAlignment w:val="auto"/>
        <w:rPr>
          <w:rFonts w:hint="eastAsia" w:ascii="宋体" w:hAnsi="宋体" w:eastAsia="宋体" w:cs="宋体"/>
          <w:sz w:val="28"/>
          <w:szCs w:val="28"/>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4"/>
        <w:gridCol w:w="2074"/>
        <w:gridCol w:w="2074"/>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blHeader/>
        </w:trPr>
        <w:tc>
          <w:tcPr>
            <w:tcW w:w="20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年度</w:t>
            </w:r>
          </w:p>
        </w:tc>
        <w:tc>
          <w:tcPr>
            <w:tcW w:w="20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w:t>
            </w:r>
          </w:p>
        </w:tc>
        <w:tc>
          <w:tcPr>
            <w:tcW w:w="207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运营维护成本</w:t>
            </w:r>
          </w:p>
        </w:tc>
        <w:tc>
          <w:tcPr>
            <w:tcW w:w="2076"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2023年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2024年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7,980.00</w:t>
            </w: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5586</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2394</w:t>
            </w:r>
          </w:p>
        </w:tc>
      </w:tr>
    </w:tbl>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562" w:firstLineChars="200"/>
        <w:textAlignment w:val="auto"/>
        <w:outlineLvl w:val="3"/>
        <w:rPr>
          <w:rFonts w:hint="eastAsia" w:ascii="宋体" w:hAnsi="宋体" w:eastAsia="宋体" w:cs="宋体"/>
          <w:b/>
          <w:bCs/>
          <w:sz w:val="28"/>
          <w:szCs w:val="28"/>
          <w:highlight w:val="none"/>
          <w:lang w:val="en-US" w:eastAsia="zh-CN" w:bidi="ar-SA"/>
        </w:rPr>
      </w:pP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562" w:firstLineChars="200"/>
        <w:textAlignment w:val="auto"/>
        <w:outlineLvl w:val="3"/>
        <w:rPr>
          <w:rFonts w:hint="eastAsia" w:ascii="宋体" w:hAnsi="宋体" w:eastAsia="宋体" w:cs="宋体"/>
          <w:b/>
          <w:bCs/>
          <w:sz w:val="28"/>
          <w:szCs w:val="28"/>
          <w:highlight w:val="none"/>
          <w:lang w:val="en-GB" w:eastAsia="zh-CN" w:bidi="ar-SA"/>
        </w:rPr>
      </w:pPr>
      <w:r>
        <w:rPr>
          <w:rFonts w:hint="eastAsia" w:ascii="宋体" w:hAnsi="宋体" w:eastAsia="宋体" w:cs="宋体"/>
          <w:b/>
          <w:bCs/>
          <w:sz w:val="28"/>
          <w:szCs w:val="28"/>
          <w:highlight w:val="none"/>
          <w:lang w:val="en-US" w:eastAsia="zh-CN" w:bidi="ar-SA"/>
        </w:rPr>
        <w:t>（7）</w:t>
      </w:r>
      <w:r>
        <w:rPr>
          <w:rFonts w:hint="eastAsia" w:ascii="宋体" w:hAnsi="宋体" w:eastAsia="宋体" w:cs="宋体"/>
          <w:b/>
          <w:bCs/>
          <w:sz w:val="28"/>
          <w:szCs w:val="28"/>
          <w:highlight w:val="none"/>
          <w:lang w:val="en-GB" w:eastAsia="zh-CN" w:bidi="ar-SA"/>
        </w:rPr>
        <w:t>儋州工业园王五片区一期标准厂房项目</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儋州工业园王五片区一期标准厂房项目</w:t>
      </w:r>
      <w:r>
        <w:rPr>
          <w:rFonts w:hint="eastAsia" w:ascii="宋体" w:hAnsi="宋体" w:eastAsia="宋体" w:cs="宋体"/>
          <w:b w:val="0"/>
          <w:bCs w:val="0"/>
          <w:kern w:val="0"/>
          <w:sz w:val="28"/>
          <w:szCs w:val="28"/>
          <w:highlight w:val="none"/>
        </w:rPr>
        <w:t>还本付息</w:t>
      </w:r>
      <w:r>
        <w:rPr>
          <w:rFonts w:hint="eastAsia" w:ascii="宋体" w:hAnsi="宋体" w:eastAsia="宋体" w:cs="宋体"/>
          <w:b w:val="0"/>
          <w:bCs w:val="0"/>
          <w:kern w:val="0"/>
          <w:sz w:val="28"/>
          <w:szCs w:val="28"/>
          <w:highlight w:val="none"/>
          <w:lang w:val="en-US" w:eastAsia="zh-CN" w:bidi="ar-SA"/>
        </w:rPr>
        <w:t>资金来源主要为园区内厂房租金收入及土地出让收入。</w:t>
      </w:r>
    </w:p>
    <w:p>
      <w:pPr>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（7-1）园区内厂房租金收入</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outlineLvl w:val="9"/>
        <w:rPr>
          <w:rFonts w:hint="eastAsia" w:ascii="宋体" w:hAnsi="宋体" w:eastAsia="宋体" w:cs="宋体"/>
          <w:kern w:val="0"/>
          <w:sz w:val="28"/>
          <w:szCs w:val="28"/>
          <w:lang w:val="en-US" w:eastAsia="zh-CN"/>
        </w:rPr>
      </w:pPr>
      <w:r>
        <w:rPr>
          <w:rFonts w:hint="eastAsia" w:ascii="宋体" w:hAnsi="宋体" w:eastAsia="宋体" w:cs="宋体"/>
          <w:b w:val="0"/>
          <w:bCs w:val="0"/>
          <w:kern w:val="0"/>
          <w:sz w:val="28"/>
          <w:szCs w:val="28"/>
          <w:highlight w:val="none"/>
          <w:lang w:val="en-US" w:eastAsia="zh-CN" w:bidi="ar-SA"/>
        </w:rPr>
        <w:t>儋州工业园王五片区一期标准厂房项目总用地面积约53600㎡。建筑面积88570㎡，其中，标准厂房可销售面积为75630㎡，配套宿舍楼可租赁面积为12600㎡，其余面积为公共配套使用，根据可行性研究报告，经营期内年均营业收入金额为3478.87万元，项目成本均暂由业主单位自筹解决，故不纳入本次测算中，各年度收益如下表18所示：</w:t>
      </w:r>
    </w:p>
    <w:p>
      <w:pPr>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br w:type="page"/>
      </w:r>
    </w:p>
    <w:p>
      <w:pPr>
        <w:keepNext w:val="0"/>
        <w:keepLines w:val="0"/>
        <w:pageBreakBefore w:val="0"/>
        <w:widowControl/>
        <w:kinsoku/>
        <w:wordWrap/>
        <w:overflowPunct/>
        <w:topLinePunct w:val="0"/>
        <w:autoSpaceDE/>
        <w:autoSpaceDN/>
        <w:bidi w:val="0"/>
        <w:adjustRightInd w:val="0"/>
        <w:snapToGrid w:val="0"/>
        <w:spacing w:before="0" w:after="120" w:line="360" w:lineRule="auto"/>
        <w:ind w:firstLine="281" w:firstLineChars="100"/>
        <w:jc w:val="center"/>
        <w:textAlignment w:val="auto"/>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表18  儋州工业园王五片区一期标准厂房项目各年收入预测表</w:t>
      </w:r>
    </w:p>
    <w:p>
      <w:pPr>
        <w:keepNext w:val="0"/>
        <w:keepLines w:val="0"/>
        <w:pageBreakBefore w:val="0"/>
        <w:widowControl/>
        <w:kinsoku/>
        <w:wordWrap/>
        <w:overflowPunct/>
        <w:topLinePunct w:val="0"/>
        <w:autoSpaceDE/>
        <w:autoSpaceDN/>
        <w:bidi w:val="0"/>
        <w:adjustRightInd w:val="0"/>
        <w:snapToGrid w:val="0"/>
        <w:spacing w:line="360" w:lineRule="auto"/>
        <w:ind w:left="105" w:firstLine="560" w:firstLineChars="200"/>
        <w:jc w:val="right"/>
        <w:textAlignment w:val="auto"/>
        <w:rPr>
          <w:rFonts w:hint="eastAsia" w:ascii="宋体" w:hAnsi="宋体" w:eastAsia="宋体" w:cs="宋体"/>
          <w:sz w:val="28"/>
          <w:szCs w:val="28"/>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11176" w:type="dxa"/>
        <w:tblInd w:w="-13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950"/>
        <w:gridCol w:w="950"/>
        <w:gridCol w:w="950"/>
        <w:gridCol w:w="950"/>
        <w:gridCol w:w="950"/>
        <w:gridCol w:w="950"/>
        <w:gridCol w:w="950"/>
        <w:gridCol w:w="950"/>
        <w:gridCol w:w="950"/>
        <w:gridCol w:w="950"/>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18"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年度</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2025年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2026年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2027年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2028年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2029年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2030年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2031年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2032年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2033年</w:t>
            </w:r>
          </w:p>
        </w:tc>
        <w:tc>
          <w:tcPr>
            <w:tcW w:w="950"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2034年</w:t>
            </w:r>
          </w:p>
        </w:tc>
        <w:tc>
          <w:tcPr>
            <w:tcW w:w="958"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租金收入</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34788.7</w:t>
            </w:r>
          </w:p>
        </w:tc>
      </w:tr>
    </w:tbl>
    <w:p>
      <w:pPr>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（7-2）土地出让收入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lang w:val="en-US" w:eastAsia="zh-CN"/>
        </w:rPr>
        <w:t>儋州工业园王五片区一期标准厂房项目</w:t>
      </w:r>
      <w:r>
        <w:rPr>
          <w:rFonts w:hint="eastAsia" w:ascii="宋体" w:hAnsi="宋体" w:eastAsia="宋体" w:cs="宋体"/>
          <w:b w:val="0"/>
          <w:bCs w:val="0"/>
          <w:kern w:val="0"/>
          <w:sz w:val="28"/>
          <w:szCs w:val="28"/>
          <w:highlight w:val="none"/>
        </w:rPr>
        <w:t>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根据《财政部关于印发&lt;国有土地使用权出让收支管理办法&gt;的通知》（财综[2006]68号）等相关文件要求，</w:t>
      </w:r>
      <w:r>
        <w:rPr>
          <w:rFonts w:hint="eastAsia" w:ascii="宋体" w:hAnsi="宋体" w:eastAsia="宋体" w:cs="宋体"/>
          <w:b w:val="0"/>
          <w:bCs w:val="0"/>
          <w:kern w:val="0"/>
          <w:sz w:val="28"/>
          <w:szCs w:val="28"/>
          <w:highlight w:val="none"/>
          <w:lang w:val="en-US" w:eastAsia="zh-CN"/>
        </w:rPr>
        <w:t>儋州</w:t>
      </w:r>
      <w:r>
        <w:rPr>
          <w:rFonts w:hint="eastAsia" w:ascii="宋体" w:hAnsi="宋体" w:eastAsia="宋体" w:cs="宋体"/>
          <w:b w:val="0"/>
          <w:bCs w:val="0"/>
          <w:kern w:val="0"/>
          <w:sz w:val="28"/>
          <w:szCs w:val="28"/>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kern w:val="0"/>
          <w:sz w:val="28"/>
          <w:szCs w:val="28"/>
          <w:highlight w:val="none"/>
          <w:lang w:val="en-US" w:eastAsia="zh-CN"/>
        </w:rPr>
        <w:t>19</w:t>
      </w:r>
      <w:r>
        <w:rPr>
          <w:rFonts w:hint="eastAsia" w:ascii="宋体" w:hAnsi="宋体" w:eastAsia="宋体" w:cs="宋体"/>
          <w:b w:val="0"/>
          <w:bCs w:val="0"/>
          <w:kern w:val="0"/>
          <w:sz w:val="28"/>
          <w:szCs w:val="28"/>
          <w:highlight w:val="none"/>
        </w:rPr>
        <w:t>：</w:t>
      </w: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562" w:firstLineChars="200"/>
        <w:jc w:val="center"/>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表19 儋州工业园王五片区一期标准厂房项目</w:t>
      </w: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firstLine="562" w:firstLineChars="200"/>
        <w:jc w:val="center"/>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土地出让收入预测表</w:t>
      </w:r>
    </w:p>
    <w:p>
      <w:pPr>
        <w:adjustRightInd/>
        <w:snapToGrid/>
        <w:spacing w:before="0" w:after="120" w:line="240" w:lineRule="auto"/>
        <w:ind w:firstLine="280" w:firstLineChars="100"/>
        <w:jc w:val="right"/>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2308" w:type="dxa"/>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2033年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4,052.55</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40,525.45</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20,262.73</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20,262.73</w:t>
            </w:r>
          </w:p>
        </w:tc>
      </w:tr>
    </w:tbl>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p>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用于本次发行专项债券的项目偿债的土地出让情况见下表</w:t>
      </w:r>
      <w:r>
        <w:rPr>
          <w:rFonts w:hint="eastAsia" w:ascii="宋体" w:hAnsi="宋体" w:eastAsia="宋体" w:cs="宋体"/>
          <w:b/>
          <w:bCs/>
          <w:color w:val="auto"/>
          <w:kern w:val="0"/>
          <w:sz w:val="28"/>
          <w:szCs w:val="28"/>
          <w:highlight w:val="none"/>
          <w:lang w:val="en-US" w:eastAsia="zh-CN"/>
        </w:rPr>
        <w:t>20</w:t>
      </w:r>
      <w:r>
        <w:rPr>
          <w:rFonts w:hint="eastAsia" w:ascii="宋体" w:hAnsi="宋体" w:eastAsia="宋体" w:cs="宋体"/>
          <w:b/>
          <w:bCs/>
          <w:color w:val="auto"/>
          <w:kern w:val="0"/>
          <w:sz w:val="28"/>
          <w:szCs w:val="28"/>
          <w:highlight w:val="none"/>
        </w:rPr>
        <w:t>：</w:t>
      </w:r>
    </w:p>
    <w:tbl>
      <w:tblPr>
        <w:tblStyle w:val="20"/>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5"/>
        <w:gridCol w:w="1735"/>
        <w:gridCol w:w="1373"/>
        <w:gridCol w:w="1414"/>
        <w:gridCol w:w="1073"/>
        <w:gridCol w:w="1111"/>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blHeader/>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173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地块位置</w:t>
            </w:r>
          </w:p>
        </w:tc>
        <w:tc>
          <w:tcPr>
            <w:tcW w:w="13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面积（亩)</w:t>
            </w:r>
          </w:p>
        </w:tc>
        <w:tc>
          <w:tcPr>
            <w:tcW w:w="1414"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预估地价（万元/亩）</w:t>
            </w:r>
          </w:p>
        </w:tc>
        <w:tc>
          <w:tcPr>
            <w:tcW w:w="107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土地性质</w:t>
            </w:r>
          </w:p>
        </w:tc>
        <w:tc>
          <w:tcPr>
            <w:tcW w:w="1111"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预计出让年限</w:t>
            </w:r>
          </w:p>
        </w:tc>
        <w:tc>
          <w:tcPr>
            <w:tcW w:w="1515"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儋州工业园王五片区一期标准厂房项目</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滨海新区（洋浦大桥南连接线东侧原安置地）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139</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291.55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建设用地</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40,525.45</w:t>
            </w:r>
          </w:p>
        </w:tc>
      </w:tr>
    </w:tbl>
    <w:p>
      <w:pPr>
        <w:widowControl/>
        <w:spacing w:after="0"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b w:val="0"/>
          <w:bCs w:val="0"/>
          <w:kern w:val="0"/>
          <w:sz w:val="28"/>
          <w:szCs w:val="28"/>
          <w:highlight w:val="none"/>
        </w:rPr>
        <w:t>按照预估的土地出让单价、出让计划及成本费用，在项目存续期间有稳定的政府性基金收入及专项收入，可稳定覆盖债券存续期间各年利息及到期偿还本金的支出需求。</w:t>
      </w: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562" w:firstLineChars="200"/>
        <w:textAlignment w:val="auto"/>
        <w:outlineLvl w:val="3"/>
        <w:rPr>
          <w:rFonts w:hint="eastAsia" w:ascii="宋体" w:hAnsi="宋体" w:eastAsia="宋体" w:cs="宋体"/>
          <w:b/>
          <w:bCs/>
          <w:sz w:val="28"/>
          <w:szCs w:val="28"/>
          <w:highlight w:val="none"/>
          <w:lang w:val="en-GB" w:eastAsia="zh-CN" w:bidi="ar-SA"/>
        </w:rPr>
      </w:pPr>
      <w:r>
        <w:rPr>
          <w:rFonts w:hint="eastAsia" w:ascii="宋体" w:hAnsi="宋体" w:eastAsia="宋体" w:cs="宋体"/>
          <w:b/>
          <w:bCs/>
          <w:sz w:val="28"/>
          <w:szCs w:val="28"/>
          <w:highlight w:val="none"/>
          <w:lang w:val="en-US" w:eastAsia="zh-CN" w:bidi="ar-SA"/>
        </w:rPr>
        <w:t>（8）</w:t>
      </w:r>
      <w:r>
        <w:rPr>
          <w:rFonts w:hint="eastAsia" w:ascii="宋体" w:hAnsi="宋体" w:eastAsia="宋体" w:cs="宋体"/>
          <w:b/>
          <w:bCs/>
          <w:sz w:val="28"/>
          <w:szCs w:val="28"/>
          <w:highlight w:val="none"/>
          <w:lang w:val="en-GB" w:eastAsia="zh-CN" w:bidi="ar-SA"/>
        </w:rPr>
        <w:t>儋州工业园木棠片区生活配套区启动项目</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US" w:eastAsia="zh-CN" w:bidi="ar-SA"/>
        </w:rPr>
        <w:t>儋州工业园木棠片区生活配套区启动项目</w:t>
      </w:r>
      <w:r>
        <w:rPr>
          <w:rFonts w:hint="eastAsia" w:ascii="宋体" w:hAnsi="宋体" w:eastAsia="宋体" w:cs="宋体"/>
          <w:b w:val="0"/>
          <w:bCs w:val="0"/>
          <w:kern w:val="0"/>
          <w:sz w:val="28"/>
          <w:szCs w:val="28"/>
          <w:highlight w:val="none"/>
        </w:rPr>
        <w:t>还本付息</w:t>
      </w:r>
      <w:r>
        <w:rPr>
          <w:rFonts w:hint="eastAsia" w:ascii="宋体" w:hAnsi="宋体" w:eastAsia="宋体" w:cs="宋体"/>
          <w:b w:val="0"/>
          <w:bCs w:val="0"/>
          <w:kern w:val="0"/>
          <w:sz w:val="28"/>
          <w:szCs w:val="28"/>
          <w:highlight w:val="none"/>
          <w:lang w:val="en-US" w:eastAsia="zh-CN" w:bidi="ar-SA"/>
        </w:rPr>
        <w:t>资金来源主要为商品房出售收入、商铺租售收入、停车费收入及土地出让收入。</w:t>
      </w:r>
    </w:p>
    <w:p>
      <w:pPr>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（8-1）商品房出售收入、商铺租售收入、停车费收入</w:t>
      </w:r>
    </w:p>
    <w:p>
      <w:pPr>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outlineLvl w:val="9"/>
        <w:rPr>
          <w:rFonts w:hint="eastAsia" w:ascii="宋体" w:hAnsi="宋体" w:eastAsia="宋体" w:cs="宋体"/>
          <w:b w:val="0"/>
          <w:bCs w:val="0"/>
          <w:kern w:val="0"/>
          <w:sz w:val="28"/>
          <w:szCs w:val="28"/>
          <w:highlight w:val="none"/>
          <w:lang w:val="en-US" w:eastAsia="zh-CN" w:bidi="ar-SA"/>
        </w:rPr>
      </w:pPr>
      <w:r>
        <w:rPr>
          <w:rFonts w:hint="eastAsia" w:ascii="宋体" w:hAnsi="宋体" w:eastAsia="宋体" w:cs="宋体"/>
          <w:b w:val="0"/>
          <w:bCs w:val="0"/>
          <w:kern w:val="0"/>
          <w:sz w:val="28"/>
          <w:szCs w:val="28"/>
          <w:highlight w:val="none"/>
          <w:lang w:val="en-GB" w:eastAsia="zh-CN" w:bidi="ar-SA"/>
        </w:rPr>
        <w:t>儋州工业园木棠片区生活配套区启动项目</w:t>
      </w:r>
      <w:r>
        <w:rPr>
          <w:rFonts w:hint="eastAsia" w:ascii="宋体" w:hAnsi="宋体" w:eastAsia="宋体" w:cs="宋体"/>
          <w:b w:val="0"/>
          <w:bCs w:val="0"/>
          <w:kern w:val="0"/>
          <w:sz w:val="28"/>
          <w:szCs w:val="28"/>
          <w:highlight w:val="none"/>
          <w:lang w:val="en-US" w:eastAsia="zh-CN" w:bidi="ar-SA"/>
        </w:rPr>
        <w:t>住宅建筑面积27647.42㎡，商业建筑面积2213.99㎡，机动车车位208个。根据周边区域商品房市场价格信息，预计项目内住宅出售价格为9000元/㎡，预计项目内商铺配套租售收入平均价格为8000元/㎡，停车位预计按5元/小时，预计年停车费收入总额为759.2万元。项目成本均由业主单位自筹解决，故不纳入本次测算中。各年度收益如下表21所示：</w:t>
      </w:r>
    </w:p>
    <w:p>
      <w:pPr>
        <w:keepNext w:val="0"/>
        <w:keepLines w:val="0"/>
        <w:pageBreakBefore w:val="0"/>
        <w:widowControl/>
        <w:kinsoku/>
        <w:wordWrap/>
        <w:overflowPunct/>
        <w:topLinePunct w:val="0"/>
        <w:autoSpaceDE/>
        <w:autoSpaceDN/>
        <w:bidi w:val="0"/>
        <w:adjustRightInd w:val="0"/>
        <w:snapToGrid w:val="0"/>
        <w:spacing w:before="0" w:after="120" w:line="360" w:lineRule="auto"/>
        <w:ind w:firstLine="281" w:firstLineChars="100"/>
        <w:jc w:val="center"/>
        <w:textAlignment w:val="auto"/>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表21  儋州工业园木棠片区生活配套区启动项目各年收入预测表</w:t>
      </w:r>
    </w:p>
    <w:p>
      <w:pPr>
        <w:keepNext w:val="0"/>
        <w:keepLines w:val="0"/>
        <w:pageBreakBefore w:val="0"/>
        <w:widowControl/>
        <w:kinsoku/>
        <w:wordWrap/>
        <w:overflowPunct/>
        <w:topLinePunct w:val="0"/>
        <w:autoSpaceDE/>
        <w:autoSpaceDN/>
        <w:bidi w:val="0"/>
        <w:adjustRightInd w:val="0"/>
        <w:snapToGrid w:val="0"/>
        <w:spacing w:line="360" w:lineRule="auto"/>
        <w:ind w:left="105" w:firstLine="560" w:firstLineChars="200"/>
        <w:jc w:val="right"/>
        <w:textAlignment w:val="auto"/>
        <w:rPr>
          <w:rFonts w:hint="eastAsia" w:ascii="宋体" w:hAnsi="宋体" w:eastAsia="宋体" w:cs="宋体"/>
          <w:sz w:val="28"/>
          <w:szCs w:val="28"/>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4"/>
        <w:gridCol w:w="1735"/>
        <w:gridCol w:w="1735"/>
        <w:gridCol w:w="1735"/>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年份</w:t>
            </w:r>
          </w:p>
        </w:tc>
        <w:tc>
          <w:tcPr>
            <w:tcW w:w="173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住宅出售收入</w:t>
            </w:r>
          </w:p>
        </w:tc>
        <w:tc>
          <w:tcPr>
            <w:tcW w:w="173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商铺租售收入</w:t>
            </w:r>
          </w:p>
        </w:tc>
        <w:tc>
          <w:tcPr>
            <w:tcW w:w="1735"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停车费收入</w:t>
            </w:r>
          </w:p>
        </w:tc>
        <w:tc>
          <w:tcPr>
            <w:tcW w:w="1738" w:type="dxa"/>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收入总额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2026</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2033</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1,735.19</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123.51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759.20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2"/>
                <w:szCs w:val="22"/>
                <w:u w:val="none"/>
              </w:rPr>
            </w:pPr>
            <w:r>
              <w:rPr>
                <w:rFonts w:hint="eastAsia" w:ascii="宋体" w:hAnsi="宋体" w:eastAsia="宋体" w:cs="宋体"/>
                <w:i w:val="0"/>
                <w:iCs w:val="0"/>
                <w:color w:val="000000"/>
                <w:kern w:val="0"/>
                <w:sz w:val="22"/>
                <w:szCs w:val="22"/>
                <w:u w:val="none"/>
                <w:lang w:val="en-US" w:eastAsia="zh-CN" w:bidi="ar"/>
              </w:rPr>
              <w:t>2,617.91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17,351.94</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1,235.14</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7,592.00</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bidi="ar"/>
              </w:rPr>
              <w:t>26,179.08</w:t>
            </w:r>
          </w:p>
        </w:tc>
      </w:tr>
    </w:tbl>
    <w:p>
      <w:pPr>
        <w:adjustRightInd/>
        <w:snapToGrid/>
        <w:spacing w:before="0" w:after="120" w:line="360" w:lineRule="auto"/>
        <w:ind w:firstLine="280" w:firstLineChars="100"/>
        <w:jc w:val="both"/>
        <w:rPr>
          <w:rFonts w:hint="eastAsia" w:ascii="宋体" w:hAnsi="宋体" w:eastAsia="宋体" w:cs="宋体"/>
          <w:sz w:val="28"/>
          <w:szCs w:val="28"/>
          <w:lang w:val="en-US" w:eastAsia="zh-CN" w:bidi="ar-SA"/>
        </w:rPr>
      </w:pPr>
    </w:p>
    <w:p>
      <w:pPr>
        <w:keepLines w:val="0"/>
        <w:pageBreakBefore w:val="0"/>
        <w:widowControl w:val="0"/>
        <w:kinsoku/>
        <w:wordWrap/>
        <w:overflowPunct/>
        <w:topLinePunct w:val="0"/>
        <w:autoSpaceDE/>
        <w:autoSpaceDN/>
        <w:bidi w:val="0"/>
        <w:adjustRightInd/>
        <w:snapToGrid/>
        <w:spacing w:after="0" w:line="360" w:lineRule="auto"/>
        <w:ind w:firstLine="562" w:firstLineChars="200"/>
        <w:jc w:val="left"/>
        <w:textAlignment w:val="auto"/>
        <w:outlineLvl w:val="9"/>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（8-2）土地出让收入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lang w:val="en-US" w:eastAsia="zh-CN"/>
        </w:rPr>
        <w:t>儋州工业园木棠片区生活配套区启动项目</w:t>
      </w:r>
      <w:r>
        <w:rPr>
          <w:rFonts w:hint="eastAsia" w:ascii="宋体" w:hAnsi="宋体" w:eastAsia="宋体" w:cs="宋体"/>
          <w:b w:val="0"/>
          <w:bCs w:val="0"/>
          <w:kern w:val="0"/>
          <w:sz w:val="28"/>
          <w:szCs w:val="28"/>
          <w:highlight w:val="none"/>
        </w:rPr>
        <w:t>涉及的国有土地使用权出让收入预测，以项目区域范围内可出让面积、土地用途、容积率指标等为基数，参考所在片区基准地价、近期历史成交价、未来经济增长、城市商品房销售价格等标准，合理预估本项目的土地出让单价，并据此测算相关收入。</w:t>
      </w:r>
    </w:p>
    <w:p>
      <w:pPr>
        <w:widowControl/>
        <w:spacing w:after="0" w:line="360" w:lineRule="auto"/>
        <w:ind w:firstLine="560" w:firstLineChars="200"/>
        <w:jc w:val="left"/>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根据《财政部关于印发&lt;国有土地使用权出让收支管理办法&gt;的通知》（财综[2006]68号）等相关文件要求，</w:t>
      </w:r>
      <w:r>
        <w:rPr>
          <w:rFonts w:hint="eastAsia" w:ascii="宋体" w:hAnsi="宋体" w:eastAsia="宋体" w:cs="宋体"/>
          <w:b w:val="0"/>
          <w:bCs w:val="0"/>
          <w:kern w:val="0"/>
          <w:sz w:val="28"/>
          <w:szCs w:val="28"/>
          <w:highlight w:val="none"/>
          <w:lang w:val="en-US" w:eastAsia="zh-CN"/>
        </w:rPr>
        <w:t>儋州</w:t>
      </w:r>
      <w:r>
        <w:rPr>
          <w:rFonts w:hint="eastAsia" w:ascii="宋体" w:hAnsi="宋体" w:eastAsia="宋体" w:cs="宋体"/>
          <w:b w:val="0"/>
          <w:bCs w:val="0"/>
          <w:kern w:val="0"/>
          <w:sz w:val="28"/>
          <w:szCs w:val="28"/>
          <w:highlight w:val="none"/>
        </w:rPr>
        <w:t>市土地出让收入需计提国有土地收益基金、农业土地开发资金、教育资金以及农田水利建设资金，上述各项资金计提比例暂按土地出让总价款的50%计提。经营期内土地出让收入预测情况如下表</w:t>
      </w:r>
      <w:r>
        <w:rPr>
          <w:rFonts w:hint="eastAsia" w:ascii="宋体" w:hAnsi="宋体" w:eastAsia="宋体" w:cs="宋体"/>
          <w:b w:val="0"/>
          <w:bCs w:val="0"/>
          <w:kern w:val="0"/>
          <w:sz w:val="28"/>
          <w:szCs w:val="28"/>
          <w:highlight w:val="none"/>
          <w:lang w:val="en-US" w:eastAsia="zh-CN"/>
        </w:rPr>
        <w:t>22</w:t>
      </w:r>
      <w:r>
        <w:rPr>
          <w:rFonts w:hint="eastAsia" w:ascii="宋体" w:hAnsi="宋体" w:eastAsia="宋体" w:cs="宋体"/>
          <w:b w:val="0"/>
          <w:bCs w:val="0"/>
          <w:kern w:val="0"/>
          <w:sz w:val="28"/>
          <w:szCs w:val="28"/>
          <w:highlight w:val="none"/>
        </w:rPr>
        <w:t>：</w:t>
      </w: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562" w:firstLineChars="200"/>
        <w:jc w:val="center"/>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表22 儋州工业园木棠片区生活配套区启动项目</w:t>
      </w:r>
    </w:p>
    <w:p>
      <w:pPr>
        <w:keepNext/>
        <w:keepLines w:val="0"/>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left="0" w:leftChars="0" w:firstLine="562" w:firstLineChars="200"/>
        <w:jc w:val="center"/>
        <w:textAlignment w:val="auto"/>
        <w:outlineLvl w:val="3"/>
        <w:rPr>
          <w:rFonts w:hint="eastAsia" w:ascii="宋体" w:hAnsi="宋体" w:eastAsia="宋体" w:cs="宋体"/>
          <w:b/>
          <w:bCs/>
          <w:sz w:val="28"/>
          <w:szCs w:val="28"/>
          <w:highlight w:val="none"/>
          <w:lang w:val="en-US" w:eastAsia="zh-CN" w:bidi="ar-SA"/>
        </w:rPr>
      </w:pPr>
      <w:r>
        <w:rPr>
          <w:rFonts w:hint="eastAsia" w:ascii="宋体" w:hAnsi="宋体" w:eastAsia="宋体" w:cs="宋体"/>
          <w:b/>
          <w:bCs/>
          <w:sz w:val="28"/>
          <w:szCs w:val="28"/>
          <w:highlight w:val="none"/>
          <w:lang w:val="en-US" w:eastAsia="zh-CN" w:bidi="ar-SA"/>
        </w:rPr>
        <w:t>土地出让收入预测表</w:t>
      </w:r>
    </w:p>
    <w:p>
      <w:pPr>
        <w:adjustRightInd/>
        <w:snapToGrid/>
        <w:spacing w:before="0" w:after="120" w:line="360" w:lineRule="auto"/>
        <w:ind w:firstLine="280" w:firstLineChars="100"/>
        <w:jc w:val="right"/>
        <w:rPr>
          <w:rFonts w:hint="eastAsia" w:ascii="宋体" w:hAnsi="宋体" w:eastAsia="宋体" w:cs="宋体"/>
          <w:b w:val="0"/>
          <w:bCs w:val="0"/>
          <w:sz w:val="28"/>
          <w:szCs w:val="28"/>
          <w:highlight w:val="none"/>
          <w:lang w:val="en-US" w:eastAsia="zh-CN" w:bidi="ar-SA"/>
        </w:rPr>
      </w:pPr>
      <w:r>
        <w:rPr>
          <w:rFonts w:hint="eastAsia" w:ascii="宋体" w:hAnsi="宋体" w:eastAsia="宋体" w:cs="宋体"/>
          <w:b w:val="0"/>
          <w:bCs w:val="0"/>
          <w:sz w:val="28"/>
          <w:szCs w:val="28"/>
          <w:highlight w:val="none"/>
          <w:lang w:val="en-US" w:eastAsia="zh-CN" w:bidi="ar-SA"/>
        </w:rPr>
        <w:t>单位：万元</w:t>
      </w:r>
    </w:p>
    <w:tbl>
      <w:tblPr>
        <w:tblStyle w:val="20"/>
        <w:tblW w:w="82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8"/>
        <w:gridCol w:w="1996"/>
        <w:gridCol w:w="1996"/>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blHeader/>
        </w:trPr>
        <w:tc>
          <w:tcPr>
            <w:tcW w:w="2308" w:type="dxa"/>
            <w:tcBorders>
              <w:top w:val="single" w:color="000000" w:sz="8" w:space="0"/>
              <w:left w:val="single" w:color="000000" w:sz="8" w:space="0"/>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运营期</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土地出让收入</w:t>
            </w:r>
          </w:p>
        </w:tc>
        <w:tc>
          <w:tcPr>
            <w:tcW w:w="1996"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政策性成本及基金扣除（50%）</w:t>
            </w:r>
          </w:p>
        </w:tc>
        <w:tc>
          <w:tcPr>
            <w:tcW w:w="1997" w:type="dxa"/>
            <w:tcBorders>
              <w:top w:val="single" w:color="000000" w:sz="8" w:space="0"/>
              <w:left w:val="nil"/>
              <w:bottom w:val="single" w:color="000000" w:sz="8" w:space="0"/>
              <w:right w:val="single" w:color="000000" w:sz="8" w:space="0"/>
            </w:tcBorders>
            <w:shd w:val="clear" w:color="auto" w:fill="CFCECE"/>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土地出让净收益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08"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2026年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2027年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2028年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2029年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2030年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2031年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2032年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2033年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2034年</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977.10</w:t>
            </w:r>
          </w:p>
        </w:tc>
        <w:tc>
          <w:tcPr>
            <w:tcW w:w="1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1"/>
                <w:szCs w:val="21"/>
                <w:u w:val="none"/>
                <w:lang w:val="en-US" w:eastAsia="zh-CN" w:bidi="ar"/>
              </w:rPr>
              <w:t>488.55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9,771.01</w:t>
            </w:r>
          </w:p>
        </w:tc>
        <w:tc>
          <w:tcPr>
            <w:tcW w:w="19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4,885.50</w:t>
            </w:r>
          </w:p>
        </w:tc>
        <w:tc>
          <w:tcPr>
            <w:tcW w:w="19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4,885.50</w:t>
            </w:r>
          </w:p>
        </w:tc>
      </w:tr>
    </w:tbl>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p>
    <w:p>
      <w:pPr>
        <w:widowControl/>
        <w:spacing w:after="0" w:line="360" w:lineRule="auto"/>
        <w:ind w:firstLine="562" w:firstLineChars="200"/>
        <w:jc w:val="lef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用于本次发行专项债券的项目偿债的土地出让情况见下表</w:t>
      </w:r>
      <w:r>
        <w:rPr>
          <w:rFonts w:hint="eastAsia" w:ascii="宋体" w:hAnsi="宋体" w:eastAsia="宋体" w:cs="宋体"/>
          <w:b/>
          <w:bCs/>
          <w:color w:val="auto"/>
          <w:kern w:val="0"/>
          <w:sz w:val="28"/>
          <w:szCs w:val="28"/>
          <w:highlight w:val="none"/>
          <w:lang w:val="en-US" w:eastAsia="zh-CN"/>
        </w:rPr>
        <w:t>23</w:t>
      </w:r>
      <w:r>
        <w:rPr>
          <w:rFonts w:hint="eastAsia" w:ascii="宋体" w:hAnsi="宋体" w:eastAsia="宋体" w:cs="宋体"/>
          <w:b/>
          <w:bCs/>
          <w:color w:val="auto"/>
          <w:kern w:val="0"/>
          <w:sz w:val="28"/>
          <w:szCs w:val="28"/>
          <w:highlight w:val="none"/>
        </w:rPr>
        <w:t>：</w:t>
      </w:r>
    </w:p>
    <w:tbl>
      <w:tblPr>
        <w:tblStyle w:val="20"/>
        <w:tblW w:w="10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29"/>
        <w:gridCol w:w="2179"/>
        <w:gridCol w:w="1323"/>
        <w:gridCol w:w="1263"/>
        <w:gridCol w:w="1100"/>
        <w:gridCol w:w="956"/>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blHeader/>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项目名称</w:t>
            </w:r>
          </w:p>
        </w:tc>
        <w:tc>
          <w:tcPr>
            <w:tcW w:w="2179"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地块位置</w:t>
            </w:r>
          </w:p>
        </w:tc>
        <w:tc>
          <w:tcPr>
            <w:tcW w:w="132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面积（亩)</w:t>
            </w:r>
          </w:p>
        </w:tc>
        <w:tc>
          <w:tcPr>
            <w:tcW w:w="1263"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预估地价（万元/亩）</w:t>
            </w:r>
          </w:p>
        </w:tc>
        <w:tc>
          <w:tcPr>
            <w:tcW w:w="110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土地性质</w:t>
            </w:r>
          </w:p>
        </w:tc>
        <w:tc>
          <w:tcPr>
            <w:tcW w:w="95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预计出让年限</w:t>
            </w:r>
          </w:p>
        </w:tc>
        <w:tc>
          <w:tcPr>
            <w:tcW w:w="1466"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pacing w:after="0" w:line="240" w:lineRule="auto"/>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预计出让收入（万元）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儋州工业园木棠片区生活配套区启动项目</w:t>
            </w:r>
          </w:p>
        </w:tc>
        <w:tc>
          <w:tcPr>
            <w:tcW w:w="2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儋州市木棠工业区B-e-20-（3）号</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33.514 </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line="240" w:lineRule="auto"/>
              <w:jc w:val="righ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291.55</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工业用地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default" w:ascii="宋体" w:hAnsi="宋体" w:eastAsia="宋体" w:cs="宋体"/>
                <w:i w:val="0"/>
                <w:iCs w:val="0"/>
                <w:color w:val="000000"/>
                <w:kern w:val="0"/>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right"/>
              <w:textAlignment w:val="center"/>
              <w:rPr>
                <w:rFonts w:hint="default"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9,771.01 </w:t>
            </w:r>
          </w:p>
        </w:tc>
      </w:tr>
    </w:tbl>
    <w:p>
      <w:pPr>
        <w:widowControl/>
        <w:spacing w:after="0"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b w:val="0"/>
          <w:bCs w:val="0"/>
          <w:kern w:val="0"/>
          <w:sz w:val="28"/>
          <w:szCs w:val="28"/>
          <w:highlight w:val="none"/>
        </w:rPr>
        <w:t>按照预估的土地出让单价、出让计划及成本费用，在项目存续期间有稳定的政府性基金收入及专项收入，可稳定覆盖债券存续期间各年利息及到期偿还本金的支出需求。</w:t>
      </w:r>
    </w:p>
    <w:p>
      <w:pPr>
        <w:spacing w:before="120" w:after="120" w:line="360" w:lineRule="auto"/>
        <w:ind w:firstLine="562" w:firstLineChars="200"/>
        <w:jc w:val="both"/>
        <w:outlineLvl w:val="2"/>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5、</w:t>
      </w:r>
      <w:r>
        <w:rPr>
          <w:rFonts w:hint="eastAsia" w:ascii="宋体" w:hAnsi="宋体" w:eastAsia="宋体" w:cs="宋体"/>
          <w:b/>
          <w:color w:val="000000"/>
          <w:sz w:val="28"/>
          <w:szCs w:val="28"/>
        </w:rPr>
        <w:t>小结</w:t>
      </w:r>
      <w:bookmarkEnd w:id="168"/>
      <w:bookmarkEnd w:id="169"/>
    </w:p>
    <w:p>
      <w:pPr>
        <w:widowControl/>
        <w:spacing w:after="0" w:line="360" w:lineRule="auto"/>
        <w:ind w:left="0" w:leftChars="0" w:firstLine="560" w:firstLineChars="200"/>
        <w:jc w:val="left"/>
        <w:outlineLvl w:val="9"/>
        <w:rPr>
          <w:rFonts w:hint="eastAsia" w:ascii="宋体" w:hAnsi="宋体" w:eastAsia="宋体" w:cs="宋体"/>
          <w:b w:val="0"/>
          <w:bCs w:val="0"/>
          <w:kern w:val="0"/>
          <w:sz w:val="28"/>
          <w:szCs w:val="28"/>
          <w:highlight w:val="none"/>
          <w:lang w:eastAsia="zh-CN"/>
        </w:rPr>
      </w:pPr>
      <w:bookmarkStart w:id="170" w:name="_Toc26416"/>
      <w:r>
        <w:rPr>
          <w:rFonts w:hint="eastAsia" w:ascii="宋体" w:hAnsi="宋体" w:eastAsia="宋体" w:cs="宋体"/>
          <w:b w:val="0"/>
          <w:bCs w:val="0"/>
          <w:kern w:val="0"/>
          <w:sz w:val="28"/>
          <w:szCs w:val="28"/>
          <w:highlight w:val="none"/>
        </w:rPr>
        <w:t>综上，在本期专项债券存续期内，未注意到相关项目资金出现不能满足还本付息要求的情况</w:t>
      </w:r>
      <w:r>
        <w:rPr>
          <w:rFonts w:hint="eastAsia" w:ascii="宋体" w:hAnsi="宋体" w:eastAsia="宋体" w:cs="宋体"/>
          <w:b w:val="0"/>
          <w:bCs w:val="0"/>
          <w:kern w:val="0"/>
          <w:sz w:val="28"/>
          <w:szCs w:val="28"/>
          <w:highlight w:val="none"/>
          <w:lang w:eastAsia="zh-CN"/>
        </w:rPr>
        <w:t>。</w:t>
      </w:r>
    </w:p>
    <w:p>
      <w:pPr>
        <w:pStyle w:val="2"/>
        <w:bidi w:val="0"/>
        <w:spacing w:line="360" w:lineRule="auto"/>
        <w:rPr>
          <w:rFonts w:hint="eastAsia" w:ascii="宋体" w:hAnsi="宋体" w:eastAsia="宋体" w:cs="宋体"/>
          <w:sz w:val="28"/>
          <w:szCs w:val="28"/>
          <w:lang w:val="en-GB"/>
        </w:rPr>
      </w:pPr>
      <w:r>
        <w:rPr>
          <w:rFonts w:hint="eastAsia" w:ascii="宋体" w:hAnsi="宋体" w:eastAsia="宋体" w:cs="宋体"/>
          <w:sz w:val="28"/>
          <w:szCs w:val="28"/>
          <w:lang w:val="en-GB" w:eastAsia="zh-CN"/>
        </w:rPr>
        <w:t>（二）</w:t>
      </w:r>
      <w:r>
        <w:rPr>
          <w:rFonts w:hint="eastAsia" w:ascii="宋体" w:hAnsi="宋体" w:eastAsia="宋体" w:cs="宋体"/>
          <w:sz w:val="28"/>
          <w:szCs w:val="28"/>
          <w:lang w:val="en-GB"/>
        </w:rPr>
        <w:t>资金稳定性</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70"/>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在项目存续期间有稳定的政府性基金收入及专项收入，可稳定覆盖债券存续期间各年利息及到期偿还本金的支出需求。因此，本项目资金稳定性较可靠。项目债券存续期内资金留存情况如下图1所示。</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5275580" cy="2503805"/>
            <wp:effectExtent l="4445" t="4445" r="15875" b="635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adjustRightInd/>
        <w:snapToGrid/>
        <w:spacing w:before="0" w:after="120" w:line="360" w:lineRule="auto"/>
        <w:ind w:firstLine="280" w:firstLineChars="100"/>
        <w:jc w:val="both"/>
        <w:rPr>
          <w:rFonts w:hint="eastAsia" w:ascii="宋体" w:hAnsi="宋体" w:eastAsia="宋体" w:cs="宋体"/>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5227320" cy="1767205"/>
            <wp:effectExtent l="4445" t="4445" r="6985" b="19050"/>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djustRightInd/>
        <w:snapToGrid/>
        <w:spacing w:before="0" w:after="120" w:line="360" w:lineRule="auto"/>
        <w:ind w:firstLine="280" w:firstLineChars="100"/>
        <w:jc w:val="both"/>
        <w:rPr>
          <w:rFonts w:hint="eastAsia" w:ascii="宋体" w:hAnsi="宋体" w:eastAsia="宋体" w:cs="宋体"/>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5198745" cy="2036445"/>
            <wp:effectExtent l="4445" t="4445" r="16510" b="1651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adjustRightInd/>
        <w:snapToGrid/>
        <w:spacing w:before="0" w:after="120" w:line="360" w:lineRule="auto"/>
        <w:ind w:left="0" w:leftChars="0" w:firstLine="0" w:firstLineChars="0"/>
        <w:jc w:val="both"/>
        <w:rPr>
          <w:rFonts w:hint="eastAsia" w:ascii="宋体" w:hAnsi="宋体" w:eastAsia="宋体" w:cs="宋体"/>
          <w:sz w:val="28"/>
          <w:szCs w:val="28"/>
          <w:lang w:val="en-US" w:eastAsia="zh-CN" w:bidi="ar-SA"/>
        </w:rPr>
      </w:pPr>
    </w:p>
    <w:p>
      <w:pPr>
        <w:spacing w:line="360" w:lineRule="auto"/>
        <w:ind w:left="0" w:leftChars="0" w:firstLine="0" w:firstLineChars="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drawing>
          <wp:inline distT="0" distB="0" distL="114300" distR="114300">
            <wp:extent cx="5343525" cy="2997835"/>
            <wp:effectExtent l="4445" t="4445" r="5080" b="7620"/>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djustRightInd/>
        <w:snapToGrid/>
        <w:spacing w:before="0" w:after="120" w:line="360" w:lineRule="auto"/>
        <w:ind w:firstLine="280" w:firstLineChars="100"/>
        <w:jc w:val="both"/>
        <w:rPr>
          <w:rFonts w:hint="eastAsia" w:ascii="宋体" w:hAnsi="宋体" w:eastAsia="宋体" w:cs="宋体"/>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5325110" cy="1942465"/>
            <wp:effectExtent l="4445" t="4445" r="23495" b="1524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adjustRightInd/>
        <w:snapToGrid/>
        <w:spacing w:before="0" w:after="120" w:line="360" w:lineRule="auto"/>
        <w:ind w:firstLine="280" w:firstLineChars="100"/>
        <w:jc w:val="both"/>
        <w:rPr>
          <w:rFonts w:hint="eastAsia" w:ascii="宋体" w:hAnsi="宋体" w:eastAsia="宋体" w:cs="宋体"/>
          <w:sz w:val="28"/>
          <w:szCs w:val="28"/>
          <w:lang w:val="en-US" w:eastAsia="zh-CN" w:bidi="ar-SA"/>
        </w:rPr>
      </w:pPr>
    </w:p>
    <w:p>
      <w:pPr>
        <w:adjustRightInd/>
        <w:snapToGrid/>
        <w:spacing w:before="0" w:after="120" w:line="360" w:lineRule="auto"/>
        <w:ind w:left="0" w:leftChars="0" w:firstLine="0" w:firstLineChars="0"/>
        <w:jc w:val="both"/>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drawing>
          <wp:inline distT="0" distB="0" distL="114300" distR="114300">
            <wp:extent cx="5324475" cy="2267585"/>
            <wp:effectExtent l="4445" t="4445" r="5080" b="13970"/>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drawing>
          <wp:inline distT="0" distB="0" distL="114300" distR="114300">
            <wp:extent cx="5309870" cy="3178175"/>
            <wp:effectExtent l="4445" t="4445" r="19685" b="1778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adjustRightInd/>
        <w:snapToGrid/>
        <w:spacing w:before="0" w:after="120" w:line="360" w:lineRule="auto"/>
        <w:ind w:firstLine="280" w:firstLineChars="100"/>
        <w:jc w:val="both"/>
        <w:rPr>
          <w:rFonts w:hint="eastAsia" w:ascii="宋体" w:hAnsi="宋体" w:eastAsia="宋体" w:cs="宋体"/>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kern w:val="0"/>
          <w:sz w:val="28"/>
          <w:szCs w:val="28"/>
          <w:highlight w:val="none"/>
          <w:lang w:val="en-US" w:eastAsia="zh-CN"/>
        </w:rPr>
      </w:pPr>
      <w:r>
        <w:rPr>
          <w:rFonts w:hint="eastAsia" w:ascii="宋体" w:hAnsi="宋体" w:eastAsia="宋体" w:cs="宋体"/>
          <w:kern w:val="0"/>
          <w:sz w:val="28"/>
          <w:szCs w:val="28"/>
        </w:rPr>
        <w:drawing>
          <wp:inline distT="0" distB="0" distL="114300" distR="114300">
            <wp:extent cx="5300980" cy="3079750"/>
            <wp:effectExtent l="4445" t="4445" r="9525" b="2095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综上，针对本项目在本期专项债券存续期内还本付息资金的测算，我们未注意到可能对本项目资金稳定性产生重大影响的情况。</w:t>
      </w:r>
    </w:p>
    <w:p>
      <w:pPr>
        <w:pStyle w:val="4"/>
        <w:numPr>
          <w:ilvl w:val="0"/>
          <w:numId w:val="0"/>
        </w:numPr>
        <w:bidi w:val="0"/>
        <w:spacing w:line="360" w:lineRule="auto"/>
        <w:ind w:leftChars="0" w:firstLine="562" w:firstLineChars="200"/>
        <w:rPr>
          <w:rFonts w:hint="eastAsia" w:ascii="宋体" w:hAnsi="宋体" w:eastAsia="宋体" w:cs="宋体"/>
          <w:sz w:val="28"/>
          <w:szCs w:val="28"/>
          <w:lang w:val="en-GB"/>
        </w:rPr>
      </w:pPr>
      <w:bookmarkStart w:id="171" w:name="_Toc24782"/>
      <w:bookmarkStart w:id="172" w:name="_Toc30594"/>
      <w:bookmarkStart w:id="173" w:name="_Toc1397"/>
      <w:bookmarkStart w:id="174" w:name="_Toc11129"/>
      <w:bookmarkStart w:id="175" w:name="_Toc6990"/>
      <w:bookmarkStart w:id="176" w:name="_Toc28442"/>
      <w:bookmarkStart w:id="177" w:name="_Toc31597"/>
      <w:bookmarkStart w:id="178" w:name="_Toc27303"/>
      <w:bookmarkStart w:id="179" w:name="_Toc32197"/>
      <w:bookmarkStart w:id="180" w:name="_Toc28793"/>
      <w:bookmarkStart w:id="181" w:name="_Toc31356"/>
      <w:bookmarkStart w:id="182" w:name="_Toc8725"/>
      <w:bookmarkStart w:id="183" w:name="_Toc26272"/>
      <w:bookmarkStart w:id="184" w:name="_Toc22787"/>
      <w:bookmarkStart w:id="185" w:name="_Toc3875"/>
      <w:bookmarkStart w:id="186" w:name="_Toc10038"/>
      <w:bookmarkStart w:id="187" w:name="_Toc5463"/>
      <w:bookmarkStart w:id="188" w:name="_Toc13468"/>
      <w:bookmarkStart w:id="189" w:name="_Toc31879"/>
      <w:bookmarkStart w:id="190" w:name="_Toc25284"/>
      <w:bookmarkStart w:id="191" w:name="_Toc27839"/>
      <w:bookmarkStart w:id="192" w:name="_Toc17704"/>
      <w:bookmarkStart w:id="193" w:name="_Toc8175"/>
      <w:bookmarkStart w:id="194" w:name="_Toc13266"/>
      <w:bookmarkStart w:id="195" w:name="_Toc3399"/>
      <w:bookmarkStart w:id="196" w:name="_Toc14380"/>
      <w:bookmarkStart w:id="197" w:name="_Toc7132"/>
      <w:r>
        <w:rPr>
          <w:rFonts w:hint="eastAsia" w:ascii="宋体" w:hAnsi="宋体" w:eastAsia="宋体" w:cs="宋体"/>
          <w:sz w:val="28"/>
          <w:szCs w:val="28"/>
          <w:lang w:eastAsia="zh-CN"/>
        </w:rPr>
        <w:t>五、</w:t>
      </w:r>
      <w:r>
        <w:rPr>
          <w:rFonts w:hint="eastAsia" w:ascii="宋体" w:hAnsi="宋体" w:eastAsia="宋体" w:cs="宋体"/>
          <w:sz w:val="28"/>
          <w:szCs w:val="28"/>
        </w:rPr>
        <w:t>压力测试情况分析</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left"/>
        <w:textAlignment w:val="auto"/>
        <w:rPr>
          <w:rFonts w:hint="eastAsia" w:ascii="宋体" w:hAnsi="宋体" w:eastAsia="宋体" w:cs="宋体"/>
          <w:kern w:val="0"/>
          <w:sz w:val="28"/>
          <w:szCs w:val="28"/>
          <w:highlight w:val="none"/>
          <w:lang w:val="en-US" w:eastAsia="zh-CN"/>
        </w:rPr>
      </w:pPr>
      <w:bookmarkStart w:id="198" w:name="_Toc6310"/>
      <w:bookmarkStart w:id="199" w:name="_Toc10593"/>
      <w:bookmarkStart w:id="200" w:name="_Toc16214"/>
      <w:bookmarkStart w:id="201" w:name="_Toc12609"/>
      <w:bookmarkStart w:id="202" w:name="_Toc2948"/>
      <w:bookmarkStart w:id="203" w:name="_Toc24320"/>
      <w:bookmarkStart w:id="204" w:name="_Toc31758"/>
      <w:bookmarkStart w:id="205" w:name="_Toc8717"/>
      <w:bookmarkStart w:id="206" w:name="_Toc30140"/>
      <w:bookmarkStart w:id="207" w:name="_Toc8515"/>
      <w:bookmarkStart w:id="208" w:name="_Toc7438"/>
      <w:bookmarkStart w:id="209" w:name="_Toc7164"/>
      <w:bookmarkStart w:id="210" w:name="_Toc31372"/>
      <w:bookmarkStart w:id="211" w:name="_Toc31128"/>
      <w:bookmarkStart w:id="212" w:name="_Toc11437"/>
      <w:bookmarkStart w:id="213" w:name="_Toc12037"/>
      <w:bookmarkStart w:id="214" w:name="_Toc31231"/>
      <w:bookmarkStart w:id="215" w:name="_Toc12434"/>
      <w:bookmarkStart w:id="216" w:name="_Toc29632"/>
      <w:bookmarkStart w:id="217" w:name="_Toc22603"/>
      <w:bookmarkStart w:id="218" w:name="_Toc8590"/>
      <w:bookmarkStart w:id="219" w:name="_Toc463"/>
      <w:bookmarkStart w:id="220" w:name="_Toc9320"/>
      <w:bookmarkStart w:id="221" w:name="_Toc16503"/>
      <w:bookmarkStart w:id="222" w:name="_Toc3570"/>
      <w:bookmarkStart w:id="223" w:name="_Toc27760"/>
      <w:bookmarkStart w:id="224" w:name="_Toc20437"/>
      <w:r>
        <w:rPr>
          <w:rFonts w:hint="eastAsia" w:ascii="宋体" w:hAnsi="宋体" w:eastAsia="宋体" w:cs="宋体"/>
          <w:kern w:val="0"/>
          <w:sz w:val="28"/>
          <w:szCs w:val="28"/>
          <w:highlight w:val="none"/>
          <w:lang w:val="en-US" w:eastAsia="zh-CN"/>
        </w:rPr>
        <w:t>根据本项目收益与融资平衡的压力测试结果，当项目的运营收入在±10%范围内变动的情况下，项目的债券本息覆盖率平均＞1；当利率在±10%范围内变动的情况下，项目的债券本息覆盖率平均＞1。因此，本项目的项目收益对债券还本付息保障性较高，项目可通过压力测试，还本付息资金具有一定的稳定性与风险抵抗能力。项目的压力测试情况详见下表24：</w:t>
      </w:r>
    </w:p>
    <w:p>
      <w:pP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br w:type="page"/>
      </w: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default"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表24-1   儋州工业园王五园区道路建设工程（二期）压力测试表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r>
    </w:tbl>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eastAsia" w:ascii="宋体" w:hAnsi="宋体" w:eastAsia="宋体" w:cs="宋体"/>
          <w:b/>
          <w:bCs/>
          <w:color w:val="0000FF"/>
          <w:sz w:val="28"/>
          <w:szCs w:val="28"/>
          <w:highlight w:val="none"/>
          <w:lang w:val="en-US" w:eastAsia="zh-CN" w:bidi="ar-SA"/>
        </w:rPr>
      </w:pP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default"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表24-2  儋州工业园王五片区道路建设工程（三期）压力测试表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1.16</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1.26</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kern w:val="0"/>
          <w:sz w:val="28"/>
          <w:szCs w:val="28"/>
          <w:highlight w:val="none"/>
          <w:lang w:val="en-US" w:eastAsia="zh-CN"/>
        </w:rPr>
      </w:pPr>
    </w:p>
    <w:p>
      <w:pP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br w:type="page"/>
      </w: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default"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表24-3  省道S308美洋线那大至洋浦互通段公路改建工程（只含主线）压力测试表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1.09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1.21</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1.18</w:t>
            </w:r>
          </w:p>
        </w:tc>
      </w:tr>
    </w:tbl>
    <w:p>
      <w:pPr>
        <w:adjustRightInd/>
        <w:snapToGrid/>
        <w:spacing w:before="0" w:after="120" w:line="240" w:lineRule="auto"/>
        <w:ind w:firstLine="240" w:firstLineChars="100"/>
        <w:jc w:val="both"/>
        <w:rPr>
          <w:rFonts w:hint="eastAsia" w:ascii="Calibri" w:hAnsi="Calibri" w:eastAsia="宋体" w:cs="Times New Roman"/>
          <w:sz w:val="24"/>
          <w:szCs w:val="20"/>
          <w:lang w:val="en-US" w:eastAsia="zh-CN" w:bidi="ar-SA"/>
        </w:rPr>
      </w:pP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default"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表24-4 省道S315王五工业园区至白马井段市政化改建工程压力测试表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1.08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1.35</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1.34</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1.19</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1.17</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kern w:val="0"/>
          <w:sz w:val="28"/>
          <w:szCs w:val="28"/>
          <w:highlight w:val="none"/>
          <w:lang w:val="en-US" w:eastAsia="zh-CN"/>
        </w:rPr>
      </w:pPr>
    </w:p>
    <w:p>
      <w:pP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br w:type="page"/>
      </w: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表24-5 儋州工业园木棠片区供电迁移工程压力测试表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r>
    </w:tbl>
    <w:p>
      <w:pPr>
        <w:adjustRightInd/>
        <w:snapToGrid/>
        <w:spacing w:before="0" w:after="120" w:line="240" w:lineRule="auto"/>
        <w:ind w:firstLine="240" w:firstLineChars="100"/>
        <w:jc w:val="both"/>
        <w:rPr>
          <w:rFonts w:hint="eastAsia" w:ascii="Calibri" w:hAnsi="Calibri" w:eastAsia="宋体" w:cs="Times New Roman"/>
          <w:sz w:val="24"/>
          <w:szCs w:val="20"/>
          <w:lang w:val="en-US" w:eastAsia="zh-CN" w:bidi="ar-SA"/>
        </w:rPr>
      </w:pP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表24-6 儋州工业园王五片区供电迁移工程压力测试表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1.82</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1.94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2.06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2.18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1.61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1.61</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2.09</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2.06</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2.04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1.82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1.79</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1.75</w:t>
            </w:r>
          </w:p>
        </w:tc>
      </w:tr>
    </w:tbl>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eastAsia" w:ascii="宋体" w:hAnsi="宋体" w:eastAsia="宋体" w:cs="宋体"/>
          <w:b/>
          <w:bCs/>
          <w:color w:val="0000FF"/>
          <w:sz w:val="28"/>
          <w:szCs w:val="28"/>
          <w:highlight w:val="none"/>
          <w:lang w:val="en-US" w:eastAsia="zh-CN" w:bidi="ar-SA"/>
        </w:rPr>
      </w:pPr>
    </w:p>
    <w:p>
      <w:pP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br w:type="page"/>
      </w: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表24-7 儋州工业园王五片区一期标准厂房项目压力测试表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before="0" w:after="0" w:line="360" w:lineRule="auto"/>
        <w:ind w:left="0" w:leftChars="0" w:firstLine="0" w:firstLineChars="0"/>
        <w:jc w:val="center"/>
        <w:rPr>
          <w:rFonts w:hint="eastAsia" w:ascii="宋体" w:hAnsi="宋体" w:eastAsia="宋体" w:cs="宋体"/>
          <w:b/>
          <w:bCs/>
          <w:sz w:val="22"/>
          <w:szCs w:val="22"/>
          <w:highlight w:val="none"/>
          <w:lang w:val="en-US" w:eastAsia="zh-CN" w:bidi="ar-SA"/>
        </w:rPr>
      </w:pPr>
      <w:r>
        <w:rPr>
          <w:rFonts w:hint="eastAsia" w:ascii="宋体" w:hAnsi="宋体" w:eastAsia="宋体" w:cs="宋体"/>
          <w:b/>
          <w:bCs/>
          <w:sz w:val="22"/>
          <w:szCs w:val="22"/>
          <w:highlight w:val="none"/>
          <w:lang w:val="en-US" w:eastAsia="zh-CN" w:bidi="ar-SA"/>
        </w:rPr>
        <w:t>表24-8 儋州工业园木棠片区生活配套区启动项目压力测试表</w:t>
      </w:r>
    </w:p>
    <w:tbl>
      <w:tblPr>
        <w:tblStyle w:val="20"/>
        <w:tblW w:w="82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6"/>
        <w:gridCol w:w="1293"/>
        <w:gridCol w:w="1124"/>
        <w:gridCol w:w="1005"/>
        <w:gridCol w:w="1220"/>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blHeader/>
        </w:trPr>
        <w:tc>
          <w:tcPr>
            <w:tcW w:w="2596"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资金覆盖率 - 压力测试（单因素敏感性分析）</w:t>
            </w:r>
          </w:p>
        </w:tc>
        <w:tc>
          <w:tcPr>
            <w:tcW w:w="129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11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10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收入变动情况敏感性分析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1.17</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1.14</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82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0" w:line="240" w:lineRule="auto"/>
              <w:jc w:val="left"/>
              <w:rPr>
                <w:rFonts w:hint="eastAsia" w:ascii="宋体" w:hAnsi="宋体" w:eastAsia="宋体" w:cs="宋体"/>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债券利率变动情况敏感性分析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债券本金资金覆盖率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1.40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债券本息资金覆盖率</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left"/>
              <w:textAlignment w:val="center"/>
              <w:rPr>
                <w:rFonts w:hint="eastAsia" w:ascii="宋体" w:hAnsi="宋体" w:eastAsia="宋体" w:cs="宋体"/>
                <w:b/>
                <w:bCs/>
                <w:i w:val="0"/>
                <w:iCs w:val="0"/>
                <w:color w:val="000000"/>
                <w:kern w:val="0"/>
                <w:sz w:val="21"/>
                <w:szCs w:val="21"/>
                <w:u w:val="none"/>
              </w:rPr>
            </w:pPr>
            <w:r>
              <w:rPr>
                <w:rFonts w:hint="eastAsia" w:ascii="宋体" w:hAnsi="宋体" w:eastAsia="宋体" w:cs="宋体"/>
                <w:b/>
                <w:bCs/>
                <w:i w:val="0"/>
                <w:iCs w:val="0"/>
                <w:color w:val="000000"/>
                <w:kern w:val="0"/>
                <w:sz w:val="21"/>
                <w:szCs w:val="21"/>
                <w:u w:val="none"/>
                <w:lang w:val="en-US" w:eastAsia="zh-CN" w:bidi="ar"/>
              </w:rPr>
              <w:t>债券本息资金覆盖倍数</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1.30</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1.27</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21"/>
                <w:szCs w:val="21"/>
                <w:u w:val="none"/>
              </w:rPr>
            </w:pPr>
            <w:r>
              <w:rPr>
                <w:rFonts w:hint="eastAsia" w:ascii="宋体" w:hAnsi="宋体" w:eastAsia="宋体" w:cs="宋体"/>
                <w:i w:val="0"/>
                <w:iCs w:val="0"/>
                <w:color w:val="000000"/>
                <w:kern w:val="0"/>
                <w:sz w:val="22"/>
                <w:szCs w:val="22"/>
                <w:u w:val="none"/>
                <w:lang w:val="en-US" w:eastAsia="zh-CN" w:bidi="ar"/>
              </w:rPr>
              <w:t>1.24</w:t>
            </w:r>
          </w:p>
        </w:tc>
      </w:tr>
    </w:tbl>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宋体" w:hAnsi="宋体" w:eastAsia="宋体" w:cs="宋体"/>
          <w:kern w:val="0"/>
          <w:sz w:val="28"/>
          <w:szCs w:val="28"/>
          <w:highlight w:val="yellow"/>
          <w:lang w:val="en-US" w:eastAsia="zh-CN"/>
        </w:rPr>
      </w:pPr>
      <w:r>
        <w:rPr>
          <w:rFonts w:hint="eastAsia" w:ascii="宋体" w:hAnsi="宋体" w:eastAsia="宋体" w:cs="宋体"/>
          <w:kern w:val="0"/>
          <w:sz w:val="28"/>
          <w:szCs w:val="28"/>
          <w:highlight w:val="none"/>
          <w:lang w:val="en-US" w:eastAsia="zh-CN"/>
        </w:rPr>
        <w:t>总体而言，本项目产生收益对其拟使用的募集资金保障程度较高。同时，因2022年儋州市基础设施专项债券（四期）还本付息资金主要来源于厂房租金收入、商品房出售收入、商铺租售收入、停车费收入以及土地出让收入等，建议进一步关注项目施工进度、项目选点的变化、政府定价风险、宏观经济以及利率等影响项目收益情况的风险要素。如项目假设条件发生变化，而导致不能偿还到期债券本金，本项目可在专项债务限额内以及满足资金覆盖率要求的情况下发行2022年儋州市基础设施专项债券（四期）用于周转偿还，进而在项目收入最终实现后予以归还，或者通过追加自筹资金等方式来满足还本付息要求。</w:t>
      </w:r>
    </w:p>
    <w:p>
      <w:pPr>
        <w:numPr>
          <w:ilvl w:val="0"/>
          <w:numId w:val="0"/>
        </w:numPr>
        <w:spacing w:line="360" w:lineRule="auto"/>
        <w:ind w:firstLine="562" w:firstLineChars="200"/>
        <w:jc w:val="left"/>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六</w:t>
      </w:r>
      <w:r>
        <w:rPr>
          <w:rFonts w:hint="eastAsia" w:ascii="宋体" w:hAnsi="宋体" w:eastAsia="宋体" w:cs="宋体"/>
          <w:b/>
          <w:bCs/>
          <w:color w:val="000000"/>
          <w:kern w:val="0"/>
          <w:sz w:val="28"/>
          <w:szCs w:val="28"/>
        </w:rPr>
        <w:t>、风险评估</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pStyle w:val="2"/>
        <w:bidi w:val="0"/>
        <w:spacing w:line="360" w:lineRule="auto"/>
        <w:rPr>
          <w:rFonts w:hint="eastAsia" w:ascii="宋体" w:hAnsi="宋体" w:eastAsia="宋体" w:cs="宋体"/>
          <w:sz w:val="28"/>
          <w:szCs w:val="28"/>
        </w:rPr>
      </w:pPr>
      <w:bookmarkStart w:id="225" w:name="_Toc498385763"/>
      <w:bookmarkStart w:id="226" w:name="_Toc17822"/>
      <w:bookmarkStart w:id="227" w:name="_Toc20908"/>
      <w:bookmarkStart w:id="228" w:name="_Toc498385095"/>
      <w:bookmarkStart w:id="229" w:name="_Toc498551274"/>
      <w:r>
        <w:rPr>
          <w:rFonts w:hint="eastAsia" w:ascii="宋体" w:hAnsi="宋体" w:eastAsia="宋体" w:cs="宋体"/>
          <w:sz w:val="28"/>
          <w:szCs w:val="28"/>
        </w:rPr>
        <w:t>（一）影响项目施工进度或正常运营的风险及控制措施</w:t>
      </w:r>
      <w:bookmarkEnd w:id="225"/>
      <w:bookmarkEnd w:id="226"/>
      <w:bookmarkEnd w:id="227"/>
      <w:bookmarkEnd w:id="228"/>
      <w:bookmarkEnd w:id="229"/>
    </w:p>
    <w:p>
      <w:pPr>
        <w:spacing w:after="0" w:line="360" w:lineRule="auto"/>
        <w:ind w:firstLine="560" w:firstLineChars="200"/>
        <w:rPr>
          <w:rFonts w:hint="eastAsia" w:ascii="宋体" w:hAnsi="宋体" w:eastAsia="宋体" w:cs="宋体"/>
          <w:sz w:val="28"/>
          <w:szCs w:val="28"/>
        </w:rPr>
      </w:pPr>
      <w:bookmarkStart w:id="230" w:name="_Toc498551275"/>
      <w:bookmarkStart w:id="231" w:name="_Toc498385096"/>
      <w:bookmarkStart w:id="232" w:name="_Toc498385764"/>
      <w:bookmarkStart w:id="233" w:name="_Toc23168"/>
      <w:r>
        <w:rPr>
          <w:rFonts w:hint="eastAsia" w:ascii="宋体" w:hAnsi="宋体" w:eastAsia="宋体" w:cs="宋体"/>
          <w:sz w:val="28"/>
          <w:szCs w:val="28"/>
        </w:rPr>
        <w:t>1</w:t>
      </w:r>
      <w:bookmarkEnd w:id="230"/>
      <w:bookmarkEnd w:id="231"/>
      <w:bookmarkEnd w:id="232"/>
      <w:r>
        <w:rPr>
          <w:rFonts w:hint="eastAsia" w:ascii="宋体" w:hAnsi="宋体" w:eastAsia="宋体" w:cs="宋体"/>
          <w:sz w:val="28"/>
          <w:szCs w:val="28"/>
        </w:rPr>
        <w:t>、政策风险</w:t>
      </w:r>
      <w:bookmarkEnd w:id="233"/>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包括政治变动、国家法规、产业政策、货币政策、财政政策等国家政策的变化对承办单位投资的相关产业产生影响，可能导致所投资项目的市场变动，从而影响项目建设。本项目为公益性</w:t>
      </w:r>
      <w:r>
        <w:rPr>
          <w:rFonts w:hint="eastAsia" w:ascii="宋体" w:hAnsi="宋体" w:eastAsia="宋体" w:cs="宋体"/>
          <w:color w:val="000000"/>
          <w:kern w:val="0"/>
          <w:sz w:val="28"/>
          <w:szCs w:val="28"/>
          <w:lang w:eastAsia="zh-CN"/>
        </w:rPr>
        <w:t>基础</w:t>
      </w:r>
      <w:r>
        <w:rPr>
          <w:rFonts w:hint="eastAsia" w:ascii="宋体" w:hAnsi="宋体" w:eastAsia="宋体" w:cs="宋体"/>
          <w:color w:val="000000"/>
          <w:kern w:val="0"/>
          <w:sz w:val="28"/>
          <w:szCs w:val="28"/>
        </w:rPr>
        <w:t>项目，面临的政策性风险较小。</w:t>
      </w:r>
    </w:p>
    <w:p>
      <w:pPr>
        <w:spacing w:after="0" w:line="360" w:lineRule="auto"/>
        <w:ind w:firstLine="560" w:firstLineChars="200"/>
        <w:rPr>
          <w:rFonts w:hint="eastAsia" w:ascii="宋体" w:hAnsi="宋体" w:eastAsia="宋体" w:cs="宋体"/>
          <w:sz w:val="28"/>
          <w:szCs w:val="28"/>
        </w:rPr>
      </w:pPr>
      <w:bookmarkStart w:id="234" w:name="_Toc498551276"/>
      <w:bookmarkStart w:id="235" w:name="_Toc498385765"/>
      <w:bookmarkStart w:id="236" w:name="_Toc498385097"/>
      <w:bookmarkStart w:id="237" w:name="_Toc26505"/>
      <w:r>
        <w:rPr>
          <w:rFonts w:hint="eastAsia" w:ascii="宋体" w:hAnsi="宋体" w:eastAsia="宋体" w:cs="宋体"/>
          <w:sz w:val="28"/>
          <w:szCs w:val="28"/>
        </w:rPr>
        <w:t>2</w:t>
      </w:r>
      <w:bookmarkEnd w:id="234"/>
      <w:bookmarkEnd w:id="235"/>
      <w:bookmarkEnd w:id="236"/>
      <w:r>
        <w:rPr>
          <w:rFonts w:hint="eastAsia" w:ascii="宋体" w:hAnsi="宋体" w:eastAsia="宋体" w:cs="宋体"/>
          <w:sz w:val="28"/>
          <w:szCs w:val="28"/>
        </w:rPr>
        <w:t>、项目实施与管理风险</w:t>
      </w:r>
      <w:bookmarkEnd w:id="237"/>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项目建设期间严格执行文明施工标准，确保项目对民众生活的影响降至最低。</w:t>
      </w:r>
    </w:p>
    <w:p>
      <w:pPr>
        <w:spacing w:after="0" w:line="360" w:lineRule="auto"/>
        <w:ind w:firstLine="560" w:firstLineChars="200"/>
        <w:rPr>
          <w:rFonts w:hint="eastAsia" w:ascii="宋体" w:hAnsi="宋体" w:eastAsia="宋体" w:cs="宋体"/>
          <w:sz w:val="28"/>
          <w:szCs w:val="28"/>
        </w:rPr>
      </w:pPr>
      <w:bookmarkStart w:id="238" w:name="_Toc22995"/>
      <w:r>
        <w:rPr>
          <w:rFonts w:hint="eastAsia" w:ascii="宋体" w:hAnsi="宋体" w:eastAsia="宋体" w:cs="宋体"/>
          <w:sz w:val="28"/>
          <w:szCs w:val="28"/>
        </w:rPr>
        <w:t>3、财务风险</w:t>
      </w:r>
      <w:bookmarkEnd w:id="238"/>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总投资规模较大，可能会形成由于资金落实不到位，使项目工期延长，无法按时完成项目建设的风险。项目资金来源拟通过财政拨款、申请发行债券解决，在债券资金的支撑下，项目的实施将会顺利进行，因此，项目面临的财务风险较小。</w:t>
      </w:r>
    </w:p>
    <w:p>
      <w:pPr>
        <w:spacing w:after="0" w:line="360" w:lineRule="auto"/>
        <w:ind w:firstLine="560" w:firstLineChars="200"/>
        <w:rPr>
          <w:rFonts w:hint="eastAsia" w:ascii="宋体" w:hAnsi="宋体" w:eastAsia="宋体" w:cs="宋体"/>
          <w:sz w:val="28"/>
          <w:szCs w:val="28"/>
        </w:rPr>
      </w:pPr>
      <w:bookmarkStart w:id="239" w:name="_Toc18164"/>
      <w:r>
        <w:rPr>
          <w:rFonts w:hint="eastAsia" w:ascii="宋体" w:hAnsi="宋体" w:eastAsia="宋体" w:cs="宋体"/>
          <w:sz w:val="28"/>
          <w:szCs w:val="28"/>
        </w:rPr>
        <w:t>4.社会风险</w:t>
      </w:r>
      <w:bookmarkEnd w:id="239"/>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项目带来的众多外来人员、大量施工机械、不可避免的施工噪声等，在项目实施期间可能会对附近居民正常生活造成困扰，引起居民的抵制情绪，干扰项目的正常进度，处理不当可能导致项目工期无限期延长的风险。</w:t>
      </w:r>
    </w:p>
    <w:p>
      <w:pPr>
        <w:pStyle w:val="2"/>
        <w:bidi w:val="0"/>
        <w:spacing w:line="360" w:lineRule="auto"/>
        <w:rPr>
          <w:rFonts w:hint="eastAsia" w:ascii="宋体" w:hAnsi="宋体" w:eastAsia="宋体" w:cs="宋体"/>
          <w:sz w:val="28"/>
          <w:szCs w:val="28"/>
        </w:rPr>
      </w:pPr>
      <w:bookmarkStart w:id="240" w:name="_Toc498551277"/>
      <w:bookmarkStart w:id="241" w:name="_Toc498385098"/>
      <w:bookmarkStart w:id="242" w:name="_Toc17161"/>
      <w:bookmarkStart w:id="243" w:name="_Toc22547"/>
      <w:bookmarkStart w:id="244" w:name="_Toc498385766"/>
      <w:r>
        <w:rPr>
          <w:rFonts w:hint="eastAsia" w:ascii="宋体" w:hAnsi="宋体" w:eastAsia="宋体" w:cs="宋体"/>
          <w:sz w:val="28"/>
          <w:szCs w:val="28"/>
        </w:rPr>
        <w:t>（二）影响项目收益的风险及控制措施</w:t>
      </w:r>
      <w:bookmarkEnd w:id="240"/>
      <w:bookmarkEnd w:id="241"/>
      <w:bookmarkEnd w:id="242"/>
      <w:bookmarkEnd w:id="243"/>
      <w:bookmarkEnd w:id="244"/>
    </w:p>
    <w:p>
      <w:pPr>
        <w:spacing w:after="0" w:line="360" w:lineRule="auto"/>
        <w:ind w:firstLine="560" w:firstLineChars="200"/>
        <w:rPr>
          <w:rFonts w:hint="eastAsia" w:ascii="宋体" w:hAnsi="宋体" w:eastAsia="宋体" w:cs="宋体"/>
          <w:color w:val="000000"/>
          <w:kern w:val="0"/>
          <w:sz w:val="28"/>
          <w:szCs w:val="28"/>
        </w:rPr>
      </w:pPr>
      <w:bookmarkStart w:id="245" w:name="_Toc498385099"/>
      <w:bookmarkStart w:id="246" w:name="_Toc498385767"/>
      <w:bookmarkStart w:id="247" w:name="_Toc498551279"/>
      <w:r>
        <w:rPr>
          <w:rFonts w:hint="eastAsia" w:ascii="宋体" w:hAnsi="宋体" w:eastAsia="宋体" w:cs="宋体"/>
          <w:color w:val="000000"/>
          <w:kern w:val="0"/>
          <w:sz w:val="28"/>
          <w:szCs w:val="28"/>
        </w:rPr>
        <w:t>工程可行性研究报告中的总投资额与实际造价成本可能会发生偏差，影响资金项目资金投入和发债计划安排。</w:t>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风险控制措施：按照市政府主管部门的批复结果及时调整项目资金投入计划，保障项目顺利实施。</w:t>
      </w:r>
    </w:p>
    <w:bookmarkEnd w:id="245"/>
    <w:bookmarkEnd w:id="246"/>
    <w:bookmarkEnd w:id="247"/>
    <w:p>
      <w:pPr>
        <w:pStyle w:val="2"/>
        <w:bidi w:val="0"/>
        <w:spacing w:line="360" w:lineRule="auto"/>
        <w:rPr>
          <w:rFonts w:hint="eastAsia" w:ascii="宋体" w:hAnsi="宋体" w:eastAsia="宋体" w:cs="宋体"/>
          <w:sz w:val="28"/>
          <w:szCs w:val="28"/>
        </w:rPr>
      </w:pPr>
      <w:bookmarkStart w:id="248" w:name="_Toc498385773"/>
      <w:bookmarkStart w:id="249" w:name="_Toc498551286"/>
      <w:bookmarkStart w:id="250" w:name="_Toc7640"/>
      <w:bookmarkStart w:id="251" w:name="_Toc498385105"/>
      <w:bookmarkStart w:id="252" w:name="_Toc2677"/>
      <w:r>
        <w:rPr>
          <w:rFonts w:hint="eastAsia" w:ascii="宋体" w:hAnsi="宋体" w:eastAsia="宋体" w:cs="宋体"/>
          <w:sz w:val="28"/>
          <w:szCs w:val="28"/>
        </w:rPr>
        <w:t>（三）影响融资平衡结果的风险及控制措施</w:t>
      </w:r>
      <w:bookmarkEnd w:id="248"/>
      <w:bookmarkEnd w:id="249"/>
      <w:bookmarkEnd w:id="250"/>
      <w:bookmarkEnd w:id="251"/>
      <w:bookmarkEnd w:id="252"/>
    </w:p>
    <w:p>
      <w:pPr>
        <w:spacing w:after="0" w:line="360" w:lineRule="auto"/>
        <w:ind w:firstLine="560" w:firstLineChars="200"/>
        <w:rPr>
          <w:rFonts w:hint="eastAsia" w:ascii="宋体" w:hAnsi="宋体" w:eastAsia="宋体" w:cs="宋体"/>
          <w:sz w:val="28"/>
          <w:szCs w:val="28"/>
        </w:rPr>
      </w:pPr>
      <w:bookmarkStart w:id="253" w:name="_Toc498551287"/>
      <w:bookmarkStart w:id="254" w:name="_Toc498385106"/>
      <w:bookmarkStart w:id="255" w:name="_Toc7555"/>
      <w:bookmarkStart w:id="256" w:name="_Toc498385774"/>
      <w:r>
        <w:rPr>
          <w:rFonts w:hint="eastAsia" w:ascii="宋体" w:hAnsi="宋体" w:eastAsia="宋体" w:cs="宋体"/>
          <w:sz w:val="28"/>
          <w:szCs w:val="28"/>
        </w:rPr>
        <w:t>1、投资测算不准确风险</w:t>
      </w:r>
      <w:bookmarkEnd w:id="253"/>
      <w:bookmarkEnd w:id="254"/>
      <w:bookmarkEnd w:id="255"/>
      <w:bookmarkEnd w:id="256"/>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影响本项目融资平衡最大的风险在于对未来经营预测、项目进度以及项目整体现金流测算等重要环节出现判断偏差。经营预测偏大或偏小直接导致投资总额设计偏大或偏小；对项目进度错判将导致融资节奏错乱，导致资金不能及时足额注入到项目或者大额资金不能充分运用的后果；整体现金流测算出现偏差将导致项目可行性分析不能及时纠偏，项目资金投入和现金流入不能平衡的结果。</w:t>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风险控制措施：债券内所含项目的可行性研究报告均聘请了国内知名研究院经过大量分析论证工作后得出，分析结果较为可靠。</w:t>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此外，根据《财政部关于试点发展项目收益与融资自求平衡的地方政府专项债券品种的通知》（财预〔2017〕89号）规定，因项目取得的政府性基金或专项收入暂时难以实现，不能偿还到期债券本金时，可在专项债务限额内发行相关专项债券周转偿还，项目收入实现后予以归还。同时，为控制融资平衡风险，</w:t>
      </w:r>
      <w:r>
        <w:rPr>
          <w:rFonts w:hint="eastAsia" w:ascii="宋体" w:hAnsi="宋体" w:eastAsia="宋体" w:cs="宋体"/>
          <w:color w:val="000000"/>
          <w:kern w:val="0"/>
          <w:sz w:val="28"/>
          <w:szCs w:val="28"/>
          <w:lang w:eastAsia="zh-CN"/>
        </w:rPr>
        <w:t>儋州</w:t>
      </w:r>
      <w:r>
        <w:rPr>
          <w:rFonts w:hint="eastAsia" w:ascii="宋体" w:hAnsi="宋体" w:eastAsia="宋体" w:cs="宋体"/>
          <w:color w:val="000000"/>
          <w:kern w:val="0"/>
          <w:sz w:val="28"/>
          <w:szCs w:val="28"/>
        </w:rPr>
        <w:t>市政府有权视项目平衡情况动态调整项目资本金比例。</w:t>
      </w:r>
    </w:p>
    <w:p>
      <w:pPr>
        <w:spacing w:after="0" w:line="360" w:lineRule="auto"/>
        <w:ind w:firstLine="560" w:firstLineChars="200"/>
        <w:rPr>
          <w:rFonts w:hint="eastAsia" w:ascii="宋体" w:hAnsi="宋体" w:eastAsia="宋体" w:cs="宋体"/>
          <w:sz w:val="28"/>
          <w:szCs w:val="28"/>
        </w:rPr>
      </w:pPr>
      <w:bookmarkStart w:id="257" w:name="_Toc3687"/>
      <w:r>
        <w:rPr>
          <w:rFonts w:hint="eastAsia" w:ascii="宋体" w:hAnsi="宋体" w:eastAsia="宋体" w:cs="宋体"/>
          <w:sz w:val="28"/>
          <w:szCs w:val="28"/>
        </w:rPr>
        <w:t>2、利率波动风险</w:t>
      </w:r>
      <w:bookmarkEnd w:id="257"/>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在本政府专项债券存续期内，国际、国内宏观经济环境的变化，国家经济政策变动等因素会引起债务资本市场利率的波动，市场利率波动将会对本项目的财务成本产生影响，进而影响项目投资收益的平衡。</w:t>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风险控制措施：为控制项目融资平衡风险，可动态调整债券发行期限和还款方式及时间，做好期限配比、还款计划和准备，加快资金周转，适当增大流动比率，充分盘活资金，用资金使用效率收益对冲利率波动损失。</w:t>
      </w:r>
    </w:p>
    <w:p>
      <w:pPr>
        <w:spacing w:after="0" w:line="360" w:lineRule="auto"/>
        <w:ind w:firstLine="560" w:firstLineChars="200"/>
        <w:rPr>
          <w:rFonts w:hint="eastAsia" w:ascii="宋体" w:hAnsi="宋体" w:eastAsia="宋体" w:cs="宋体"/>
          <w:sz w:val="28"/>
          <w:szCs w:val="28"/>
        </w:rPr>
      </w:pPr>
      <w:bookmarkStart w:id="258" w:name="_Toc498551289"/>
      <w:bookmarkStart w:id="259" w:name="_Toc25085"/>
      <w:r>
        <w:rPr>
          <w:rFonts w:hint="eastAsia" w:ascii="宋体" w:hAnsi="宋体" w:eastAsia="宋体" w:cs="宋体"/>
          <w:sz w:val="28"/>
          <w:szCs w:val="28"/>
        </w:rPr>
        <w:t>3、存续债券置换不畅风险</w:t>
      </w:r>
      <w:bookmarkEnd w:id="258"/>
      <w:bookmarkEnd w:id="259"/>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根据《地方政府专项债务预算管理办法》（财预〔2016〕155号）第六条规定，专项债务本金通过对应的政府性基金收入、专项收入、发行专项债券等偿还。由于此次发行债券涉及项目建设期较长，项目经营收入回款较慢，若本期政府专项债券到期时项目收入不足以偿还本期债券，发行人将发行新的政府专项债券置换本期债券。因此存在由于新一期政府专项债券不能足额及时募集而造成本期政府专项债券不能按期足额兑付的风险。</w:t>
      </w:r>
    </w:p>
    <w:p>
      <w:pPr>
        <w:spacing w:after="0" w:line="360" w:lineRule="auto"/>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风险控制措施：为防止发生存续债券不能顺畅置换的风险，发行人将会同主承销商及承销团成员提前准备发行资料，选取合适发行时间窗口，根据市场行情科学定价，力争在存续债券兑付日之前及时足额地募集到还款资金。</w:t>
      </w:r>
    </w:p>
    <w:p>
      <w:pPr>
        <w:numPr>
          <w:ilvl w:val="0"/>
          <w:numId w:val="0"/>
        </w:numPr>
        <w:spacing w:line="360" w:lineRule="auto"/>
        <w:ind w:firstLine="562" w:firstLineChars="200"/>
        <w:jc w:val="left"/>
        <w:outlineLvl w:val="0"/>
        <w:rPr>
          <w:rFonts w:hint="eastAsia" w:ascii="宋体" w:hAnsi="宋体" w:eastAsia="宋体" w:cs="宋体"/>
          <w:b/>
          <w:bCs/>
          <w:color w:val="000000"/>
          <w:kern w:val="0"/>
          <w:sz w:val="28"/>
          <w:szCs w:val="28"/>
        </w:rPr>
      </w:pPr>
      <w:bookmarkStart w:id="260" w:name="_Toc24199"/>
      <w:bookmarkStart w:id="261" w:name="_Toc5677"/>
      <w:bookmarkStart w:id="262" w:name="_Toc6349"/>
      <w:bookmarkStart w:id="263" w:name="_Toc15942"/>
      <w:bookmarkStart w:id="264" w:name="_Toc22531"/>
      <w:bookmarkStart w:id="265" w:name="_Toc4935"/>
      <w:bookmarkStart w:id="266" w:name="_Toc1725"/>
      <w:bookmarkStart w:id="267" w:name="_Toc24781"/>
      <w:bookmarkStart w:id="268" w:name="_Toc23636"/>
      <w:bookmarkStart w:id="269" w:name="_Toc11499"/>
      <w:bookmarkStart w:id="270" w:name="_Toc1287"/>
      <w:bookmarkStart w:id="271" w:name="_Toc8534"/>
      <w:bookmarkStart w:id="272" w:name="_Toc4735"/>
      <w:bookmarkStart w:id="273" w:name="_Toc32327"/>
      <w:bookmarkStart w:id="274" w:name="_Toc9133"/>
      <w:bookmarkStart w:id="275" w:name="_Toc32395"/>
      <w:bookmarkStart w:id="276" w:name="_Toc9496"/>
      <w:bookmarkStart w:id="277" w:name="_Toc23808"/>
      <w:bookmarkStart w:id="278" w:name="_Toc10210"/>
      <w:bookmarkStart w:id="279" w:name="_Toc20734"/>
      <w:bookmarkStart w:id="280" w:name="_Toc5637"/>
      <w:bookmarkStart w:id="281" w:name="_Toc3051"/>
      <w:bookmarkStart w:id="282" w:name="_Toc17939"/>
      <w:bookmarkStart w:id="283" w:name="_Toc2036"/>
      <w:bookmarkStart w:id="284" w:name="_Toc16334"/>
      <w:bookmarkStart w:id="285" w:name="_Toc13008"/>
      <w:bookmarkStart w:id="286" w:name="_Toc9853"/>
      <w:r>
        <w:rPr>
          <w:rFonts w:hint="eastAsia" w:ascii="宋体" w:hAnsi="宋体" w:eastAsia="宋体" w:cs="宋体"/>
          <w:b/>
          <w:bCs/>
          <w:color w:val="000000"/>
          <w:kern w:val="0"/>
          <w:sz w:val="28"/>
          <w:szCs w:val="28"/>
          <w:lang w:eastAsia="zh-CN"/>
        </w:rPr>
        <w:t>七</w:t>
      </w:r>
      <w:r>
        <w:rPr>
          <w:rFonts w:hint="eastAsia" w:ascii="宋体" w:hAnsi="宋体" w:eastAsia="宋体" w:cs="宋体"/>
          <w:b/>
          <w:bCs/>
          <w:color w:val="000000"/>
          <w:kern w:val="0"/>
          <w:sz w:val="28"/>
          <w:szCs w:val="28"/>
        </w:rPr>
        <w:t>、还款保障措施</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根据《财政部关于印发&lt;地方政府专项债务预算管理办法&gt;的通知》（财预【2016】155号）规定，专项债务应当有偿还计划和稳定的偿还资金来源。专项债务本金通过对应的政府性基金收入、专项收入、发行专项债券等偿还。专项债务利息通过对应的政府性基金收入、专项收入偿还，不通过发行专项债券偿。专项债务收支按照对应的政府性基金收入、专项收入实现项目收支平衡。</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根据《国务院办公厅关于印发地方政府性债务风险应急处置预案的通知》（国办函【2016】88号）规定，对地方政府债券，地方政府依法承担全部偿还责任。市县财政将根据《财政部关于印发&lt;地方政府专项债务预算管理办法&gt;的通知》（财预【2016】155号）规定,及时按照转贷协议约定向省级财政部门缴纳本级应当承担的还本付息资金，由省级财政部门按照合同约定及时偿还专项债券到期本息。如偿债出现困难，将通过调减投资计划、调整预算支出等措施进行偿债。未及时足额向省级财政部门缴纳专项债券还本付息资金的，省级财政部门可以采取适当方式扣回。</w:t>
      </w:r>
    </w:p>
    <w:p>
      <w:pPr>
        <w:pStyle w:val="2"/>
        <w:rPr>
          <w:rFonts w:hint="eastAsia"/>
        </w:rPr>
      </w:pPr>
    </w:p>
    <w:p>
      <w:pPr>
        <w:widowControl/>
        <w:spacing w:line="360" w:lineRule="auto"/>
        <w:jc w:val="righ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儋州市财政局</w:t>
      </w:r>
    </w:p>
    <w:p>
      <w:pPr>
        <w:wordWrap w:val="0"/>
        <w:spacing w:line="360" w:lineRule="auto"/>
        <w:ind w:right="-58" w:firstLine="560" w:firstLineChars="200"/>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202</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年</w:t>
      </w:r>
      <w:r>
        <w:rPr>
          <w:rFonts w:hint="eastAsia" w:ascii="宋体" w:hAnsi="宋体" w:cs="宋体"/>
          <w:color w:val="000000"/>
          <w:kern w:val="0"/>
          <w:sz w:val="28"/>
          <w:szCs w:val="28"/>
          <w:lang w:val="en-US" w:eastAsia="zh-CN"/>
        </w:rPr>
        <w:t>10</w:t>
      </w:r>
      <w:r>
        <w:rPr>
          <w:rFonts w:hint="eastAsia" w:ascii="宋体" w:hAnsi="宋体" w:eastAsia="宋体" w:cs="宋体"/>
          <w:color w:val="000000"/>
          <w:kern w:val="0"/>
          <w:sz w:val="28"/>
          <w:szCs w:val="28"/>
        </w:rPr>
        <w:t>月</w:t>
      </w:r>
      <w:r>
        <w:rPr>
          <w:rFonts w:hint="eastAsia" w:ascii="宋体" w:hAnsi="宋体" w:cs="宋体"/>
          <w:color w:val="000000"/>
          <w:kern w:val="0"/>
          <w:sz w:val="28"/>
          <w:szCs w:val="28"/>
          <w:lang w:val="en-US" w:eastAsia="zh-CN"/>
        </w:rPr>
        <w:t>24</w:t>
      </w:r>
      <w:bookmarkStart w:id="287" w:name="_GoBack"/>
      <w:bookmarkEnd w:id="287"/>
      <w:r>
        <w:rPr>
          <w:rFonts w:hint="eastAsia" w:ascii="宋体" w:hAnsi="宋体" w:eastAsia="宋体" w:cs="宋体"/>
          <w:color w:val="000000"/>
          <w:kern w:val="0"/>
          <w:sz w:val="28"/>
          <w:szCs w:val="28"/>
        </w:rPr>
        <w:t>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LF_Kai">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Times New Roman" w:hAnsi="Times New Roman" w:eastAsia="Times New Roman" w:cs="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3990" cy="252095"/>
              <wp:effectExtent l="0" t="0" r="0" b="0"/>
              <wp:wrapNone/>
              <wp:docPr id="1" name="Text Box 17"/>
              <wp:cNvGraphicFramePr/>
              <a:graphic xmlns:a="http://schemas.openxmlformats.org/drawingml/2006/main">
                <a:graphicData uri="http://schemas.microsoft.com/office/word/2010/wordprocessingShape">
                  <wps:wsp>
                    <wps:cNvSpPr txBox="1"/>
                    <wps:spPr>
                      <a:xfrm>
                        <a:off x="0" y="0"/>
                        <a:ext cx="173990" cy="252095"/>
                      </a:xfrm>
                      <a:prstGeom prst="rect">
                        <a:avLst/>
                      </a:prstGeom>
                      <a:noFill/>
                      <a:ln>
                        <a:noFill/>
                      </a:ln>
                    </wps:spPr>
                    <wps:txbx>
                      <w:txbxContent>
                        <w:p>
                          <w:pPr>
                            <w:pStyle w:val="11"/>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Text Box 17" o:spid="_x0000_s1026" o:spt="202" type="#_x0000_t202" style="position:absolute;left:0pt;margin-top:0pt;height:19.85pt;width:13.7pt;mso-position-horizontal:center;mso-position-horizontal-relative:margin;mso-wrap-style:none;z-index:251661312;mso-width-relative:page;mso-height-relative:page;" filled="f" stroked="f" coordsize="21600,21600" o:gfxdata="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i3uN0gAAAAMBAAAPAAAAAAAAAAEAIAAAACIAAABkcnMvZG93bnJldi54bWxQSwECFAAU&#10;AAAACACHTuJA+uovgb4BAACXAwAADgAAAAAAAAABACAAAAAhAQAAZHJzL2Uyb0RvYy54bWxQSwUG&#10;AAAAAAYABgBZAQAAUQ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napToGrid w:val="0"/>
        <w:rPr>
          <w:rFonts w:ascii="Times New Roman" w:hAnsi="Times New Roman" w:eastAsia="Times New Roman" w:cs="Times New Roman"/>
          <w:sz w:val="20"/>
          <w:szCs w:val="15"/>
          <w:lang w:val="en-US" w:eastAsia="zh-CN" w:bidi="ar-SA"/>
        </w:rPr>
      </w:pPr>
      <w:r>
        <w:rPr>
          <w:rFonts w:ascii="Times New Roman" w:hAnsi="Times New Roman" w:eastAsia="宋体" w:cs="Times New Roman"/>
          <w:sz w:val="20"/>
          <w:szCs w:val="15"/>
          <w:vertAlign w:val="superscript"/>
          <w:lang w:val="en-US" w:eastAsia="zh-CN" w:bidi="ar-SA"/>
        </w:rPr>
        <w:footnoteRef/>
      </w:r>
      <w:r>
        <w:rPr>
          <w:rFonts w:ascii="Times New Roman" w:hAnsi="Times New Roman" w:eastAsia="Times New Roman" w:cs="Times New Roman"/>
          <w:sz w:val="20"/>
          <w:szCs w:val="15"/>
          <w:lang w:val="en-US" w:eastAsia="zh-CN" w:bidi="ar-SA"/>
        </w:rPr>
        <w:t xml:space="preserve"> </w:t>
      </w:r>
      <w:r>
        <w:rPr>
          <w:rFonts w:hint="eastAsia" w:ascii="Times New Roman" w:hAnsi="Times New Roman" w:eastAsia="Times New Roman" w:cs="Times New Roman"/>
          <w:sz w:val="20"/>
          <w:szCs w:val="15"/>
          <w:lang w:val="en-US" w:eastAsia="zh-CN" w:bidi="ar-SA"/>
        </w:rPr>
        <w:t>本息覆盖倍数=预期项目收益/债券本息，本息覆盖率=期末项目累计现金结存额/债券本息+1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sz w:val="24"/>
        <w:szCs w:val="24"/>
      </w:rPr>
    </w:pPr>
    <w:r>
      <w:rPr>
        <w:rFonts w:ascii="Times New Roman" w:hAnsi="Times New Roman" w:eastAsia="Times New Roman" w:cs="Times New Roman"/>
        <w:sz w:val="24"/>
        <w:szCs w:val="24"/>
      </w:rPr>
      <w:pict>
        <v:shape id="PowerPlusWaterMarkObject92873800" o:spid="_x0000_s4098" o:spt="136" type="#_x0000_t136" style="position:absolute;left:0pt;height:152.25pt;width:456.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讨论稿" style="font-family:华文细黑;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Times New Roman" w:cs="Times New Roman"/>
        <w:sz w:val="24"/>
        <w:szCs w:val="24"/>
      </w:rPr>
    </w:pPr>
    <w:r>
      <w:rPr>
        <w:rFonts w:ascii="Times New Roman" w:hAnsi="Times New Roman" w:eastAsia="Times New Roman" w:cs="Times New Roman"/>
        <w:sz w:val="24"/>
        <w:szCs w:val="24"/>
      </w:rPr>
      <w:pict>
        <v:shape id="PowerPlusWaterMarkObject92873799" o:spid="_x0000_s4097" o:spt="136" type="#_x0000_t136" style="position:absolute;left:0pt;height:152.25pt;width:456.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讨论稿" style="font-family:华文细黑;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9B6"/>
    <w:multiLevelType w:val="multilevel"/>
    <w:tmpl w:val="216429B6"/>
    <w:lvl w:ilvl="0" w:tentative="0">
      <w:start w:val="1"/>
      <w:numFmt w:val="chineseCountingThousand"/>
      <w:pStyle w:val="4"/>
      <w:lvlText w:val="%1"/>
      <w:lvlJc w:val="left"/>
      <w:pPr>
        <w:ind w:left="420" w:hanging="420"/>
      </w:pPr>
      <w:rPr>
        <w:rFonts w:cs="Times New Roman"/>
        <w:b/>
        <w:bCs w:val="0"/>
        <w:i w:val="0"/>
        <w:iCs w:val="0"/>
        <w:caps w:val="0"/>
        <w:smallCaps w:val="0"/>
        <w:strike w:val="0"/>
        <w:dstrike w:val="0"/>
        <w:spacing w:val="0"/>
        <w:position w:val="0"/>
        <w:u w:val="none"/>
        <w:vertAlign w:val="baseline"/>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ZDcxZmU1MDU1NDcyNjhmNWJmOGFmMDZjZGI1ZmUifQ=="/>
  </w:docVars>
  <w:rsids>
    <w:rsidRoot w:val="001B0711"/>
    <w:rsid w:val="000013D3"/>
    <w:rsid w:val="000034CB"/>
    <w:rsid w:val="0001051B"/>
    <w:rsid w:val="000266F9"/>
    <w:rsid w:val="000636FA"/>
    <w:rsid w:val="000719DD"/>
    <w:rsid w:val="00086DC9"/>
    <w:rsid w:val="000969B0"/>
    <w:rsid w:val="000B275E"/>
    <w:rsid w:val="000C7CF6"/>
    <w:rsid w:val="000F3211"/>
    <w:rsid w:val="00110C08"/>
    <w:rsid w:val="00134E7D"/>
    <w:rsid w:val="001361DD"/>
    <w:rsid w:val="0016382B"/>
    <w:rsid w:val="00172CEB"/>
    <w:rsid w:val="00192F46"/>
    <w:rsid w:val="001B0131"/>
    <w:rsid w:val="001B0711"/>
    <w:rsid w:val="00200A20"/>
    <w:rsid w:val="00214ED6"/>
    <w:rsid w:val="00223EDC"/>
    <w:rsid w:val="0024376C"/>
    <w:rsid w:val="00257B40"/>
    <w:rsid w:val="0026061F"/>
    <w:rsid w:val="00284C8E"/>
    <w:rsid w:val="00287B79"/>
    <w:rsid w:val="00290203"/>
    <w:rsid w:val="0029137B"/>
    <w:rsid w:val="00296180"/>
    <w:rsid w:val="002B005B"/>
    <w:rsid w:val="002C1A0F"/>
    <w:rsid w:val="002E2699"/>
    <w:rsid w:val="002E695E"/>
    <w:rsid w:val="00311A33"/>
    <w:rsid w:val="0031293F"/>
    <w:rsid w:val="00321F5D"/>
    <w:rsid w:val="00324689"/>
    <w:rsid w:val="00324808"/>
    <w:rsid w:val="00327F4D"/>
    <w:rsid w:val="00333839"/>
    <w:rsid w:val="003675D6"/>
    <w:rsid w:val="00375BB1"/>
    <w:rsid w:val="003B069D"/>
    <w:rsid w:val="003C20C7"/>
    <w:rsid w:val="003E2168"/>
    <w:rsid w:val="003E31D5"/>
    <w:rsid w:val="003F152D"/>
    <w:rsid w:val="003F76C7"/>
    <w:rsid w:val="00401C1F"/>
    <w:rsid w:val="00401D34"/>
    <w:rsid w:val="004065A3"/>
    <w:rsid w:val="00450344"/>
    <w:rsid w:val="00463F89"/>
    <w:rsid w:val="004874C4"/>
    <w:rsid w:val="00493151"/>
    <w:rsid w:val="004A4B22"/>
    <w:rsid w:val="004B3811"/>
    <w:rsid w:val="00501293"/>
    <w:rsid w:val="00535668"/>
    <w:rsid w:val="00536376"/>
    <w:rsid w:val="00546905"/>
    <w:rsid w:val="00551AEB"/>
    <w:rsid w:val="0057032B"/>
    <w:rsid w:val="005805D0"/>
    <w:rsid w:val="00596D38"/>
    <w:rsid w:val="005A108E"/>
    <w:rsid w:val="005B4F07"/>
    <w:rsid w:val="005D1558"/>
    <w:rsid w:val="005F7AC8"/>
    <w:rsid w:val="0064687D"/>
    <w:rsid w:val="006548C0"/>
    <w:rsid w:val="00655DF8"/>
    <w:rsid w:val="00683B95"/>
    <w:rsid w:val="006A103F"/>
    <w:rsid w:val="006A4DD7"/>
    <w:rsid w:val="006A5BFC"/>
    <w:rsid w:val="006B5383"/>
    <w:rsid w:val="006B7B0C"/>
    <w:rsid w:val="006D509D"/>
    <w:rsid w:val="006D523E"/>
    <w:rsid w:val="006D57FF"/>
    <w:rsid w:val="006E2F02"/>
    <w:rsid w:val="006E5690"/>
    <w:rsid w:val="006E6BF3"/>
    <w:rsid w:val="006F18A7"/>
    <w:rsid w:val="006F585E"/>
    <w:rsid w:val="006F5D74"/>
    <w:rsid w:val="006F76B1"/>
    <w:rsid w:val="00714D7D"/>
    <w:rsid w:val="00717433"/>
    <w:rsid w:val="00717B32"/>
    <w:rsid w:val="007308FD"/>
    <w:rsid w:val="00730BC7"/>
    <w:rsid w:val="00732C59"/>
    <w:rsid w:val="00735601"/>
    <w:rsid w:val="007459C0"/>
    <w:rsid w:val="00760785"/>
    <w:rsid w:val="007738BE"/>
    <w:rsid w:val="00775EA8"/>
    <w:rsid w:val="007A112A"/>
    <w:rsid w:val="007A410B"/>
    <w:rsid w:val="007B54CC"/>
    <w:rsid w:val="007B7484"/>
    <w:rsid w:val="007C0F65"/>
    <w:rsid w:val="007E1EDE"/>
    <w:rsid w:val="007E771E"/>
    <w:rsid w:val="00801742"/>
    <w:rsid w:val="0080211E"/>
    <w:rsid w:val="0082140E"/>
    <w:rsid w:val="00824DE9"/>
    <w:rsid w:val="00835A33"/>
    <w:rsid w:val="0083686F"/>
    <w:rsid w:val="00846333"/>
    <w:rsid w:val="00851228"/>
    <w:rsid w:val="00855A8C"/>
    <w:rsid w:val="0086088D"/>
    <w:rsid w:val="00861ACB"/>
    <w:rsid w:val="008734AE"/>
    <w:rsid w:val="008A0C31"/>
    <w:rsid w:val="008A76A9"/>
    <w:rsid w:val="008E0AF7"/>
    <w:rsid w:val="008E6101"/>
    <w:rsid w:val="008E6E71"/>
    <w:rsid w:val="008F4E23"/>
    <w:rsid w:val="0092252C"/>
    <w:rsid w:val="00922891"/>
    <w:rsid w:val="009256C4"/>
    <w:rsid w:val="00926064"/>
    <w:rsid w:val="00927991"/>
    <w:rsid w:val="009631F3"/>
    <w:rsid w:val="00965C57"/>
    <w:rsid w:val="009700E6"/>
    <w:rsid w:val="00971D48"/>
    <w:rsid w:val="009774B9"/>
    <w:rsid w:val="00987DED"/>
    <w:rsid w:val="00987F2C"/>
    <w:rsid w:val="009935CA"/>
    <w:rsid w:val="009A3ECA"/>
    <w:rsid w:val="009A6F31"/>
    <w:rsid w:val="009B5120"/>
    <w:rsid w:val="009D34F5"/>
    <w:rsid w:val="009D7CDC"/>
    <w:rsid w:val="009E5EA6"/>
    <w:rsid w:val="00A206D5"/>
    <w:rsid w:val="00A22054"/>
    <w:rsid w:val="00A23445"/>
    <w:rsid w:val="00A5774F"/>
    <w:rsid w:val="00A77719"/>
    <w:rsid w:val="00A92DB5"/>
    <w:rsid w:val="00A976E9"/>
    <w:rsid w:val="00AB0CB6"/>
    <w:rsid w:val="00AC2C73"/>
    <w:rsid w:val="00AC3BF8"/>
    <w:rsid w:val="00AC4569"/>
    <w:rsid w:val="00AD2472"/>
    <w:rsid w:val="00AE75B9"/>
    <w:rsid w:val="00B26368"/>
    <w:rsid w:val="00B33875"/>
    <w:rsid w:val="00B5104E"/>
    <w:rsid w:val="00B67870"/>
    <w:rsid w:val="00B712FC"/>
    <w:rsid w:val="00B85562"/>
    <w:rsid w:val="00B86A94"/>
    <w:rsid w:val="00B91C87"/>
    <w:rsid w:val="00B93F3F"/>
    <w:rsid w:val="00BB17D2"/>
    <w:rsid w:val="00BD23D8"/>
    <w:rsid w:val="00BF6792"/>
    <w:rsid w:val="00BF7B6B"/>
    <w:rsid w:val="00C02889"/>
    <w:rsid w:val="00C073FF"/>
    <w:rsid w:val="00C10F37"/>
    <w:rsid w:val="00C14F9E"/>
    <w:rsid w:val="00C37033"/>
    <w:rsid w:val="00C40F63"/>
    <w:rsid w:val="00C73FE6"/>
    <w:rsid w:val="00C84CF5"/>
    <w:rsid w:val="00C94BA2"/>
    <w:rsid w:val="00CB662E"/>
    <w:rsid w:val="00CC6211"/>
    <w:rsid w:val="00CF2907"/>
    <w:rsid w:val="00D0324F"/>
    <w:rsid w:val="00D159DF"/>
    <w:rsid w:val="00D211EC"/>
    <w:rsid w:val="00D5444C"/>
    <w:rsid w:val="00D84BFC"/>
    <w:rsid w:val="00D923EE"/>
    <w:rsid w:val="00D969B7"/>
    <w:rsid w:val="00DA0E09"/>
    <w:rsid w:val="00DC48E1"/>
    <w:rsid w:val="00DE1A37"/>
    <w:rsid w:val="00DF2184"/>
    <w:rsid w:val="00E10F28"/>
    <w:rsid w:val="00E17C9C"/>
    <w:rsid w:val="00E27963"/>
    <w:rsid w:val="00E302D5"/>
    <w:rsid w:val="00E46A74"/>
    <w:rsid w:val="00E63C49"/>
    <w:rsid w:val="00E64B96"/>
    <w:rsid w:val="00E672F4"/>
    <w:rsid w:val="00E87D50"/>
    <w:rsid w:val="00E92E88"/>
    <w:rsid w:val="00EA117A"/>
    <w:rsid w:val="00EB0A89"/>
    <w:rsid w:val="00EB6A0A"/>
    <w:rsid w:val="00EC6800"/>
    <w:rsid w:val="00ED220E"/>
    <w:rsid w:val="00EE35BB"/>
    <w:rsid w:val="00EF2858"/>
    <w:rsid w:val="00F05EDD"/>
    <w:rsid w:val="00F12173"/>
    <w:rsid w:val="00F14ACA"/>
    <w:rsid w:val="00F23AA8"/>
    <w:rsid w:val="00F303EB"/>
    <w:rsid w:val="00F35492"/>
    <w:rsid w:val="00F41E91"/>
    <w:rsid w:val="00F55EE8"/>
    <w:rsid w:val="00F623BD"/>
    <w:rsid w:val="00F6346B"/>
    <w:rsid w:val="00F97E88"/>
    <w:rsid w:val="00FC4349"/>
    <w:rsid w:val="00FC53C7"/>
    <w:rsid w:val="00FD2A79"/>
    <w:rsid w:val="00FD48D8"/>
    <w:rsid w:val="00FE50FA"/>
    <w:rsid w:val="00FF1DE7"/>
    <w:rsid w:val="010A610C"/>
    <w:rsid w:val="01B807FB"/>
    <w:rsid w:val="01E34D15"/>
    <w:rsid w:val="01F633B4"/>
    <w:rsid w:val="020270BD"/>
    <w:rsid w:val="02B473C2"/>
    <w:rsid w:val="03182B40"/>
    <w:rsid w:val="041E48B9"/>
    <w:rsid w:val="042638CC"/>
    <w:rsid w:val="0488288A"/>
    <w:rsid w:val="04960806"/>
    <w:rsid w:val="04A37A9B"/>
    <w:rsid w:val="04CC233D"/>
    <w:rsid w:val="051E62C3"/>
    <w:rsid w:val="05910BF1"/>
    <w:rsid w:val="05A80561"/>
    <w:rsid w:val="05CD5345"/>
    <w:rsid w:val="07423D26"/>
    <w:rsid w:val="0790763A"/>
    <w:rsid w:val="095A2F8E"/>
    <w:rsid w:val="09874694"/>
    <w:rsid w:val="09995A44"/>
    <w:rsid w:val="099F5BD1"/>
    <w:rsid w:val="09AC5C61"/>
    <w:rsid w:val="0A3D5386"/>
    <w:rsid w:val="0AFF2290"/>
    <w:rsid w:val="0C147615"/>
    <w:rsid w:val="0C4F4C90"/>
    <w:rsid w:val="0C72669B"/>
    <w:rsid w:val="0C820D1E"/>
    <w:rsid w:val="0D3A4297"/>
    <w:rsid w:val="0D944EB5"/>
    <w:rsid w:val="0DFF1A71"/>
    <w:rsid w:val="0E4E41E0"/>
    <w:rsid w:val="0E5977D6"/>
    <w:rsid w:val="0F5F127C"/>
    <w:rsid w:val="0FC276AD"/>
    <w:rsid w:val="10807158"/>
    <w:rsid w:val="11FC1A0F"/>
    <w:rsid w:val="12147ECC"/>
    <w:rsid w:val="126F7346"/>
    <w:rsid w:val="126F764B"/>
    <w:rsid w:val="12740124"/>
    <w:rsid w:val="12820C7E"/>
    <w:rsid w:val="12BA3926"/>
    <w:rsid w:val="12D31E99"/>
    <w:rsid w:val="12FE0E6C"/>
    <w:rsid w:val="1392127D"/>
    <w:rsid w:val="139D722F"/>
    <w:rsid w:val="140A5F81"/>
    <w:rsid w:val="14177F34"/>
    <w:rsid w:val="14307522"/>
    <w:rsid w:val="14B869CC"/>
    <w:rsid w:val="15823415"/>
    <w:rsid w:val="15B510DA"/>
    <w:rsid w:val="16367484"/>
    <w:rsid w:val="16A0351A"/>
    <w:rsid w:val="16B32274"/>
    <w:rsid w:val="175A2C2E"/>
    <w:rsid w:val="176616E9"/>
    <w:rsid w:val="18F24425"/>
    <w:rsid w:val="19D6546B"/>
    <w:rsid w:val="1A392EF1"/>
    <w:rsid w:val="1BC83275"/>
    <w:rsid w:val="1C6634ED"/>
    <w:rsid w:val="1CC534C5"/>
    <w:rsid w:val="1D434B1E"/>
    <w:rsid w:val="1DB6489D"/>
    <w:rsid w:val="1E7B1F17"/>
    <w:rsid w:val="1FA00BE0"/>
    <w:rsid w:val="20645311"/>
    <w:rsid w:val="20C41C09"/>
    <w:rsid w:val="21061D5F"/>
    <w:rsid w:val="214D4C97"/>
    <w:rsid w:val="21970102"/>
    <w:rsid w:val="22285A3E"/>
    <w:rsid w:val="22831DC0"/>
    <w:rsid w:val="22AA611E"/>
    <w:rsid w:val="22B877DC"/>
    <w:rsid w:val="22CB0863"/>
    <w:rsid w:val="22CD0385"/>
    <w:rsid w:val="22E95937"/>
    <w:rsid w:val="22F45004"/>
    <w:rsid w:val="23AC2DFA"/>
    <w:rsid w:val="24181E65"/>
    <w:rsid w:val="24895912"/>
    <w:rsid w:val="25052CC3"/>
    <w:rsid w:val="250F5649"/>
    <w:rsid w:val="25C51025"/>
    <w:rsid w:val="25F27AF2"/>
    <w:rsid w:val="266B0A0C"/>
    <w:rsid w:val="269754D9"/>
    <w:rsid w:val="26FA6848"/>
    <w:rsid w:val="270021EE"/>
    <w:rsid w:val="27042348"/>
    <w:rsid w:val="27D81C17"/>
    <w:rsid w:val="280D158A"/>
    <w:rsid w:val="280E15FD"/>
    <w:rsid w:val="28235463"/>
    <w:rsid w:val="29B14DD5"/>
    <w:rsid w:val="29E465A9"/>
    <w:rsid w:val="29FE2AA3"/>
    <w:rsid w:val="2A3B5BD2"/>
    <w:rsid w:val="2A3E6D02"/>
    <w:rsid w:val="2A7F5034"/>
    <w:rsid w:val="2A84581B"/>
    <w:rsid w:val="2A981DA7"/>
    <w:rsid w:val="2AC963A5"/>
    <w:rsid w:val="2B0926EE"/>
    <w:rsid w:val="2B4017AB"/>
    <w:rsid w:val="2B404A9E"/>
    <w:rsid w:val="2B697A35"/>
    <w:rsid w:val="2B702075"/>
    <w:rsid w:val="2B9D7EFB"/>
    <w:rsid w:val="2BA86262"/>
    <w:rsid w:val="2C5B3841"/>
    <w:rsid w:val="2C792E2B"/>
    <w:rsid w:val="2D2E6897"/>
    <w:rsid w:val="2D5E2A40"/>
    <w:rsid w:val="2DAC756F"/>
    <w:rsid w:val="2DC63DE3"/>
    <w:rsid w:val="2DDF2FB5"/>
    <w:rsid w:val="30012200"/>
    <w:rsid w:val="310463EF"/>
    <w:rsid w:val="315B4AA2"/>
    <w:rsid w:val="31996CD2"/>
    <w:rsid w:val="31B24F6A"/>
    <w:rsid w:val="31BC1A81"/>
    <w:rsid w:val="31C017DD"/>
    <w:rsid w:val="31E626EA"/>
    <w:rsid w:val="31EC7BE8"/>
    <w:rsid w:val="329C3359"/>
    <w:rsid w:val="32FC6FC6"/>
    <w:rsid w:val="3301453C"/>
    <w:rsid w:val="33182125"/>
    <w:rsid w:val="33D373B1"/>
    <w:rsid w:val="347B7741"/>
    <w:rsid w:val="34B944F2"/>
    <w:rsid w:val="34C6019C"/>
    <w:rsid w:val="34E10B47"/>
    <w:rsid w:val="35096AFF"/>
    <w:rsid w:val="35F31ADC"/>
    <w:rsid w:val="36852B44"/>
    <w:rsid w:val="379A6BFE"/>
    <w:rsid w:val="3813229F"/>
    <w:rsid w:val="38252CEA"/>
    <w:rsid w:val="38813010"/>
    <w:rsid w:val="394128FE"/>
    <w:rsid w:val="3A0410FF"/>
    <w:rsid w:val="3A1F3B98"/>
    <w:rsid w:val="3A547DA0"/>
    <w:rsid w:val="3A893D33"/>
    <w:rsid w:val="3B4D5520"/>
    <w:rsid w:val="3BCC79EE"/>
    <w:rsid w:val="3BCE66B6"/>
    <w:rsid w:val="3E9E4645"/>
    <w:rsid w:val="3EBF52B5"/>
    <w:rsid w:val="3EFE1778"/>
    <w:rsid w:val="3FCD56B5"/>
    <w:rsid w:val="404925F7"/>
    <w:rsid w:val="40A210F8"/>
    <w:rsid w:val="4102572F"/>
    <w:rsid w:val="41187EE8"/>
    <w:rsid w:val="41247885"/>
    <w:rsid w:val="412D30E6"/>
    <w:rsid w:val="41AF05B6"/>
    <w:rsid w:val="4202237E"/>
    <w:rsid w:val="42E034DF"/>
    <w:rsid w:val="42F14E3B"/>
    <w:rsid w:val="43071D78"/>
    <w:rsid w:val="432C3933"/>
    <w:rsid w:val="43931A9D"/>
    <w:rsid w:val="44302AA5"/>
    <w:rsid w:val="44677CC9"/>
    <w:rsid w:val="45360432"/>
    <w:rsid w:val="46531DD0"/>
    <w:rsid w:val="468E63FB"/>
    <w:rsid w:val="46F4730C"/>
    <w:rsid w:val="476025AA"/>
    <w:rsid w:val="47702BA0"/>
    <w:rsid w:val="48A85D78"/>
    <w:rsid w:val="48F92334"/>
    <w:rsid w:val="49C41977"/>
    <w:rsid w:val="4A102719"/>
    <w:rsid w:val="4A716B01"/>
    <w:rsid w:val="4A7E0631"/>
    <w:rsid w:val="4A8B705A"/>
    <w:rsid w:val="4AC51FF7"/>
    <w:rsid w:val="4AD65531"/>
    <w:rsid w:val="4C1E490E"/>
    <w:rsid w:val="4CF951F0"/>
    <w:rsid w:val="4D680296"/>
    <w:rsid w:val="4D982A8E"/>
    <w:rsid w:val="4E8D6B4F"/>
    <w:rsid w:val="4EB43CE2"/>
    <w:rsid w:val="4FFA534B"/>
    <w:rsid w:val="4FFF7054"/>
    <w:rsid w:val="50452508"/>
    <w:rsid w:val="50C42E61"/>
    <w:rsid w:val="511175F3"/>
    <w:rsid w:val="514D13E7"/>
    <w:rsid w:val="5160398F"/>
    <w:rsid w:val="52183B9B"/>
    <w:rsid w:val="523A4960"/>
    <w:rsid w:val="52804CB2"/>
    <w:rsid w:val="52CF3376"/>
    <w:rsid w:val="52FF75BD"/>
    <w:rsid w:val="53424F88"/>
    <w:rsid w:val="53482CCE"/>
    <w:rsid w:val="53A172BC"/>
    <w:rsid w:val="543153C2"/>
    <w:rsid w:val="555B5A9D"/>
    <w:rsid w:val="557C32B8"/>
    <w:rsid w:val="56376EB0"/>
    <w:rsid w:val="56554402"/>
    <w:rsid w:val="565618FE"/>
    <w:rsid w:val="568B273A"/>
    <w:rsid w:val="57776F6D"/>
    <w:rsid w:val="57796D11"/>
    <w:rsid w:val="579852EE"/>
    <w:rsid w:val="57C429E8"/>
    <w:rsid w:val="57CD352D"/>
    <w:rsid w:val="58252BEF"/>
    <w:rsid w:val="585C2D76"/>
    <w:rsid w:val="58AB3EEC"/>
    <w:rsid w:val="58E764AC"/>
    <w:rsid w:val="595C7E35"/>
    <w:rsid w:val="59885397"/>
    <w:rsid w:val="5A364333"/>
    <w:rsid w:val="5CE5356B"/>
    <w:rsid w:val="5D7468A3"/>
    <w:rsid w:val="5D890349"/>
    <w:rsid w:val="5D92455E"/>
    <w:rsid w:val="5DB028BC"/>
    <w:rsid w:val="5DE64C50"/>
    <w:rsid w:val="5E4A0EB2"/>
    <w:rsid w:val="5E552332"/>
    <w:rsid w:val="5F1A323E"/>
    <w:rsid w:val="5F414D4A"/>
    <w:rsid w:val="5F75751F"/>
    <w:rsid w:val="5F9C3D79"/>
    <w:rsid w:val="5FAE70BC"/>
    <w:rsid w:val="5FF87B8D"/>
    <w:rsid w:val="606C3C64"/>
    <w:rsid w:val="609C38F3"/>
    <w:rsid w:val="60A96937"/>
    <w:rsid w:val="60C54235"/>
    <w:rsid w:val="60C906F3"/>
    <w:rsid w:val="61404D26"/>
    <w:rsid w:val="614B7FF2"/>
    <w:rsid w:val="616A1CFC"/>
    <w:rsid w:val="6199188F"/>
    <w:rsid w:val="61DE6B4C"/>
    <w:rsid w:val="61F03707"/>
    <w:rsid w:val="62312CB8"/>
    <w:rsid w:val="62517AC6"/>
    <w:rsid w:val="628A3CC9"/>
    <w:rsid w:val="628A7585"/>
    <w:rsid w:val="640A378F"/>
    <w:rsid w:val="641A5069"/>
    <w:rsid w:val="65905C89"/>
    <w:rsid w:val="65D859B5"/>
    <w:rsid w:val="661F6737"/>
    <w:rsid w:val="6636382D"/>
    <w:rsid w:val="664C41E4"/>
    <w:rsid w:val="66E6662F"/>
    <w:rsid w:val="66F8536E"/>
    <w:rsid w:val="67132E4D"/>
    <w:rsid w:val="671B7072"/>
    <w:rsid w:val="67513FAD"/>
    <w:rsid w:val="67B51982"/>
    <w:rsid w:val="67CD1607"/>
    <w:rsid w:val="67F31A96"/>
    <w:rsid w:val="68107C07"/>
    <w:rsid w:val="68A42305"/>
    <w:rsid w:val="69641757"/>
    <w:rsid w:val="697603DA"/>
    <w:rsid w:val="698031E0"/>
    <w:rsid w:val="698F5B5A"/>
    <w:rsid w:val="6A282421"/>
    <w:rsid w:val="6A351E57"/>
    <w:rsid w:val="6A4933FA"/>
    <w:rsid w:val="6A4F109E"/>
    <w:rsid w:val="6B6E5B6F"/>
    <w:rsid w:val="6C533883"/>
    <w:rsid w:val="6D2B2009"/>
    <w:rsid w:val="6D9329FF"/>
    <w:rsid w:val="6DE26639"/>
    <w:rsid w:val="6DF82AFB"/>
    <w:rsid w:val="6E9052AB"/>
    <w:rsid w:val="6EA03693"/>
    <w:rsid w:val="6F382F2A"/>
    <w:rsid w:val="6F592456"/>
    <w:rsid w:val="6FEB7DC1"/>
    <w:rsid w:val="70252EF7"/>
    <w:rsid w:val="709A5392"/>
    <w:rsid w:val="713E17FE"/>
    <w:rsid w:val="71A5264B"/>
    <w:rsid w:val="71CA60FD"/>
    <w:rsid w:val="728A2C7F"/>
    <w:rsid w:val="72A402D8"/>
    <w:rsid w:val="72D05ACB"/>
    <w:rsid w:val="72FE16E0"/>
    <w:rsid w:val="731128F3"/>
    <w:rsid w:val="7316550A"/>
    <w:rsid w:val="732B5DDF"/>
    <w:rsid w:val="737A7A3E"/>
    <w:rsid w:val="73B22AE3"/>
    <w:rsid w:val="74AE0B5E"/>
    <w:rsid w:val="75030956"/>
    <w:rsid w:val="750D2257"/>
    <w:rsid w:val="75103C0B"/>
    <w:rsid w:val="75132786"/>
    <w:rsid w:val="75AE013C"/>
    <w:rsid w:val="75F23369"/>
    <w:rsid w:val="768B5527"/>
    <w:rsid w:val="7698141D"/>
    <w:rsid w:val="77234A3E"/>
    <w:rsid w:val="77247070"/>
    <w:rsid w:val="776239F8"/>
    <w:rsid w:val="77E4359D"/>
    <w:rsid w:val="782A59CF"/>
    <w:rsid w:val="786C2798"/>
    <w:rsid w:val="789235F1"/>
    <w:rsid w:val="78B16287"/>
    <w:rsid w:val="794469FD"/>
    <w:rsid w:val="7966315B"/>
    <w:rsid w:val="79B76893"/>
    <w:rsid w:val="79F82819"/>
    <w:rsid w:val="7A09540F"/>
    <w:rsid w:val="7AE73614"/>
    <w:rsid w:val="7AFC566D"/>
    <w:rsid w:val="7B061916"/>
    <w:rsid w:val="7B941810"/>
    <w:rsid w:val="7BB313EC"/>
    <w:rsid w:val="7C2D1553"/>
    <w:rsid w:val="7C793438"/>
    <w:rsid w:val="7C95027B"/>
    <w:rsid w:val="7D511775"/>
    <w:rsid w:val="7D6221DE"/>
    <w:rsid w:val="7D8F3C42"/>
    <w:rsid w:val="7DA375EC"/>
    <w:rsid w:val="7DE517D7"/>
    <w:rsid w:val="7E7E44E9"/>
    <w:rsid w:val="7EA01EE0"/>
    <w:rsid w:val="7EB122E0"/>
    <w:rsid w:val="7EBA6FA4"/>
    <w:rsid w:val="7F0A79AA"/>
    <w:rsid w:val="7FE0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黑体"/>
      <w:kern w:val="2"/>
      <w:sz w:val="21"/>
      <w:szCs w:val="22"/>
      <w:lang w:val="en-US" w:eastAsia="zh-CN" w:bidi="ar-SA"/>
    </w:rPr>
  </w:style>
  <w:style w:type="paragraph" w:styleId="4">
    <w:name w:val="heading 1"/>
    <w:basedOn w:val="1"/>
    <w:next w:val="1"/>
    <w:link w:val="27"/>
    <w:qFormat/>
    <w:uiPriority w:val="0"/>
    <w:pPr>
      <w:widowControl/>
      <w:numPr>
        <w:ilvl w:val="0"/>
        <w:numId w:val="1"/>
      </w:numPr>
      <w:spacing w:line="240" w:lineRule="auto"/>
      <w:ind w:left="0" w:firstLine="0"/>
      <w:jc w:val="left"/>
      <w:outlineLvl w:val="0"/>
    </w:pPr>
    <w:rPr>
      <w:rFonts w:ascii="华文楷体" w:hAnsi="华文楷体" w:eastAsia="宋体" w:cs="Times New Roman"/>
      <w:b/>
      <w:kern w:val="0"/>
      <w:sz w:val="24"/>
      <w:szCs w:val="20"/>
      <w:lang w:val="en-GB"/>
    </w:rPr>
  </w:style>
  <w:style w:type="paragraph" w:styleId="2">
    <w:name w:val="heading 2"/>
    <w:basedOn w:val="1"/>
    <w:next w:val="3"/>
    <w:link w:val="46"/>
    <w:unhideWhenUsed/>
    <w:qFormat/>
    <w:uiPriority w:val="0"/>
    <w:pPr>
      <w:keepNext/>
      <w:keepLines/>
      <w:spacing w:line="300" w:lineRule="auto"/>
      <w:ind w:firstLine="1446" w:firstLineChars="200"/>
      <w:jc w:val="left"/>
      <w:outlineLvl w:val="1"/>
    </w:pPr>
    <w:rPr>
      <w:rFonts w:eastAsia="宋体" w:asciiTheme="majorAscii" w:hAnsiTheme="majorAscii" w:cstheme="majorBidi"/>
      <w:b/>
      <w:bCs/>
      <w:sz w:val="24"/>
      <w:szCs w:val="32"/>
    </w:rPr>
  </w:style>
  <w:style w:type="paragraph" w:styleId="3">
    <w:name w:val="heading 3"/>
    <w:basedOn w:val="1"/>
    <w:next w:val="1"/>
    <w:unhideWhenUsed/>
    <w:qFormat/>
    <w:uiPriority w:val="0"/>
    <w:pPr>
      <w:keepNext/>
      <w:keepLines/>
      <w:spacing w:line="360" w:lineRule="auto"/>
      <w:ind w:firstLine="1446" w:firstLineChars="200"/>
      <w:jc w:val="left"/>
      <w:outlineLvl w:val="2"/>
    </w:pPr>
    <w:rPr>
      <w:rFonts w:eastAsia="宋体"/>
      <w:b/>
      <w:bCs/>
      <w:sz w:val="24"/>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unhideWhenUsed/>
    <w:qFormat/>
    <w:uiPriority w:val="99"/>
    <w:pPr>
      <w:jc w:val="left"/>
    </w:pPr>
  </w:style>
  <w:style w:type="paragraph" w:styleId="7">
    <w:name w:val="Body Text"/>
    <w:basedOn w:val="1"/>
    <w:next w:val="1"/>
    <w:qFormat/>
    <w:uiPriority w:val="0"/>
    <w:pPr>
      <w:widowControl/>
      <w:spacing w:before="150" w:after="150" w:line="264" w:lineRule="auto"/>
      <w:ind w:firstLine="567"/>
    </w:pPr>
    <w:rPr>
      <w:rFonts w:ascii="华文楷体" w:hAnsi="华文楷体" w:eastAsia="LF_Kai"/>
      <w:kern w:val="0"/>
      <w:sz w:val="24"/>
      <w:szCs w:val="20"/>
      <w:lang w:val="en-GB"/>
    </w:rPr>
  </w:style>
  <w:style w:type="paragraph" w:styleId="8">
    <w:name w:val="Body Text Indent"/>
    <w:basedOn w:val="1"/>
    <w:qFormat/>
    <w:uiPriority w:val="0"/>
    <w:pPr>
      <w:ind w:left="105" w:hanging="105"/>
    </w:pPr>
    <w:rPr>
      <w:sz w:val="32"/>
      <w:szCs w:val="32"/>
    </w:rPr>
  </w:style>
  <w:style w:type="paragraph" w:styleId="9">
    <w:name w:val="toc 3"/>
    <w:basedOn w:val="1"/>
    <w:next w:val="1"/>
    <w:unhideWhenUsed/>
    <w:qFormat/>
    <w:uiPriority w:val="39"/>
    <w:pPr>
      <w:ind w:left="840" w:leftChars="400"/>
    </w:pPr>
  </w:style>
  <w:style w:type="paragraph" w:styleId="10">
    <w:name w:val="Balloon Text"/>
    <w:basedOn w:val="1"/>
    <w:link w:val="33"/>
    <w:unhideWhenUsed/>
    <w:qFormat/>
    <w:uiPriority w:val="99"/>
    <w:rPr>
      <w:sz w:val="18"/>
      <w:szCs w:val="18"/>
    </w:rPr>
  </w:style>
  <w:style w:type="paragraph" w:styleId="11">
    <w:name w:val="footer"/>
    <w:basedOn w:val="1"/>
    <w:next w:val="1"/>
    <w:link w:val="35"/>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44"/>
    <w:unhideWhenUsed/>
    <w:qFormat/>
    <w:uiPriority w:val="99"/>
    <w:pPr>
      <w:snapToGrid w:val="0"/>
      <w:jc w:val="left"/>
    </w:pPr>
    <w:rPr>
      <w:sz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line="240" w:lineRule="auto"/>
      <w:jc w:val="left"/>
    </w:pPr>
    <w:rPr>
      <w:rFonts w:ascii="Times New Roman" w:hAnsi="Times New Roman" w:cs="Times New Roman" w:eastAsiaTheme="minorEastAsia"/>
      <w:kern w:val="0"/>
      <w:sz w:val="24"/>
      <w:szCs w:val="24"/>
    </w:rPr>
  </w:style>
  <w:style w:type="paragraph" w:styleId="17">
    <w:name w:val="annotation subject"/>
    <w:basedOn w:val="6"/>
    <w:next w:val="6"/>
    <w:link w:val="32"/>
    <w:unhideWhenUsed/>
    <w:qFormat/>
    <w:uiPriority w:val="99"/>
    <w:rPr>
      <w:b/>
      <w:bCs/>
    </w:rPr>
  </w:style>
  <w:style w:type="paragraph" w:styleId="18">
    <w:name w:val="Body Text First Indent"/>
    <w:basedOn w:val="7"/>
    <w:next w:val="19"/>
    <w:semiHidden/>
    <w:unhideWhenUsed/>
    <w:qFormat/>
    <w:uiPriority w:val="99"/>
    <w:pPr>
      <w:adjustRightInd/>
      <w:snapToGrid/>
      <w:spacing w:before="0" w:after="120" w:line="240" w:lineRule="auto"/>
      <w:ind w:firstLine="420" w:firstLineChars="100"/>
    </w:pPr>
    <w:rPr>
      <w:rFonts w:ascii="Calibri" w:hAnsi="Calibri" w:eastAsia="宋体"/>
    </w:rPr>
  </w:style>
  <w:style w:type="paragraph" w:styleId="19">
    <w:name w:val="Body Text First Indent 2"/>
    <w:basedOn w:val="8"/>
    <w:next w:val="18"/>
    <w:unhideWhenUsed/>
    <w:qFormat/>
    <w:uiPriority w:val="99"/>
    <w:pPr>
      <w:ind w:firstLine="420" w:firstLineChars="200"/>
    </w:p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rPr>
      <w:rFonts w:cs="Times New Roman"/>
    </w:rPr>
  </w:style>
  <w:style w:type="character" w:styleId="24">
    <w:name w:val="Hyperlink"/>
    <w:unhideWhenUsed/>
    <w:qFormat/>
    <w:uiPriority w:val="99"/>
    <w:rPr>
      <w:color w:val="0000FF"/>
      <w:u w:val="single"/>
    </w:rPr>
  </w:style>
  <w:style w:type="character" w:styleId="25">
    <w:name w:val="annotation reference"/>
    <w:basedOn w:val="22"/>
    <w:unhideWhenUsed/>
    <w:qFormat/>
    <w:uiPriority w:val="99"/>
    <w:rPr>
      <w:sz w:val="21"/>
      <w:szCs w:val="21"/>
    </w:rPr>
  </w:style>
  <w:style w:type="character" w:styleId="26">
    <w:name w:val="footnote reference"/>
    <w:basedOn w:val="22"/>
    <w:unhideWhenUsed/>
    <w:qFormat/>
    <w:uiPriority w:val="99"/>
    <w:rPr>
      <w:vertAlign w:val="superscript"/>
    </w:rPr>
  </w:style>
  <w:style w:type="character" w:customStyle="1" w:styleId="27">
    <w:name w:val="标题 1 Char"/>
    <w:link w:val="4"/>
    <w:qFormat/>
    <w:uiPriority w:val="0"/>
    <w:rPr>
      <w:rFonts w:ascii="华文楷体" w:hAnsi="华文楷体" w:eastAsia="宋体" w:cs="Times New Roman"/>
      <w:b/>
      <w:kern w:val="0"/>
      <w:sz w:val="24"/>
      <w:szCs w:val="20"/>
      <w:lang w:val="en-GB"/>
    </w:rPr>
  </w:style>
  <w:style w:type="paragraph" w:customStyle="1" w:styleId="28">
    <w:name w:val="CM13"/>
    <w:basedOn w:val="1"/>
    <w:next w:val="1"/>
    <w:qFormat/>
    <w:uiPriority w:val="99"/>
    <w:pPr>
      <w:autoSpaceDE w:val="0"/>
      <w:autoSpaceDN w:val="0"/>
      <w:adjustRightInd w:val="0"/>
      <w:jc w:val="left"/>
    </w:pPr>
    <w:rPr>
      <w:rFonts w:ascii="宋体"/>
      <w:kern w:val="0"/>
      <w:sz w:val="24"/>
      <w:szCs w:val="24"/>
    </w:rPr>
  </w:style>
  <w:style w:type="paragraph" w:customStyle="1" w:styleId="29">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30">
    <w:name w:val="列出段落1"/>
    <w:basedOn w:val="1"/>
    <w:qFormat/>
    <w:uiPriority w:val="34"/>
    <w:pPr>
      <w:ind w:firstLine="420" w:firstLineChars="200"/>
    </w:pPr>
  </w:style>
  <w:style w:type="character" w:customStyle="1" w:styleId="31">
    <w:name w:val="批注文字 Char"/>
    <w:basedOn w:val="22"/>
    <w:link w:val="6"/>
    <w:qFormat/>
    <w:uiPriority w:val="99"/>
  </w:style>
  <w:style w:type="character" w:customStyle="1" w:styleId="32">
    <w:name w:val="批注主题 Char"/>
    <w:basedOn w:val="31"/>
    <w:link w:val="17"/>
    <w:semiHidden/>
    <w:qFormat/>
    <w:uiPriority w:val="99"/>
    <w:rPr>
      <w:b/>
      <w:bCs/>
    </w:rPr>
  </w:style>
  <w:style w:type="character" w:customStyle="1" w:styleId="33">
    <w:name w:val="批注框文本 Char"/>
    <w:basedOn w:val="22"/>
    <w:link w:val="10"/>
    <w:semiHidden/>
    <w:qFormat/>
    <w:uiPriority w:val="99"/>
    <w:rPr>
      <w:sz w:val="18"/>
      <w:szCs w:val="18"/>
    </w:rPr>
  </w:style>
  <w:style w:type="character" w:customStyle="1" w:styleId="34">
    <w:name w:val="页眉 Char"/>
    <w:basedOn w:val="22"/>
    <w:link w:val="12"/>
    <w:qFormat/>
    <w:uiPriority w:val="99"/>
    <w:rPr>
      <w:sz w:val="18"/>
      <w:szCs w:val="18"/>
    </w:rPr>
  </w:style>
  <w:style w:type="character" w:customStyle="1" w:styleId="35">
    <w:name w:val="页脚 Char"/>
    <w:basedOn w:val="22"/>
    <w:link w:val="11"/>
    <w:qFormat/>
    <w:uiPriority w:val="99"/>
    <w:rPr>
      <w:sz w:val="18"/>
      <w:szCs w:val="18"/>
    </w:rPr>
  </w:style>
  <w:style w:type="paragraph" w:customStyle="1" w:styleId="36">
    <w:name w:val="Table Paragraph"/>
    <w:basedOn w:val="1"/>
    <w:qFormat/>
    <w:uiPriority w:val="1"/>
    <w:pPr>
      <w:jc w:val="right"/>
    </w:pPr>
    <w:rPr>
      <w:rFonts w:ascii="Verdana" w:hAnsi="Verdana" w:eastAsia="Verdana" w:cs="Verdana"/>
      <w:lang w:val="zh-CN" w:bidi="zh-CN"/>
    </w:rPr>
  </w:style>
  <w:style w:type="paragraph" w:customStyle="1" w:styleId="37">
    <w:name w:val="列出段落2"/>
    <w:basedOn w:val="1"/>
    <w:qFormat/>
    <w:uiPriority w:val="99"/>
    <w:pPr>
      <w:ind w:left="720"/>
      <w:contextualSpacing/>
    </w:pPr>
  </w:style>
  <w:style w:type="paragraph" w:customStyle="1" w:styleId="38">
    <w:name w:val="无间隔1"/>
    <w:qFormat/>
    <w:uiPriority w:val="1"/>
    <w:pPr>
      <w:ind w:left="870"/>
      <w:jc w:val="right"/>
    </w:pPr>
    <w:rPr>
      <w:rFonts w:ascii="华文细黑" w:hAnsi="华文细黑" w:eastAsia="华文细黑" w:cstheme="minorBidi"/>
      <w:sz w:val="24"/>
      <w:szCs w:val="22"/>
      <w:lang w:val="en-US" w:eastAsia="zh-CN" w:bidi="ar-SA"/>
    </w:rPr>
  </w:style>
  <w:style w:type="paragraph" w:customStyle="1" w:styleId="39">
    <w:name w:val="表格标题"/>
    <w:basedOn w:val="1"/>
    <w:qFormat/>
    <w:uiPriority w:val="0"/>
    <w:pPr>
      <w:snapToGrid w:val="0"/>
      <w:spacing w:beforeLines="20"/>
      <w:jc w:val="center"/>
    </w:pPr>
    <w:rPr>
      <w:rFonts w:cs="Arial"/>
      <w:b/>
      <w:bCs/>
      <w:szCs w:val="24"/>
    </w:rPr>
  </w:style>
  <w:style w:type="paragraph" w:customStyle="1" w:styleId="40">
    <w:name w:val="表格内容"/>
    <w:basedOn w:val="1"/>
    <w:qFormat/>
    <w:uiPriority w:val="0"/>
    <w:pPr>
      <w:widowControl/>
      <w:spacing w:line="240" w:lineRule="auto"/>
      <w:jc w:val="center"/>
    </w:pPr>
    <w:rPr>
      <w:kern w:val="0"/>
      <w:szCs w:val="24"/>
    </w:rPr>
  </w:style>
  <w:style w:type="paragraph" w:customStyle="1" w:styleId="41">
    <w:name w:val="表格标题1"/>
    <w:basedOn w:val="1"/>
    <w:qFormat/>
    <w:uiPriority w:val="0"/>
    <w:pPr>
      <w:snapToGrid w:val="0"/>
      <w:spacing w:beforeLines="100" w:afterLines="100"/>
      <w:jc w:val="center"/>
    </w:pPr>
    <w:rPr>
      <w:rFonts w:cs="Arial"/>
      <w:bCs/>
      <w:szCs w:val="24"/>
    </w:rPr>
  </w:style>
  <w:style w:type="paragraph" w:customStyle="1" w:styleId="42">
    <w:name w:val="表格内容1"/>
    <w:basedOn w:val="1"/>
    <w:qFormat/>
    <w:uiPriority w:val="0"/>
    <w:pPr>
      <w:widowControl/>
      <w:spacing w:line="240" w:lineRule="auto"/>
      <w:jc w:val="center"/>
    </w:pPr>
    <w:rPr>
      <w:rFonts w:cs="宋体"/>
      <w:kern w:val="0"/>
      <w:szCs w:val="24"/>
    </w:rPr>
  </w:style>
  <w:style w:type="character" w:customStyle="1" w:styleId="43">
    <w:name w:val="font31"/>
    <w:basedOn w:val="22"/>
    <w:qFormat/>
    <w:uiPriority w:val="0"/>
    <w:rPr>
      <w:rFonts w:hint="eastAsia" w:ascii="宋体" w:hAnsi="宋体" w:eastAsia="宋体" w:cs="宋体"/>
      <w:color w:val="000000"/>
      <w:sz w:val="18"/>
      <w:szCs w:val="18"/>
      <w:u w:val="none"/>
    </w:rPr>
  </w:style>
  <w:style w:type="character" w:customStyle="1" w:styleId="44">
    <w:name w:val="脚注文本 Char"/>
    <w:basedOn w:val="22"/>
    <w:link w:val="14"/>
    <w:semiHidden/>
    <w:qFormat/>
    <w:uiPriority w:val="99"/>
    <w:rPr>
      <w:rFonts w:ascii="Calibri" w:hAnsi="Calibri" w:cs="黑体"/>
      <w:kern w:val="2"/>
      <w:sz w:val="18"/>
      <w:szCs w:val="22"/>
    </w:rPr>
  </w:style>
  <w:style w:type="paragraph" w:styleId="45">
    <w:name w:val="List Paragraph"/>
    <w:basedOn w:val="1"/>
    <w:qFormat/>
    <w:uiPriority w:val="34"/>
    <w:pPr>
      <w:ind w:left="720"/>
      <w:contextualSpacing/>
    </w:pPr>
  </w:style>
  <w:style w:type="character" w:customStyle="1" w:styleId="46">
    <w:name w:val="标题 2 Char1"/>
    <w:link w:val="2"/>
    <w:uiPriority w:val="0"/>
    <w:rPr>
      <w:rFonts w:eastAsia="宋体" w:asciiTheme="majorAscii" w:hAnsiTheme="majorAscii" w:cstheme="majorBidi"/>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C:\Users\ASUS\Desktop\&#20747;&#24030;&#19987;&#20538;6&#26376;21&#26085;&#21457;&#34892;\&#20747;&#24030;&#39033;&#30446;&#20998;&#26512;&#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SUS\Desktop\&#20747;&#24030;&#19987;&#20538;6&#26376;21&#26085;&#21457;&#34892;\&#20747;&#24030;&#39033;&#30446;&#20998;&#26512;&#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C:\Users\ASUS\Desktop\&#20747;&#24030;&#19987;&#20538;6&#26376;21&#26085;&#21457;&#34892;\&#20747;&#24030;&#39033;&#30446;&#20998;&#26512;&#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SUS\Desktop\&#20747;&#24030;&#19987;&#20538;6&#26376;21&#26085;&#21457;&#34892;\&#20747;&#24030;&#39033;&#30446;&#20998;&#26512;&#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C:\Users\ASUS\Desktop\&#20747;&#24030;&#19987;&#20538;6&#26376;21&#26085;&#21457;&#34892;\&#20747;&#24030;&#39033;&#30446;&#20998;&#26512;&#34920;.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C:\Users\ASUS\Desktop\&#20747;&#24030;&#19987;&#20538;6&#26376;21&#26085;&#21457;&#34892;\&#20747;&#24030;&#39033;&#30446;&#20998;&#26512;&#3492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C:\Users\ASUS\Desktop\&#20747;&#24030;&#19987;&#20538;6&#26376;21&#26085;&#21457;&#34892;\&#20747;&#24030;&#39033;&#30446;&#20998;&#26512;&#34920;.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C:\Users\ASUS\Desktop\&#20747;&#24030;&#19987;&#20538;6&#26376;21&#26085;&#21457;&#34892;\&#20747;&#24030;&#39033;&#30446;&#20998;&#265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1" i="0" u="none" strike="noStrike" kern="1200" spc="0" baseline="0">
                <a:solidFill>
                  <a:sysClr val="windowText" lastClr="000000">
                    <a:lumMod val="65000"/>
                    <a:lumOff val="35000"/>
                  </a:sysClr>
                </a:solidFill>
                <a:latin typeface="+mn-lt"/>
                <a:ea typeface="+mn-ea"/>
                <a:cs typeface="+mn-cs"/>
              </a:defRPr>
            </a:pPr>
            <a:r>
              <a:rPr sz="1050" b="1"/>
              <a:t>图1</a:t>
            </a:r>
            <a:r>
              <a:rPr lang="en-US" altLang="zh-CN" sz="1050" b="1"/>
              <a:t>-1</a:t>
            </a:r>
            <a:r>
              <a:rPr sz="1050" b="1"/>
              <a:t> </a:t>
            </a:r>
            <a:r>
              <a:rPr lang="en-US" altLang="zh-CN" sz="1050" b="1"/>
              <a:t>   儋州工业园王五园区道路建设工程（二期）</a:t>
            </a:r>
            <a:r>
              <a:rPr sz="1050" b="1"/>
              <a:t>债券存续期内资金留存情况</a:t>
            </a:r>
            <a:endParaRPr sz="1050" b="1"/>
          </a:p>
        </c:rich>
      </c:tx>
      <c:layout>
        <c:manualLayout>
          <c:xMode val="edge"/>
          <c:yMode val="edge"/>
          <c:x val="0.113358511169426"/>
          <c:y val="0.0340232492203005"/>
        </c:manualLayout>
      </c:layout>
      <c:overlay val="0"/>
      <c:spPr>
        <a:noFill/>
        <a:ln>
          <a:noFill/>
        </a:ln>
        <a:effectLst/>
      </c:spPr>
    </c:title>
    <c:autoTitleDeleted val="0"/>
    <c:plotArea>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'[儋州项目分析表.xlsx]1.儋州工业园王五园区道路建设工程（二期）'!$B$56:$L$56</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'[儋州项目分析表.xlsx]1.儋州工业园王五园区道路建设工程（二期）'!$B$57:$L$57</c:f>
              <c:numCache>
                <c:formatCode>_ * #,##0_ ;_ * \-#,##0_ ;_ * "-"_ ;_ @_ </c:formatCode>
                <c:ptCount val="11"/>
                <c:pt idx="0">
                  <c:v>0</c:v>
                </c:pt>
                <c:pt idx="1">
                  <c:v>1414.7355</c:v>
                </c:pt>
                <c:pt idx="2">
                  <c:v>2829.471</c:v>
                </c:pt>
                <c:pt idx="3">
                  <c:v>4244.2065</c:v>
                </c:pt>
                <c:pt idx="4">
                  <c:v>5658.942</c:v>
                </c:pt>
                <c:pt idx="5">
                  <c:v>7073.6775</c:v>
                </c:pt>
                <c:pt idx="6">
                  <c:v>8488.413</c:v>
                </c:pt>
                <c:pt idx="7">
                  <c:v>9903.1485</c:v>
                </c:pt>
                <c:pt idx="8">
                  <c:v>11317.884</c:v>
                </c:pt>
                <c:pt idx="9">
                  <c:v>12732.6195</c:v>
                </c:pt>
                <c:pt idx="10">
                  <c:v>4160.355</c:v>
                </c:pt>
              </c:numCache>
            </c:numRef>
          </c:val>
        </c:ser>
        <c:dLbls>
          <c:showLegendKey val="0"/>
          <c:showVal val="1"/>
          <c:showCatName val="0"/>
          <c:showSerName val="0"/>
          <c:showPercent val="0"/>
          <c:showBubbleSize val="0"/>
        </c:dLbls>
        <c:gapWidth val="219"/>
        <c:overlap val="-27"/>
        <c:axId val="615838514"/>
        <c:axId val="321432784"/>
      </c:barChart>
      <c:catAx>
        <c:axId val="615838514"/>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p>
        </c:txPr>
        <c:crossAx val="321432784"/>
        <c:crosses val="autoZero"/>
        <c:auto val="1"/>
        <c:lblAlgn val="ctr"/>
        <c:lblOffset val="100"/>
        <c:noMultiLvlLbl val="0"/>
      </c:catAx>
      <c:valAx>
        <c:axId val="32143278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p>
        </c:txPr>
        <c:crossAx val="61583851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0" i="0" u="none" strike="noStrike" kern="1200" spc="0" baseline="0">
                <a:solidFill>
                  <a:sysClr val="windowText" lastClr="000000">
                    <a:lumMod val="65000"/>
                    <a:lumOff val="35000"/>
                  </a:sysClr>
                </a:solidFill>
                <a:latin typeface="+mn-lt"/>
                <a:ea typeface="+mn-ea"/>
                <a:cs typeface="+mn-cs"/>
              </a:defRPr>
            </a:pPr>
            <a:r>
              <a:rPr sz="1050" b="1"/>
              <a:t>图1</a:t>
            </a:r>
            <a:r>
              <a:rPr lang="en-US" altLang="zh-CN" sz="1050" b="1"/>
              <a:t>-2</a:t>
            </a:r>
            <a:r>
              <a:rPr sz="1050" b="1"/>
              <a:t>  儋州工业园王五片区道路建设工程（三期）债券存续期内资金留存情况</a:t>
            </a:r>
            <a:endParaRPr sz="1050" b="1"/>
          </a:p>
        </c:rich>
      </c:tx>
      <c:layout/>
      <c:overlay val="0"/>
      <c:spPr>
        <a:noFill/>
        <a:ln>
          <a:noFill/>
        </a:ln>
        <a:effectLst/>
      </c:spPr>
    </c:title>
    <c:autoTitleDeleted val="0"/>
    <c:plotArea>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'[儋州项目分析表.xlsx]2.儋州工业园王五片区道路建设工程（三期）'!$B$56:$L$56</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'[儋州项目分析表.xlsx]2.儋州工业园王五片区道路建设工程（三期）'!$B$57:$L$57</c:f>
              <c:numCache>
                <c:formatCode>_ * #,##0_ ;_ * \-#,##0_ ;_ * "-"_ ;_ @_ </c:formatCode>
                <c:ptCount val="11"/>
                <c:pt idx="0">
                  <c:v>0</c:v>
                </c:pt>
                <c:pt idx="1">
                  <c:v>6370.2654575</c:v>
                </c:pt>
                <c:pt idx="2">
                  <c:v>12740.530915</c:v>
                </c:pt>
                <c:pt idx="3">
                  <c:v>17869.2193725</c:v>
                </c:pt>
                <c:pt idx="4">
                  <c:v>22997.90783</c:v>
                </c:pt>
                <c:pt idx="5">
                  <c:v>28126.5962875</c:v>
                </c:pt>
                <c:pt idx="6">
                  <c:v>33255.284745</c:v>
                </c:pt>
                <c:pt idx="7">
                  <c:v>38383.9732025</c:v>
                </c:pt>
                <c:pt idx="8">
                  <c:v>43512.66166</c:v>
                </c:pt>
                <c:pt idx="9">
                  <c:v>48641.3501175</c:v>
                </c:pt>
                <c:pt idx="10">
                  <c:v>16708.038575</c:v>
                </c:pt>
              </c:numCache>
            </c:numRef>
          </c:val>
        </c:ser>
        <c:dLbls>
          <c:showLegendKey val="0"/>
          <c:showVal val="1"/>
          <c:showCatName val="0"/>
          <c:showSerName val="0"/>
          <c:showPercent val="0"/>
          <c:showBubbleSize val="0"/>
        </c:dLbls>
        <c:gapWidth val="219"/>
        <c:overlap val="-27"/>
        <c:axId val="674149228"/>
        <c:axId val="453112025"/>
      </c:barChart>
      <c:catAx>
        <c:axId val="674149228"/>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p>
        </c:txPr>
        <c:crossAx val="453112025"/>
        <c:crosses val="autoZero"/>
        <c:auto val="1"/>
        <c:lblAlgn val="ctr"/>
        <c:lblOffset val="100"/>
        <c:noMultiLvlLbl val="0"/>
      </c:catAx>
      <c:valAx>
        <c:axId val="453112025"/>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p>
        </c:txPr>
        <c:crossAx val="67414922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960" b="0" i="0" u="none" strike="noStrike" kern="1200" spc="0" baseline="0">
                <a:solidFill>
                  <a:sysClr val="windowText" lastClr="000000">
                    <a:lumMod val="65000"/>
                    <a:lumOff val="35000"/>
                  </a:sysClr>
                </a:solidFill>
                <a:latin typeface="+mn-lt"/>
                <a:ea typeface="+mn-ea"/>
                <a:cs typeface="+mn-cs"/>
              </a:defRPr>
            </a:pPr>
            <a:r>
              <a:rPr sz="1050" b="1"/>
              <a:t>图1-</a:t>
            </a:r>
            <a:r>
              <a:rPr lang="en-US" altLang="zh-CN" sz="1050" b="1"/>
              <a:t>3  </a:t>
            </a:r>
            <a:r>
              <a:rPr sz="1050" b="1"/>
              <a:t> 省道S308美洋线那大至洋浦互通段公路改建工程（只含主线）债券存续期内资金留存情况</a:t>
            </a:r>
            <a:endParaRPr sz="1050" b="1"/>
          </a:p>
        </c:rich>
      </c:tx>
      <c:layout>
        <c:manualLayout>
          <c:xMode val="edge"/>
          <c:yMode val="edge"/>
          <c:x val="0.100277008310249"/>
          <c:y val="0.0246913580246914"/>
        </c:manualLayout>
      </c:layout>
      <c:overlay val="0"/>
      <c:spPr>
        <a:noFill/>
        <a:ln>
          <a:noFill/>
        </a:ln>
        <a:effectLst/>
      </c:spPr>
    </c:title>
    <c:autoTitleDeleted val="0"/>
    <c:plotArea>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'[儋州项目分析表.xlsx]3.省道S308美洋线那大至洋浦互通段公路改建工程（只含主线）'!$B$56:$L$56</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'[儋州项目分析表.xlsx]3.省道S308美洋线那大至洋浦互通段公路改建工程（只含主线）'!$B$57:$L$57</c:f>
              <c:numCache>
                <c:formatCode>_ * #,##0_ ;_ * \-#,##0_ ;_ * "-"_ ;_ @_ </c:formatCode>
                <c:ptCount val="11"/>
                <c:pt idx="0">
                  <c:v>0</c:v>
                </c:pt>
                <c:pt idx="1">
                  <c:v>485</c:v>
                </c:pt>
                <c:pt idx="2">
                  <c:v>970</c:v>
                </c:pt>
                <c:pt idx="3">
                  <c:v>1354.5</c:v>
                </c:pt>
                <c:pt idx="4">
                  <c:v>1739</c:v>
                </c:pt>
                <c:pt idx="5">
                  <c:v>2123.5</c:v>
                </c:pt>
                <c:pt idx="6">
                  <c:v>2508</c:v>
                </c:pt>
                <c:pt idx="7">
                  <c:v>2892.5</c:v>
                </c:pt>
                <c:pt idx="8">
                  <c:v>3277</c:v>
                </c:pt>
                <c:pt idx="9">
                  <c:v>3661.5</c:v>
                </c:pt>
                <c:pt idx="10">
                  <c:v>1046</c:v>
                </c:pt>
              </c:numCache>
            </c:numRef>
          </c:val>
        </c:ser>
        <c:dLbls>
          <c:showLegendKey val="0"/>
          <c:showVal val="1"/>
          <c:showCatName val="0"/>
          <c:showSerName val="0"/>
          <c:showPercent val="0"/>
          <c:showBubbleSize val="0"/>
        </c:dLbls>
        <c:gapWidth val="219"/>
        <c:overlap val="-27"/>
        <c:axId val="75171396"/>
        <c:axId val="110200682"/>
      </c:barChart>
      <c:catAx>
        <c:axId val="75171396"/>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lumMod val="65000"/>
                    <a:lumOff val="35000"/>
                  </a:sysClr>
                </a:solidFill>
                <a:latin typeface="+mn-lt"/>
                <a:ea typeface="+mn-ea"/>
                <a:cs typeface="+mn-cs"/>
              </a:defRPr>
            </a:pPr>
          </a:p>
        </c:txPr>
        <c:crossAx val="110200682"/>
        <c:crosses val="autoZero"/>
        <c:auto val="1"/>
        <c:lblAlgn val="ctr"/>
        <c:lblOffset val="100"/>
        <c:noMultiLvlLbl val="0"/>
      </c:catAx>
      <c:valAx>
        <c:axId val="11020068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lumMod val="65000"/>
                    <a:lumOff val="35000"/>
                  </a:sysClr>
                </a:solidFill>
                <a:latin typeface="+mn-lt"/>
                <a:ea typeface="+mn-ea"/>
                <a:cs typeface="+mn-cs"/>
              </a:defRPr>
            </a:pPr>
          </a:p>
        </c:txPr>
        <c:crossAx val="7517139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8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sz="1050" b="1"/>
              <a:t>图</a:t>
            </a:r>
            <a:r>
              <a:rPr lang="en-US" altLang="zh-CN" sz="1050" b="1"/>
              <a:t> </a:t>
            </a:r>
            <a:r>
              <a:rPr sz="1050" b="1"/>
              <a:t>1-</a:t>
            </a:r>
            <a:r>
              <a:rPr lang="en-US" altLang="zh-CN" sz="1050" b="1"/>
              <a:t>4</a:t>
            </a:r>
            <a:r>
              <a:rPr sz="1050" b="1"/>
              <a:t> </a:t>
            </a:r>
            <a:r>
              <a:rPr lang="en-US" altLang="zh-CN" sz="1050" b="1"/>
              <a:t>  </a:t>
            </a:r>
            <a:r>
              <a:rPr sz="1050" b="1"/>
              <a:t>省道S315王五工业园区至白马井段市政化改建工程债券存续期内资金留存情况</a:t>
            </a:r>
            <a:endParaRPr sz="1050" b="1"/>
          </a:p>
        </c:rich>
      </c:tx>
      <c:layout>
        <c:manualLayout>
          <c:xMode val="edge"/>
          <c:yMode val="edge"/>
          <c:x val="0.0825"/>
          <c:y val="0.0162037037037037"/>
        </c:manualLayout>
      </c:layout>
      <c:overlay val="0"/>
      <c:spPr>
        <a:noFill/>
        <a:ln>
          <a:noFill/>
        </a:ln>
        <a:effectLst/>
      </c:spPr>
    </c:title>
    <c:autoTitleDeleted val="0"/>
    <c:plotArea>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'[儋州项目分析表.xlsx]4.省道S315王五工业园区至白马井段市政化改建工程'!$B$56:$L$56</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'[儋州项目分析表.xlsx]4.省道S315王五工业园区至白马井段市政化改建工程'!$B$57:$L$57</c:f>
              <c:numCache>
                <c:formatCode>_ * #,##0_ ;_ * \-#,##0_ ;_ * "-"_ ;_ @_ </c:formatCode>
                <c:ptCount val="11"/>
                <c:pt idx="0">
                  <c:v>0</c:v>
                </c:pt>
                <c:pt idx="1">
                  <c:v>160.5</c:v>
                </c:pt>
                <c:pt idx="2">
                  <c:v>321</c:v>
                </c:pt>
                <c:pt idx="3">
                  <c:v>448</c:v>
                </c:pt>
                <c:pt idx="4">
                  <c:v>575</c:v>
                </c:pt>
                <c:pt idx="5">
                  <c:v>702</c:v>
                </c:pt>
                <c:pt idx="6">
                  <c:v>829</c:v>
                </c:pt>
                <c:pt idx="7">
                  <c:v>956</c:v>
                </c:pt>
                <c:pt idx="8">
                  <c:v>1083</c:v>
                </c:pt>
                <c:pt idx="9">
                  <c:v>1210</c:v>
                </c:pt>
                <c:pt idx="10">
                  <c:v>337</c:v>
                </c:pt>
              </c:numCache>
            </c:numRef>
          </c:val>
        </c:ser>
        <c:dLbls>
          <c:showLegendKey val="0"/>
          <c:showVal val="1"/>
          <c:showCatName val="0"/>
          <c:showSerName val="0"/>
          <c:showPercent val="0"/>
          <c:showBubbleSize val="0"/>
        </c:dLbls>
        <c:gapWidth val="219"/>
        <c:overlap val="-27"/>
        <c:axId val="477190922"/>
        <c:axId val="803429162"/>
      </c:barChart>
      <c:catAx>
        <c:axId val="477190922"/>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03429162"/>
        <c:crosses val="autoZero"/>
        <c:auto val="1"/>
        <c:lblAlgn val="ctr"/>
        <c:lblOffset val="100"/>
        <c:noMultiLvlLbl val="0"/>
      </c:catAx>
      <c:valAx>
        <c:axId val="80342916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7719092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60" b="0" i="0" u="none" strike="noStrike" kern="1200" spc="0" baseline="0">
                <a:solidFill>
                  <a:sysClr val="windowText" lastClr="000000">
                    <a:lumMod val="65000"/>
                    <a:lumOff val="35000"/>
                  </a:sysClr>
                </a:solidFill>
                <a:latin typeface="+mn-lt"/>
                <a:ea typeface="+mn-ea"/>
                <a:cs typeface="+mn-cs"/>
              </a:defRPr>
            </a:pPr>
            <a:r>
              <a:rPr sz="1050" b="1"/>
              <a:t>图</a:t>
            </a:r>
            <a:r>
              <a:rPr lang="en-US" altLang="zh-CN" sz="1050" b="1"/>
              <a:t> </a:t>
            </a:r>
            <a:r>
              <a:rPr sz="1050" b="1"/>
              <a:t>1</a:t>
            </a:r>
            <a:r>
              <a:rPr lang="en-US" altLang="zh-CN" sz="1050" b="1"/>
              <a:t>-5</a:t>
            </a:r>
            <a:r>
              <a:rPr sz="1050" b="1"/>
              <a:t>    儋州工业园木棠片区供电迁移工程债券存续期内资金留存情况</a:t>
            </a:r>
            <a:endParaRPr sz="1050" b="1"/>
          </a:p>
        </c:rich>
      </c:tx>
      <c:layout>
        <c:manualLayout>
          <c:xMode val="edge"/>
          <c:yMode val="edge"/>
          <c:x val="0.125543234005732"/>
          <c:y val="0.0364223317940488"/>
        </c:manualLayout>
      </c:layout>
      <c:overlay val="0"/>
      <c:spPr>
        <a:noFill/>
        <a:ln>
          <a:noFill/>
        </a:ln>
        <a:effectLst/>
      </c:spPr>
    </c:title>
    <c:autoTitleDeleted val="0"/>
    <c:plotArea>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'[儋州项目分析表.xlsx]5.儋州工业园木棠片区供电迁移工程'!$B$57:$L$57</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'[儋州项目分析表.xlsx]5.儋州工业园木棠片区供电迁移工程'!$B$58:$L$58</c:f>
              <c:numCache>
                <c:formatCode>_ * #,##0_ ;_ * \-#,##0_ ;_ * "-"_ ;_ @_ </c:formatCode>
                <c:ptCount val="11"/>
                <c:pt idx="0">
                  <c:v>0</c:v>
                </c:pt>
                <c:pt idx="1">
                  <c:v>55.6416666666665</c:v>
                </c:pt>
                <c:pt idx="2">
                  <c:v>200.425</c:v>
                </c:pt>
                <c:pt idx="3">
                  <c:v>345.208333333333</c:v>
                </c:pt>
                <c:pt idx="4">
                  <c:v>489.991666666667</c:v>
                </c:pt>
                <c:pt idx="5">
                  <c:v>634.775</c:v>
                </c:pt>
                <c:pt idx="6">
                  <c:v>779.558333333333</c:v>
                </c:pt>
                <c:pt idx="7">
                  <c:v>924.341666666666</c:v>
                </c:pt>
                <c:pt idx="8">
                  <c:v>1069.125</c:v>
                </c:pt>
                <c:pt idx="9">
                  <c:v>1213.90833333333</c:v>
                </c:pt>
                <c:pt idx="10">
                  <c:v>358.691666666666</c:v>
                </c:pt>
              </c:numCache>
            </c:numRef>
          </c:val>
        </c:ser>
        <c:dLbls>
          <c:showLegendKey val="0"/>
          <c:showVal val="1"/>
          <c:showCatName val="0"/>
          <c:showSerName val="0"/>
          <c:showPercent val="0"/>
          <c:showBubbleSize val="0"/>
        </c:dLbls>
        <c:gapWidth val="219"/>
        <c:overlap val="-27"/>
        <c:axId val="223492515"/>
        <c:axId val="385368317"/>
      </c:barChart>
      <c:catAx>
        <c:axId val="223492515"/>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1050" b="0" i="0" u="none" strike="noStrike" kern="1200" baseline="0">
                <a:solidFill>
                  <a:sysClr val="windowText" lastClr="000000">
                    <a:lumMod val="65000"/>
                    <a:lumOff val="35000"/>
                  </a:sysClr>
                </a:solidFill>
                <a:latin typeface="+mn-lt"/>
                <a:ea typeface="+mn-ea"/>
                <a:cs typeface="+mn-cs"/>
              </a:defRPr>
            </a:pPr>
          </a:p>
        </c:txPr>
        <c:crossAx val="385368317"/>
        <c:crosses val="autoZero"/>
        <c:auto val="1"/>
        <c:lblAlgn val="ctr"/>
        <c:lblOffset val="100"/>
        <c:noMultiLvlLbl val="0"/>
      </c:catAx>
      <c:valAx>
        <c:axId val="385368317"/>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1050" b="0" i="0" u="none" strike="noStrike" kern="1200" baseline="0">
                <a:solidFill>
                  <a:sysClr val="windowText" lastClr="000000">
                    <a:lumMod val="65000"/>
                    <a:lumOff val="35000"/>
                  </a:sysClr>
                </a:solidFill>
                <a:latin typeface="+mn-lt"/>
                <a:ea typeface="+mn-ea"/>
                <a:cs typeface="+mn-cs"/>
              </a:defRPr>
            </a:pPr>
          </a:p>
        </c:txPr>
        <c:crossAx val="223492515"/>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105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sz="1000" b="1"/>
              <a:t>图1-</a:t>
            </a:r>
            <a:r>
              <a:rPr lang="en-US" altLang="zh-CN" sz="1000" b="1"/>
              <a:t>6</a:t>
            </a:r>
            <a:r>
              <a:rPr sz="1000" b="1"/>
              <a:t>    儋州工业园王五片区供电迁移工程债券存续期内资金留存情况</a:t>
            </a:r>
            <a:endParaRPr sz="1000" b="1"/>
          </a:p>
        </c:rich>
      </c:tx>
      <c:layout/>
      <c:overlay val="0"/>
      <c:spPr>
        <a:noFill/>
        <a:ln>
          <a:noFill/>
        </a:ln>
        <a:effectLst/>
      </c:spPr>
    </c:title>
    <c:autoTitleDeleted val="0"/>
    <c:plotArea>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'[儋州项目分析表.xlsx]6.儋州工业园王五片区供电迁移工程'!$B$57:$L$57</c:f>
              <c:strCache>
                <c:ptCount val="11"/>
                <c:pt idx="0">
                  <c:v>2022年</c:v>
                </c:pt>
                <c:pt idx="1">
                  <c:v>2023年</c:v>
                </c:pt>
                <c:pt idx="2">
                  <c:v>2024年</c:v>
                </c:pt>
                <c:pt idx="3">
                  <c:v>2025年</c:v>
                </c:pt>
                <c:pt idx="4">
                  <c:v>2026年</c:v>
                </c:pt>
                <c:pt idx="5">
                  <c:v>2027年</c:v>
                </c:pt>
                <c:pt idx="6">
                  <c:v>2028年</c:v>
                </c:pt>
                <c:pt idx="7">
                  <c:v>2029年</c:v>
                </c:pt>
                <c:pt idx="8">
                  <c:v>2030年</c:v>
                </c:pt>
                <c:pt idx="9">
                  <c:v>2031年</c:v>
                </c:pt>
                <c:pt idx="10">
                  <c:v>2032年</c:v>
                </c:pt>
              </c:strCache>
            </c:strRef>
          </c:cat>
          <c:val>
            <c:numRef>
              <c:f>'[儋州项目分析表.xlsx]6.儋州工业园王五片区供电迁移工程'!$B$58:$L$58</c:f>
              <c:numCache>
                <c:formatCode>General</c:formatCode>
                <c:ptCount val="11"/>
                <c:pt idx="1" c:formatCode="_ * #,##0_ ;_ * \-#,##0_ ;_ * &quot;-&quot;_ ;_ @_ ">
                  <c:v>92.5</c:v>
                </c:pt>
                <c:pt idx="2" c:formatCode="_ * #,##0_ ;_ * \-#,##0_ ;_ * &quot;-&quot;_ ;_ @_ ">
                  <c:v>311</c:v>
                </c:pt>
                <c:pt idx="3" c:formatCode="_ * #,##0_ ;_ * \-#,##0_ ;_ * &quot;-&quot;_ ;_ @_ ">
                  <c:v>529.5</c:v>
                </c:pt>
                <c:pt idx="4" c:formatCode="_ * #,##0_ ;_ * \-#,##0_ ;_ * &quot;-&quot;_ ;_ @_ ">
                  <c:v>748</c:v>
                </c:pt>
                <c:pt idx="5" c:formatCode="_ * #,##0_ ;_ * \-#,##0_ ;_ * &quot;-&quot;_ ;_ @_ ">
                  <c:v>966.5</c:v>
                </c:pt>
                <c:pt idx="6" c:formatCode="_ * #,##0_ ;_ * \-#,##0_ ;_ * &quot;-&quot;_ ;_ @_ ">
                  <c:v>1185</c:v>
                </c:pt>
                <c:pt idx="7" c:formatCode="_ * #,##0_ ;_ * \-#,##0_ ;_ * &quot;-&quot;_ ;_ @_ ">
                  <c:v>1403.5</c:v>
                </c:pt>
                <c:pt idx="8" c:formatCode="_ * #,##0_ ;_ * \-#,##0_ ;_ * &quot;-&quot;_ ;_ @_ ">
                  <c:v>1622</c:v>
                </c:pt>
                <c:pt idx="9" c:formatCode="_ * #,##0_ ;_ * \-#,##0_ ;_ * &quot;-&quot;_ ;_ @_ ">
                  <c:v>1840.5</c:v>
                </c:pt>
                <c:pt idx="10" c:formatCode="_ * #,##0_ ;_ * \-#,##0_ ;_ * &quot;-&quot;_ ;_ @_ ">
                  <c:v>1059</c:v>
                </c:pt>
              </c:numCache>
            </c:numRef>
          </c:val>
        </c:ser>
        <c:dLbls>
          <c:showLegendKey val="0"/>
          <c:showVal val="1"/>
          <c:showCatName val="0"/>
          <c:showSerName val="0"/>
          <c:showPercent val="0"/>
          <c:showBubbleSize val="0"/>
        </c:dLbls>
        <c:gapWidth val="219"/>
        <c:overlap val="-27"/>
        <c:axId val="45799220"/>
        <c:axId val="649776294"/>
      </c:barChart>
      <c:catAx>
        <c:axId val="45799220"/>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9776294"/>
        <c:crosses val="autoZero"/>
        <c:auto val="1"/>
        <c:lblAlgn val="ctr"/>
        <c:lblOffset val="100"/>
        <c:noMultiLvlLbl val="0"/>
      </c:catAx>
      <c:valAx>
        <c:axId val="64977629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579922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80" b="0" i="0" u="none" strike="noStrike" kern="1200" spc="0" baseline="0">
                <a:solidFill>
                  <a:sysClr val="windowText" lastClr="000000">
                    <a:lumMod val="65000"/>
                    <a:lumOff val="35000"/>
                  </a:sysClr>
                </a:solidFill>
                <a:latin typeface="+mn-lt"/>
                <a:ea typeface="+mn-ea"/>
                <a:cs typeface="+mn-cs"/>
              </a:defRPr>
            </a:pPr>
            <a:r>
              <a:rPr sz="1080" b="1"/>
              <a:t>图1</a:t>
            </a:r>
            <a:r>
              <a:rPr lang="en-US" altLang="zh-CN" sz="1080" b="1"/>
              <a:t>-7</a:t>
            </a:r>
            <a:r>
              <a:rPr sz="1080" b="1"/>
              <a:t>    儋州工业园王五片区一期标准厂房项目债券存续期内资金留存情况</a:t>
            </a:r>
            <a:endParaRPr sz="1080" b="1"/>
          </a:p>
        </c:rich>
      </c:tx>
      <c:layout/>
      <c:overlay val="0"/>
      <c:spPr>
        <a:noFill/>
        <a:ln>
          <a:noFill/>
        </a:ln>
        <a:effectLst/>
      </c:spPr>
    </c:title>
    <c:autoTitleDeleted val="0"/>
    <c:plotArea>
      <c:layout>
        <c:manualLayout>
          <c:layoutTarget val="inner"/>
          <c:xMode val="edge"/>
          <c:yMode val="edge"/>
          <c:x val="0.0719748009449646"/>
          <c:y val="0.173024523160763"/>
          <c:w val="0.913763233878729"/>
          <c:h val="0.71716621253406"/>
        </c:manualLayout>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'[儋州项目分析表.xlsx]7.儋州工业园王五片区一期标准厂房项目'!$B$58:$N$58</c:f>
              <c:strCache>
                <c:ptCount val="13"/>
                <c:pt idx="0">
                  <c:v>2022年</c:v>
                </c:pt>
                <c:pt idx="1">
                  <c:v>2023年</c:v>
                </c:pt>
                <c:pt idx="2">
                  <c:v>2024年</c:v>
                </c:pt>
                <c:pt idx="3">
                  <c:v>2025年</c:v>
                </c:pt>
                <c:pt idx="4">
                  <c:v>2026年</c:v>
                </c:pt>
                <c:pt idx="5">
                  <c:v>2027年</c:v>
                </c:pt>
                <c:pt idx="6">
                  <c:v>2028年</c:v>
                </c:pt>
                <c:pt idx="7">
                  <c:v>2029年</c:v>
                </c:pt>
                <c:pt idx="8">
                  <c:v>2030年</c:v>
                </c:pt>
                <c:pt idx="9">
                  <c:v>2031年</c:v>
                </c:pt>
                <c:pt idx="10">
                  <c:v>2032年</c:v>
                </c:pt>
                <c:pt idx="11">
                  <c:v>2033年</c:v>
                </c:pt>
                <c:pt idx="12">
                  <c:v>2034年</c:v>
                </c:pt>
              </c:strCache>
            </c:strRef>
          </c:cat>
          <c:val>
            <c:numRef>
              <c:f>'[儋州项目分析表.xlsx]7.儋州工业园王五片区一期标准厂房项目'!$B$59:$N$59</c:f>
              <c:numCache>
                <c:formatCode>_ * #,##0_ ;_ * \-#,##0_ ;_ * "-"_ ;_ @_ </c:formatCode>
                <c:ptCount val="13"/>
                <c:pt idx="0">
                  <c:v>0</c:v>
                </c:pt>
                <c:pt idx="1">
                  <c:v>0</c:v>
                </c:pt>
                <c:pt idx="2">
                  <c:v>0</c:v>
                </c:pt>
                <c:pt idx="3">
                  <c:v>4418.5365</c:v>
                </c:pt>
                <c:pt idx="4">
                  <c:v>8837.073</c:v>
                </c:pt>
                <c:pt idx="5">
                  <c:v>13255.6095</c:v>
                </c:pt>
                <c:pt idx="6">
                  <c:v>17674.146</c:v>
                </c:pt>
                <c:pt idx="7">
                  <c:v>22092.6825</c:v>
                </c:pt>
                <c:pt idx="8">
                  <c:v>26511.219</c:v>
                </c:pt>
                <c:pt idx="9">
                  <c:v>30929.7555</c:v>
                </c:pt>
                <c:pt idx="10">
                  <c:v>33248.292</c:v>
                </c:pt>
                <c:pt idx="11">
                  <c:v>20836.09425</c:v>
                </c:pt>
                <c:pt idx="12">
                  <c:v>12974.0245</c:v>
                </c:pt>
              </c:numCache>
            </c:numRef>
          </c:val>
        </c:ser>
        <c:dLbls>
          <c:showLegendKey val="0"/>
          <c:showVal val="1"/>
          <c:showCatName val="0"/>
          <c:showSerName val="0"/>
          <c:showPercent val="0"/>
          <c:showBubbleSize val="0"/>
        </c:dLbls>
        <c:gapWidth val="219"/>
        <c:overlap val="-27"/>
        <c:axId val="94542346"/>
        <c:axId val="26747308"/>
      </c:barChart>
      <c:catAx>
        <c:axId val="94542346"/>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26747308"/>
        <c:crosses val="autoZero"/>
        <c:auto val="1"/>
        <c:lblAlgn val="ctr"/>
        <c:lblOffset val="100"/>
        <c:noMultiLvlLbl val="0"/>
      </c:catAx>
      <c:valAx>
        <c:axId val="2674730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454234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90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080" b="0" i="0" u="none" strike="noStrike" kern="1200" spc="0" baseline="0">
                <a:solidFill>
                  <a:sysClr val="windowText" lastClr="000000">
                    <a:lumMod val="65000"/>
                    <a:lumOff val="35000"/>
                  </a:sysClr>
                </a:solidFill>
                <a:latin typeface="+mn-lt"/>
                <a:ea typeface="+mn-ea"/>
                <a:cs typeface="+mn-cs"/>
              </a:defRPr>
            </a:pPr>
            <a:r>
              <a:rPr b="1"/>
              <a:t>图1</a:t>
            </a:r>
            <a:r>
              <a:rPr lang="en-US" altLang="zh-CN" b="1"/>
              <a:t>-8</a:t>
            </a:r>
            <a:r>
              <a:rPr b="1"/>
              <a:t>    儋州工业园木棠片区生活配套区启动项目债券存续期内资金留存情况</a:t>
            </a:r>
            <a:endParaRPr b="1"/>
          </a:p>
        </c:rich>
      </c:tx>
      <c:layout>
        <c:manualLayout>
          <c:xMode val="edge"/>
          <c:yMode val="edge"/>
          <c:x val="0.140293453724605"/>
          <c:y val="0.0307762976573266"/>
        </c:manualLayout>
      </c:layout>
      <c:overlay val="0"/>
      <c:spPr>
        <a:noFill/>
        <a:ln>
          <a:noFill/>
        </a:ln>
        <a:effectLst/>
      </c:spPr>
    </c:title>
    <c:autoTitleDeleted val="0"/>
    <c:plotArea>
      <c:layout>
        <c:manualLayout>
          <c:layoutTarget val="inner"/>
          <c:xMode val="edge"/>
          <c:yMode val="edge"/>
          <c:x val="0.0962370880472209"/>
          <c:y val="0.171602274955874"/>
          <c:w val="0.878799803246434"/>
          <c:h val="0.727083741910178"/>
        </c:manualLayout>
      </c:layout>
      <c:barChart>
        <c:barDir val="col"/>
        <c:grouping val="clustered"/>
        <c:varyColors val="0"/>
        <c:ser>
          <c:idx val="0"/>
          <c:order val="0"/>
          <c:spPr>
            <a:solidFill>
              <a:srgbClr val="E7E6E6">
                <a:lumMod val="75000"/>
              </a:srgb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'[儋州项目分析表.xlsx]8.儋州工业园木棠片区生活配套区启动项目'!$B$58:$N$58</c:f>
              <c:strCache>
                <c:ptCount val="13"/>
                <c:pt idx="0">
                  <c:v>2022年</c:v>
                </c:pt>
                <c:pt idx="1">
                  <c:v>2023年</c:v>
                </c:pt>
                <c:pt idx="2">
                  <c:v>2024年</c:v>
                </c:pt>
                <c:pt idx="3">
                  <c:v>2025年</c:v>
                </c:pt>
                <c:pt idx="4">
                  <c:v>2026年</c:v>
                </c:pt>
                <c:pt idx="5">
                  <c:v>2027年</c:v>
                </c:pt>
                <c:pt idx="6">
                  <c:v>2028年</c:v>
                </c:pt>
                <c:pt idx="7">
                  <c:v>2029年</c:v>
                </c:pt>
                <c:pt idx="8">
                  <c:v>2030年</c:v>
                </c:pt>
                <c:pt idx="9">
                  <c:v>2031年</c:v>
                </c:pt>
                <c:pt idx="10">
                  <c:v>2032年</c:v>
                </c:pt>
                <c:pt idx="11">
                  <c:v>2033年</c:v>
                </c:pt>
                <c:pt idx="12">
                  <c:v>2034年</c:v>
                </c:pt>
              </c:strCache>
            </c:strRef>
          </c:cat>
          <c:val>
            <c:numRef>
              <c:f>'[儋州项目分析表.xlsx]8.儋州工业园木棠片区生活配套区启动项目'!$B$59:$N$59</c:f>
              <c:numCache>
                <c:formatCode>_ * #,##0_ ;_ * \-#,##0_ ;_ * "-"_ ;_ @_ </c:formatCode>
                <c:ptCount val="13"/>
                <c:pt idx="0">
                  <c:v>0</c:v>
                </c:pt>
                <c:pt idx="1">
                  <c:v>0</c:v>
                </c:pt>
                <c:pt idx="2">
                  <c:v>0</c:v>
                </c:pt>
                <c:pt idx="3" c:formatCode="_ * #,##0.00_ ;_ * \-#,##0.00_ ;_ * &quot;-&quot;??_ ;_ @_ ">
                  <c:v>2491.39814532078</c:v>
                </c:pt>
                <c:pt idx="4" c:formatCode="_ * #,##0.00_ ;_ * \-#,##0.00_ ;_ * &quot;-&quot;??_ ;_ @_ ">
                  <c:v>4982.79629064156</c:v>
                </c:pt>
                <c:pt idx="5" c:formatCode="_ * #,##0.00_ ;_ * \-#,##0.00_ ;_ * &quot;-&quot;??_ ;_ @_ ">
                  <c:v>7474.19443596234</c:v>
                </c:pt>
                <c:pt idx="6" c:formatCode="_ * #,##0.00_ ;_ * \-#,##0.00_ ;_ * &quot;-&quot;??_ ;_ @_ ">
                  <c:v>9965.59258128312</c:v>
                </c:pt>
                <c:pt idx="7" c:formatCode="_ * #,##0.00_ ;_ * \-#,##0.00_ ;_ * &quot;-&quot;??_ ;_ @_ ">
                  <c:v>12456.9907266039</c:v>
                </c:pt>
                <c:pt idx="8" c:formatCode="_ * #,##0.00_ ;_ * \-#,##0.00_ ;_ * &quot;-&quot;??_ ;_ @_ ">
                  <c:v>14948.3888719247</c:v>
                </c:pt>
                <c:pt idx="9" c:formatCode="_ * #,##0.00_ ;_ * \-#,##0.00_ ;_ * &quot;-&quot;??_ ;_ @_ ">
                  <c:v>17439.7870172455</c:v>
                </c:pt>
                <c:pt idx="10" c:formatCode="_ * #,##0.00_ ;_ * \-#,##0.00_ ;_ * &quot;-&quot;??_ ;_ @_ ">
                  <c:v>16431.1851625662</c:v>
                </c:pt>
                <c:pt idx="11" c:formatCode="_ * #,##0.00_ ;_ * \-#,##0.00_ ;_ * &quot;-&quot;??_ ;_ @_ ">
                  <c:v>11105.005807887</c:v>
                </c:pt>
                <c:pt idx="12" c:formatCode="_ * #,##0.00_ ;_ * \-#,##0.00_ ;_ * &quot;-&quot;??_ ;_ @_ ">
                  <c:v>7307.73145320781</c:v>
                </c:pt>
              </c:numCache>
            </c:numRef>
          </c:val>
        </c:ser>
        <c:dLbls>
          <c:showLegendKey val="0"/>
          <c:showVal val="1"/>
          <c:showCatName val="0"/>
          <c:showSerName val="0"/>
          <c:showPercent val="0"/>
          <c:showBubbleSize val="0"/>
        </c:dLbls>
        <c:gapWidth val="219"/>
        <c:overlap val="-27"/>
        <c:axId val="339779719"/>
        <c:axId val="151743220"/>
      </c:barChart>
      <c:catAx>
        <c:axId val="339779719"/>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151743220"/>
        <c:crosses val="autoZero"/>
        <c:auto val="1"/>
        <c:lblAlgn val="ctr"/>
        <c:lblOffset val="100"/>
        <c:noMultiLvlLbl val="0"/>
      </c:catAx>
      <c:valAx>
        <c:axId val="1517432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_ * #,##0_ ;_ * \-#,##0_ ;_ * &quot;-&quot;_ ;_ @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39779719"/>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sz="9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FEE88-A0F1-4AFF-8E5C-E612CB0B8534}">
  <ds:schemaRefs/>
</ds:datastoreItem>
</file>

<file path=docProps/app.xml><?xml version="1.0" encoding="utf-8"?>
<Properties xmlns="http://schemas.openxmlformats.org/officeDocument/2006/extended-properties" xmlns:vt="http://schemas.openxmlformats.org/officeDocument/2006/docPropsVTypes">
  <Template>Normal</Template>
  <Company>Deloitte Touche Tohmatsu Services, Inc.</Company>
  <Pages>56</Pages>
  <Words>19008</Words>
  <Characters>32759</Characters>
  <Lines>422</Lines>
  <Paragraphs>118</Paragraphs>
  <TotalTime>12</TotalTime>
  <ScaleCrop>false</ScaleCrop>
  <LinksUpToDate>false</LinksUpToDate>
  <CharactersWithSpaces>34101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2021-10-05T09:51:00Z</dcterms:created>
  <dc:creator>Simon</dc:creator>
  <cp:lastModifiedBy>2018</cp:lastModifiedBy>
  <cp:lastPrinted>2022-06-14T01:21:00Z</cp:lastPrinted>
  <dcterms:modified xsi:type="dcterms:W3CDTF">2022-12-08T07:36:07Z</dcterms:modified>
  <dc:title>2018年海南省海口市土地储备专项债券（一期）项目情况</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EA3F3015C50F45E9B093D69454ACB05D</vt:lpwstr>
  </property>
</Properties>
</file>