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left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2</w:t>
      </w:r>
    </w:p>
    <w:p>
      <w:pPr>
        <w:pStyle w:val="2"/>
      </w:pPr>
      <w:r>
        <w:rPr>
          <w:rFonts w:hint="eastAsia"/>
          <w:lang w:eastAsia="zh-CN"/>
        </w:rPr>
        <w:t>儋</w:t>
      </w:r>
      <w:bookmarkStart w:id="0" w:name="_GoBack"/>
      <w:bookmarkEnd w:id="0"/>
      <w:r>
        <w:rPr>
          <w:rFonts w:hint="eastAsia"/>
          <w:lang w:eastAsia="zh-CN"/>
        </w:rPr>
        <w:t>州市居家养老服务</w:t>
      </w:r>
      <w:r>
        <w:rPr>
          <w:rFonts w:hint="eastAsia"/>
        </w:rPr>
        <w:t>承诺书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机构名称</w:t>
      </w:r>
      <w:r>
        <w:rPr>
          <w:rFonts w:ascii="仿宋_GB2312" w:hAnsi="仿宋_GB2312" w:cs="仿宋_GB2312"/>
        </w:rPr>
        <w:t xml:space="preserve"> 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注册地址</w:t>
      </w:r>
      <w:r>
        <w:rPr>
          <w:rFonts w:ascii="仿宋_GB2312" w:hAnsi="仿宋_GB2312" w:cs="仿宋_GB2312"/>
        </w:rPr>
        <w:t xml:space="preserve"> 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联系电话</w:t>
      </w:r>
      <w:r>
        <w:rPr>
          <w:rFonts w:ascii="仿宋_GB2312" w:hAnsi="仿宋_GB2312" w:cs="仿宋_GB2312"/>
        </w:rPr>
        <w:t xml:space="preserve"> 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cs="仿宋_GB231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cs="仿宋_GB2312"/>
        </w:rPr>
      </w:pPr>
      <w:r>
        <w:rPr>
          <w:rFonts w:hint="eastAsia" w:ascii="仿宋_GB2312" w:hAnsi="仿宋_GB2312" w:cs="仿宋_GB2312"/>
          <w:lang w:eastAsia="zh-CN"/>
        </w:rPr>
        <w:t>一、</w:t>
      </w:r>
      <w:r>
        <w:rPr>
          <w:rFonts w:hint="eastAsia" w:ascii="仿宋_GB2312" w:hAnsi="仿宋_GB2312" w:cs="仿宋_GB2312"/>
        </w:rPr>
        <w:t>遵守</w:t>
      </w:r>
      <w:r>
        <w:rPr>
          <w:rFonts w:hint="eastAsia" w:ascii="仿宋_GB2312" w:hAnsi="仿宋_GB2312" w:cs="仿宋_GB2312"/>
          <w:color w:val="0D0D0D"/>
          <w:kern w:val="0"/>
          <w:szCs w:val="32"/>
          <w:shd w:val="clear" w:color="auto" w:fill="FFFFFF"/>
        </w:rPr>
        <w:t>社区居家养老服务管理的规定；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cs="仿宋_GB2312"/>
        </w:rPr>
      </w:pPr>
      <w:r>
        <w:rPr>
          <w:rFonts w:hint="eastAsia" w:ascii="仿宋_GB2312" w:hAnsi="仿宋_GB2312" w:cs="仿宋_GB2312"/>
          <w:lang w:eastAsia="zh-CN"/>
        </w:rPr>
        <w:t>二、</w:t>
      </w:r>
      <w:r>
        <w:rPr>
          <w:rFonts w:hint="eastAsia" w:ascii="仿宋_GB2312" w:hAnsi="仿宋_GB2312" w:cs="仿宋_GB2312"/>
        </w:rPr>
        <w:t>坚守诚实守信，合法经营的基本原则；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cs="仿宋_GB2312"/>
        </w:rPr>
      </w:pPr>
      <w:r>
        <w:rPr>
          <w:rFonts w:hint="eastAsia" w:ascii="仿宋_GB2312" w:hAnsi="仿宋_GB2312" w:cs="仿宋_GB2312"/>
          <w:lang w:eastAsia="zh-CN"/>
        </w:rPr>
        <w:t>三、</w:t>
      </w:r>
      <w:r>
        <w:rPr>
          <w:rFonts w:hint="eastAsia" w:ascii="仿宋_GB2312" w:hAnsi="仿宋_GB2312" w:cs="仿宋_GB2312"/>
        </w:rPr>
        <w:t>自觉接受管理部门的评估和监督检查</w:t>
      </w:r>
      <w:r>
        <w:rPr>
          <w:rFonts w:ascii="仿宋_GB2312" w:hAnsi="仿宋_GB2312" w:cs="仿宋_GB2312"/>
        </w:rPr>
        <w:t>;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cs="仿宋_GB2312"/>
        </w:rPr>
      </w:pPr>
      <w:r>
        <w:rPr>
          <w:rFonts w:hint="eastAsia" w:ascii="仿宋_GB2312" w:hAnsi="仿宋_GB2312" w:cs="仿宋_GB2312"/>
          <w:lang w:eastAsia="zh-CN"/>
        </w:rPr>
        <w:t>四、</w:t>
      </w:r>
      <w:r>
        <w:rPr>
          <w:rFonts w:hint="eastAsia" w:ascii="仿宋_GB2312" w:hAnsi="仿宋_GB2312" w:cs="仿宋_GB2312"/>
        </w:rPr>
        <w:t>提供有关本机构的信息，并保证信息的真实性；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cs="仿宋_GB2312"/>
        </w:rPr>
      </w:pPr>
      <w:r>
        <w:rPr>
          <w:rFonts w:hint="eastAsia" w:ascii="仿宋_GB2312" w:hAnsi="仿宋_GB2312" w:cs="仿宋_GB2312"/>
          <w:lang w:eastAsia="zh-CN"/>
        </w:rPr>
        <w:t>五、</w:t>
      </w:r>
      <w:r>
        <w:rPr>
          <w:rFonts w:hint="eastAsia" w:ascii="仿宋_GB2312" w:hAnsi="仿宋_GB2312" w:cs="仿宋_GB2312"/>
        </w:rPr>
        <w:t>若服务过程中发生机构服务人员操作不规范，导致服务对象出现意外情况，本机构承担全部法律责任，并向服务对象作出相应赔偿</w:t>
      </w:r>
      <w:r>
        <w:rPr>
          <w:rFonts w:ascii="仿宋_GB2312" w:hAnsi="仿宋_GB2312" w:cs="仿宋_GB2312"/>
        </w:rPr>
        <w:t>;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cs="仿宋_GB2312"/>
        </w:rPr>
      </w:pPr>
      <w:r>
        <w:rPr>
          <w:rFonts w:hint="eastAsia" w:ascii="仿宋_GB2312" w:hAnsi="仿宋_GB2312" w:cs="仿宋_GB2312"/>
          <w:lang w:eastAsia="zh-CN"/>
        </w:rPr>
        <w:t>六、</w:t>
      </w:r>
      <w:r>
        <w:rPr>
          <w:rFonts w:hint="eastAsia" w:ascii="仿宋_GB2312" w:hAnsi="仿宋_GB2312" w:cs="仿宋_GB2312"/>
        </w:rPr>
        <w:t>对养老专业服务团队进行岗前培训，具有完整的培训记录和培训成果，并且机构定期为服务人员购买人身意外险</w:t>
      </w:r>
      <w:r>
        <w:rPr>
          <w:rFonts w:ascii="仿宋_GB2312" w:hAnsi="仿宋_GB2312" w:cs="仿宋_GB2312"/>
        </w:rPr>
        <w:t>;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cs="仿宋_GB2312"/>
        </w:rPr>
      </w:pPr>
      <w:r>
        <w:rPr>
          <w:rFonts w:hint="eastAsia" w:ascii="仿宋_GB2312" w:hAnsi="仿宋_GB2312" w:cs="仿宋_GB2312"/>
          <w:lang w:eastAsia="zh-CN"/>
        </w:rPr>
        <w:t>七、</w:t>
      </w:r>
      <w:r>
        <w:rPr>
          <w:rFonts w:hint="eastAsia" w:ascii="仿宋_GB2312" w:hAnsi="仿宋_GB2312" w:cs="仿宋_GB2312"/>
        </w:rPr>
        <w:t>遵守养老服务职业道德，保护老年人隐私</w:t>
      </w:r>
      <w:r>
        <w:rPr>
          <w:rFonts w:ascii="仿宋_GB2312" w:hAnsi="仿宋_GB2312" w:cs="仿宋_GB2312"/>
        </w:rPr>
        <w:t>;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cs="仿宋_GB2312"/>
        </w:rPr>
      </w:pPr>
      <w:r>
        <w:rPr>
          <w:rFonts w:hint="eastAsia" w:ascii="仿宋_GB2312" w:hAnsi="仿宋_GB2312" w:cs="仿宋_GB2312"/>
          <w:lang w:eastAsia="zh-CN"/>
        </w:rPr>
        <w:t>八、</w:t>
      </w:r>
      <w:r>
        <w:rPr>
          <w:rFonts w:hint="eastAsia" w:ascii="仿宋_GB2312" w:hAnsi="仿宋_GB2312" w:cs="仿宋_GB2312"/>
        </w:rPr>
        <w:t>不以任何政府部门的名义强行为居家养老服务对象提供服务</w:t>
      </w:r>
      <w:r>
        <w:rPr>
          <w:rFonts w:ascii="仿宋_GB2312" w:hAnsi="仿宋_GB2312" w:cs="仿宋_GB2312"/>
        </w:rPr>
        <w:t>;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cs="仿宋_GB2312"/>
        </w:rPr>
      </w:pPr>
      <w:r>
        <w:rPr>
          <w:rFonts w:hint="eastAsia" w:ascii="仿宋_GB2312" w:hAnsi="仿宋_GB2312" w:cs="仿宋_GB2312"/>
          <w:lang w:eastAsia="zh-CN"/>
        </w:rPr>
        <w:t>九、</w:t>
      </w:r>
      <w:r>
        <w:rPr>
          <w:rFonts w:hint="eastAsia" w:ascii="仿宋_GB2312" w:hAnsi="仿宋_GB2312" w:cs="仿宋_GB2312"/>
        </w:rPr>
        <w:t>有违反相关管理办法及其他有关法律、法规规定的，自愿接受管理部门检查和处理</w:t>
      </w:r>
      <w:r>
        <w:rPr>
          <w:rFonts w:ascii="仿宋_GB2312" w:hAnsi="仿宋_GB2312" w:cs="仿宋_GB2312"/>
        </w:rPr>
        <w:t>;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cs="仿宋_GB2312"/>
        </w:rPr>
      </w:pPr>
      <w:r>
        <w:rPr>
          <w:rFonts w:hint="eastAsia" w:ascii="仿宋_GB2312" w:hAnsi="仿宋_GB2312" w:cs="仿宋_GB2312"/>
          <w:lang w:eastAsia="zh-CN"/>
        </w:rPr>
        <w:t>十、</w:t>
      </w:r>
      <w:r>
        <w:rPr>
          <w:rFonts w:hint="eastAsia" w:ascii="仿宋_GB2312" w:hAnsi="仿宋_GB2312" w:cs="仿宋_GB2312"/>
        </w:rPr>
        <w:t>本承诺书将成为合同不可分割的部分，与合同具有同等法律效力。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    </w:t>
      </w:r>
      <w:r>
        <w:rPr>
          <w:rFonts w:hint="eastAsia" w:ascii="仿宋_GB2312" w:hAnsi="仿宋_GB2312" w:cs="仿宋_GB2312"/>
        </w:rPr>
        <w:t>法定代表人：</w:t>
      </w:r>
      <w:r>
        <w:rPr>
          <w:rFonts w:ascii="仿宋_GB2312" w:hAnsi="仿宋_GB2312" w:cs="仿宋_GB231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 </w:t>
      </w:r>
      <w:r>
        <w:rPr>
          <w:rFonts w:hint="eastAsia" w:ascii="仿宋_GB2312" w:hAnsi="仿宋_GB2312" w:cs="仿宋_GB2312"/>
        </w:rPr>
        <w:t>（盖章）</w:t>
      </w:r>
      <w:r>
        <w:rPr>
          <w:rFonts w:ascii="仿宋_GB2312" w:hAnsi="仿宋_GB2312" w:cs="仿宋_GB2312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                  </w:t>
      </w:r>
      <w:r>
        <w:rPr>
          <w:rFonts w:hint="eastAsia" w:ascii="仿宋_GB2312" w:hAnsi="仿宋_GB2312" w:cs="仿宋_GB2312"/>
        </w:rPr>
        <w:t>日</w:t>
      </w:r>
      <w:r>
        <w:rPr>
          <w:rFonts w:ascii="仿宋_GB2312" w:hAnsi="仿宋_GB2312" w:cs="仿宋_GB2312"/>
        </w:rPr>
        <w:t xml:space="preserve">    </w:t>
      </w:r>
      <w:r>
        <w:rPr>
          <w:rFonts w:hint="eastAsia" w:ascii="仿宋_GB2312" w:hAnsi="仿宋_GB2312" w:cs="仿宋_GB2312"/>
        </w:rPr>
        <w:t>期</w:t>
      </w:r>
      <w:r>
        <w:rPr>
          <w:rFonts w:ascii="仿宋_GB2312" w:hAnsi="仿宋_GB2312" w:cs="仿宋_GB2312"/>
        </w:rPr>
        <w:t xml:space="preserve"> </w:t>
      </w:r>
      <w:r>
        <w:rPr>
          <w:rFonts w:hint="eastAsia" w:ascii="仿宋_GB2312" w:hAnsi="仿宋_GB2312" w:cs="仿宋_GB2312"/>
        </w:rPr>
        <w:t>：</w:t>
      </w:r>
      <w:r>
        <w:rPr>
          <w:rFonts w:ascii="仿宋_GB2312" w:hAnsi="仿宋_GB2312" w:cs="仿宋_GB2312"/>
        </w:rPr>
        <w:t xml:space="preserve">   </w:t>
      </w:r>
      <w:r>
        <w:rPr>
          <w:rFonts w:hint="eastAsia" w:ascii="仿宋_GB2312" w:hAnsi="仿宋_GB2312" w:cs="仿宋_GB2312"/>
        </w:rPr>
        <w:t>年</w:t>
      </w:r>
      <w:r>
        <w:rPr>
          <w:rFonts w:ascii="仿宋_GB2312" w:hAnsi="仿宋_GB2312" w:cs="仿宋_GB2312"/>
        </w:rPr>
        <w:t xml:space="preserve">   </w:t>
      </w:r>
      <w:r>
        <w:rPr>
          <w:rFonts w:hint="eastAsia" w:ascii="仿宋_GB2312" w:hAnsi="仿宋_GB2312" w:cs="仿宋_GB2312"/>
        </w:rPr>
        <w:t>月</w:t>
      </w:r>
      <w:r>
        <w:rPr>
          <w:rFonts w:ascii="仿宋_GB2312" w:hAnsi="仿宋_GB2312" w:cs="仿宋_GB2312"/>
        </w:rPr>
        <w:t xml:space="preserve">   </w:t>
      </w:r>
      <w:r>
        <w:rPr>
          <w:rFonts w:hint="eastAsia" w:ascii="仿宋_GB2312" w:hAnsi="仿宋_GB2312" w:cs="仿宋_GB231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C03"/>
    <w:rsid w:val="0002188F"/>
    <w:rsid w:val="00025099"/>
    <w:rsid w:val="000A2714"/>
    <w:rsid w:val="000B31FC"/>
    <w:rsid w:val="0024055B"/>
    <w:rsid w:val="00302B5B"/>
    <w:rsid w:val="003F1550"/>
    <w:rsid w:val="00444EB3"/>
    <w:rsid w:val="004E5C03"/>
    <w:rsid w:val="004F4085"/>
    <w:rsid w:val="00523B8D"/>
    <w:rsid w:val="0054377A"/>
    <w:rsid w:val="00570AAF"/>
    <w:rsid w:val="00580CC2"/>
    <w:rsid w:val="00597E44"/>
    <w:rsid w:val="005F079A"/>
    <w:rsid w:val="00692A17"/>
    <w:rsid w:val="007547C9"/>
    <w:rsid w:val="00764667"/>
    <w:rsid w:val="007E0956"/>
    <w:rsid w:val="0089102B"/>
    <w:rsid w:val="008D4DC4"/>
    <w:rsid w:val="008F387E"/>
    <w:rsid w:val="00936B0D"/>
    <w:rsid w:val="00987F6B"/>
    <w:rsid w:val="009A4E67"/>
    <w:rsid w:val="00A12E5B"/>
    <w:rsid w:val="00A15E09"/>
    <w:rsid w:val="00A675D1"/>
    <w:rsid w:val="00C433A8"/>
    <w:rsid w:val="00C65024"/>
    <w:rsid w:val="00D70B16"/>
    <w:rsid w:val="00D86791"/>
    <w:rsid w:val="00DA0FD3"/>
    <w:rsid w:val="00E374F2"/>
    <w:rsid w:val="00EE3B71"/>
    <w:rsid w:val="00FE3779"/>
    <w:rsid w:val="03A67CF5"/>
    <w:rsid w:val="04176FAA"/>
    <w:rsid w:val="051633C0"/>
    <w:rsid w:val="08310F37"/>
    <w:rsid w:val="096178AA"/>
    <w:rsid w:val="126C5795"/>
    <w:rsid w:val="14687281"/>
    <w:rsid w:val="1AF55BB4"/>
    <w:rsid w:val="2DB57BBA"/>
    <w:rsid w:val="3019503A"/>
    <w:rsid w:val="3B2F07BF"/>
    <w:rsid w:val="3F6E4D16"/>
    <w:rsid w:val="417960F0"/>
    <w:rsid w:val="4FA20FF1"/>
    <w:rsid w:val="6AA73847"/>
    <w:rsid w:val="6FD83D6C"/>
    <w:rsid w:val="738D4E08"/>
    <w:rsid w:val="79EB0DC8"/>
    <w:rsid w:val="7E0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3"/>
    <w:next w:val="1"/>
    <w:link w:val="16"/>
    <w:qFormat/>
    <w:uiPriority w:val="99"/>
    <w:pPr>
      <w:keepNext/>
      <w:keepLines/>
      <w:spacing w:before="340" w:after="330"/>
    </w:pPr>
    <w:rPr>
      <w:rFonts w:eastAsia="宋体"/>
      <w:bCs/>
      <w:kern w:val="44"/>
      <w:sz w:val="44"/>
      <w:szCs w:val="44"/>
    </w:rPr>
  </w:style>
  <w:style w:type="paragraph" w:styleId="4">
    <w:name w:val="heading 2"/>
    <w:basedOn w:val="1"/>
    <w:next w:val="1"/>
    <w:link w:val="17"/>
    <w:qFormat/>
    <w:uiPriority w:val="99"/>
    <w:pPr>
      <w:keepNext/>
      <w:keepLines/>
      <w:outlineLvl w:val="1"/>
    </w:pPr>
    <w:rPr>
      <w:rFonts w:ascii="Arial" w:hAnsi="Arial" w:eastAsia="黑体"/>
      <w:b/>
    </w:rPr>
  </w:style>
  <w:style w:type="character" w:default="1" w:styleId="13">
    <w:name w:val="Default Paragraph Font"/>
    <w:semiHidden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link w:val="18"/>
    <w:qFormat/>
    <w:uiPriority w:val="99"/>
    <w:pPr>
      <w:jc w:val="center"/>
      <w:outlineLvl w:val="0"/>
    </w:pPr>
    <w:rPr>
      <w:rFonts w:ascii="Arial" w:hAnsi="Arial"/>
      <w:b/>
    </w:rPr>
  </w:style>
  <w:style w:type="paragraph" w:styleId="5">
    <w:name w:val="Document Map"/>
    <w:basedOn w:val="1"/>
    <w:link w:val="24"/>
    <w:semiHidden/>
    <w:qFormat/>
    <w:uiPriority w:val="99"/>
    <w:pPr>
      <w:shd w:val="clear" w:color="auto" w:fill="000080"/>
    </w:pPr>
  </w:style>
  <w:style w:type="paragraph" w:styleId="6">
    <w:name w:val="annotation text"/>
    <w:basedOn w:val="7"/>
    <w:link w:val="19"/>
    <w:qFormat/>
    <w:uiPriority w:val="99"/>
    <w:pPr>
      <w:jc w:val="left"/>
    </w:pPr>
    <w:rPr>
      <w:rFonts w:eastAsia="宋体"/>
    </w:rPr>
  </w:style>
  <w:style w:type="paragraph" w:styleId="7">
    <w:name w:val="Balloon Text"/>
    <w:basedOn w:val="1"/>
    <w:link w:val="21"/>
    <w:qFormat/>
    <w:uiPriority w:val="99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1">
    <w:name w:val="annotation subject"/>
    <w:basedOn w:val="6"/>
    <w:next w:val="6"/>
    <w:link w:val="20"/>
    <w:qFormat/>
    <w:uiPriority w:val="99"/>
    <w:rPr>
      <w:b/>
      <w:bCs/>
    </w:rPr>
  </w:style>
  <w:style w:type="character" w:styleId="14">
    <w:name w:val="Strong"/>
    <w:basedOn w:val="13"/>
    <w:qFormat/>
    <w:uiPriority w:val="99"/>
    <w:rPr>
      <w:rFonts w:cs="Times New Roman"/>
      <w:b/>
    </w:rPr>
  </w:style>
  <w:style w:type="character" w:styleId="15">
    <w:name w:val="annotation reference"/>
    <w:basedOn w:val="13"/>
    <w:qFormat/>
    <w:uiPriority w:val="99"/>
    <w:rPr>
      <w:rFonts w:cs="Times New Roman"/>
      <w:sz w:val="21"/>
      <w:szCs w:val="21"/>
    </w:rPr>
  </w:style>
  <w:style w:type="character" w:customStyle="1" w:styleId="16">
    <w:name w:val="Heading 1 Char"/>
    <w:basedOn w:val="13"/>
    <w:link w:val="2"/>
    <w:qFormat/>
    <w:locked/>
    <w:uiPriority w:val="99"/>
    <w:rPr>
      <w:rFonts w:ascii="Arial" w:hAnsi="Arial" w:eastAsia="宋体" w:cs="Times New Roman"/>
      <w:b/>
      <w:bCs/>
      <w:kern w:val="44"/>
      <w:sz w:val="44"/>
      <w:szCs w:val="44"/>
    </w:rPr>
  </w:style>
  <w:style w:type="character" w:customStyle="1" w:styleId="17">
    <w:name w:val="Heading 2 Char"/>
    <w:basedOn w:val="13"/>
    <w:link w:val="4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8">
    <w:name w:val="Title Char"/>
    <w:basedOn w:val="13"/>
    <w:link w:val="3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9">
    <w:name w:val="Comment Text Char"/>
    <w:basedOn w:val="13"/>
    <w:link w:val="6"/>
    <w:semiHidden/>
    <w:qFormat/>
    <w:locked/>
    <w:uiPriority w:val="99"/>
    <w:rPr>
      <w:rFonts w:eastAsia="宋体" w:cs="Times New Roman"/>
      <w:kern w:val="2"/>
      <w:sz w:val="22"/>
      <w:szCs w:val="22"/>
    </w:rPr>
  </w:style>
  <w:style w:type="character" w:customStyle="1" w:styleId="20">
    <w:name w:val="Comment Subject Char"/>
    <w:basedOn w:val="19"/>
    <w:link w:val="11"/>
    <w:semiHidden/>
    <w:qFormat/>
    <w:locked/>
    <w:uiPriority w:val="99"/>
    <w:rPr>
      <w:b/>
      <w:bCs/>
    </w:rPr>
  </w:style>
  <w:style w:type="character" w:customStyle="1" w:styleId="21">
    <w:name w:val="Balloon Text Char"/>
    <w:basedOn w:val="13"/>
    <w:link w:val="7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2">
    <w:name w:val="Footer Char"/>
    <w:basedOn w:val="13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Header Char"/>
    <w:basedOn w:val="13"/>
    <w:link w:val="9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Document Map Char"/>
    <w:basedOn w:val="13"/>
    <w:link w:val="5"/>
    <w:semiHidden/>
    <w:locked/>
    <w:uiPriority w:val="99"/>
    <w:rPr>
      <w:rFonts w:ascii="Times New Roman" w:hAnsi="Times New Roman" w:eastAsia="仿宋_GB2312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r</Company>
  <Pages>2</Pages>
  <Words>87</Words>
  <Characters>501</Characters>
  <Lines>0</Lines>
  <Paragraphs>0</Paragraphs>
  <TotalTime>15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2017-12-14T06:58:00Z</dcterms:created>
  <dc:creator>r</dc:creator>
  <cp:lastModifiedBy>rsyg4</cp:lastModifiedBy>
  <cp:lastPrinted>2019-08-23T03:27:00Z</cp:lastPrinted>
  <dcterms:modified xsi:type="dcterms:W3CDTF">2022-09-26T02:27:31Z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