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政府工作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报告</w:t>
      </w:r>
    </w:p>
    <w:p>
      <w:pPr>
        <w:jc w:val="left"/>
        <w:rPr>
          <w:rFonts w:hint="eastAsia"/>
          <w:lang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pacing w:val="57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——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在东成镇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第五届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人民代表大会</w:t>
      </w:r>
      <w:r>
        <w:rPr>
          <w:rFonts w:hint="eastAsia" w:ascii="楷体_GB2312" w:hAnsi="楷体_GB2312" w:eastAsia="楷体_GB2312" w:cs="楷体_GB2312"/>
          <w:color w:val="000000"/>
          <w:spacing w:val="57"/>
          <w:sz w:val="28"/>
          <w:szCs w:val="28"/>
        </w:rPr>
        <w:t>第</w:t>
      </w:r>
      <w:r>
        <w:rPr>
          <w:rFonts w:hint="eastAsia" w:ascii="楷体_GB2312" w:hAnsi="楷体_GB2312" w:eastAsia="楷体_GB2312" w:cs="楷体_GB2312"/>
          <w:color w:val="000000"/>
          <w:spacing w:val="57"/>
          <w:sz w:val="28"/>
          <w:szCs w:val="28"/>
          <w:lang w:eastAsia="zh-CN"/>
        </w:rPr>
        <w:t>四次</w:t>
      </w:r>
      <w:r>
        <w:rPr>
          <w:rFonts w:hint="eastAsia" w:ascii="楷体_GB2312" w:hAnsi="楷体_GB2312" w:eastAsia="楷体_GB2312" w:cs="楷体_GB2312"/>
          <w:color w:val="000000"/>
          <w:spacing w:val="57"/>
          <w:sz w:val="28"/>
          <w:szCs w:val="28"/>
        </w:rPr>
        <w:t>会议上</w:t>
      </w:r>
      <w:r>
        <w:rPr>
          <w:rFonts w:hint="eastAsia" w:ascii="楷体_GB2312" w:hAnsi="楷体_GB2312" w:eastAsia="楷体_GB2312" w:cs="楷体_GB2312"/>
          <w:color w:val="000000"/>
          <w:spacing w:val="57"/>
          <w:sz w:val="28"/>
          <w:szCs w:val="28"/>
          <w:lang w:eastAsia="zh-CN"/>
        </w:rPr>
        <w:t>的工作报告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（202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3月7日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邓志鹏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各位代表：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现在，我代表东成镇人民政府，向大会作工作报告，请予审议，并请全体代表和其他列席人员提出宝贵意见。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一、2022年政府工作回顾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去的2022年是极不平凡的一年，海南自贸港进入封关运作准备、儋洋一体化发展扬帆起航便经受了疫情交织反复冲击、经济下行压力增大等多重超预期因素的考验。我们坚决贯彻市委市政府部署，在镇党委的正确领导下，在镇人大的监督支持下，在打造儋洋“中转站”“瓜果园”“后花园”发展框架下，贯彻落实“疫情要防住、经济要稳住、发展要安全”的要求，坚持以经济建设为中心的思想不动摇，积蓄发展动能。镇域经济地区生产总值实现12.69亿元，较2021年增加0.32亿元，完成固定资产投资2.12亿元，同比2021年增长53.6%，地方公共预算收入同比2021年增长20.6%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（一）举全镇之力应对疫情交织反复冲击，用13天时间实现社会面清零。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8月27日，我镇出现首例阳性人员，时任省委副书记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、政法委书记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徐启方亲临长坡“主战场”一线指挥，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市领导多次亲临战役一线部署、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，包点市领导吃住在镇，带着我们研究应对措施，在镇党委的正确领导下，迅速建立扁平化战时指挥体系，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500余名党员干部、志愿者日夜坚守疫情防控“战场”，严格做好了24名阳性人员和8例复阳人员管控工作，采取果断强硬措施阻断疫情传播，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用13天时间实现社会面清零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。在疫情转入优化防控后，优化调整疫情防控措施，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平稳有序实施“乙类乙管”，确保平稳“渡峰”，顺利“转段”。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（二）以乡村振兴为抓手，推动乡村建设呈现新面貌。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巩固拓展脱贫攻坚成果，有序推进乡村建设，推动乡村振兴。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切实抓好“三落实一巩固”及问题整改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抓实大比拼、交叉检查、第三方评估、国家后评估等迎检迎评及反馈问题整改工作，特别是番陈村在省第三方评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估中取得好成绩，是全市唯一未被要求作检讨的村。发放特惠性六类人员学生教育补助672人79.995万元，发放“雨露计划”56人9.8万元。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全镇脱贫户产业项目分红127.7万元。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173户脱贫户获益生产奖励31.1万元。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8户</w:t>
      </w:r>
      <w:r>
        <w:rPr>
          <w:rFonts w:hint="eastAsia" w:ascii="仿宋_GB2312" w:hAnsi="仿宋_GB2312" w:eastAsia="仿宋_GB2312" w:cs="仿宋_GB2312"/>
          <w:sz w:val="32"/>
          <w:szCs w:val="32"/>
        </w:rPr>
        <w:t>危房改造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竣工入住。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在征缴体量大、任务重、时间紧的情况下在全市率先完成1721户8857人脱贫人口和监测对象医保征缴任务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。2022年，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脱贫户人均纯收入18275.41元，较2021年提高922.07元。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baseline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推进乡村建设。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投入704万元建设迈格村、崖碧村、寨脚村、木薯基地进厂道路；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防渗漏改造户厕250户；安装路灯85盏。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创新机制，以上率下，齐抓共管农村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人居环境整治，获奖励资金7万元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；深入开展爱国卫生运动，病媒生物防制取得好的效果，崖碧省级卫生村复审通过，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吴村、平地、周坊等3个村成功创建省级卫生村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推动建设“五大基地”。</w:t>
      </w:r>
      <w:r>
        <w:rPr>
          <w:rFonts w:hint="eastAsia" w:asci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依托产业发展资源优势，推动建设“五大基地”。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推动建设千亩木薯基地。采用“村委会+企业+农户”的模式，引导村委会、农户拿出土地发展产业，引进中国热带农业科学院育成的华南9号木薯，</w:t>
      </w:r>
      <w:r>
        <w:rPr>
          <w:rFonts w:hint="eastAsia" w:ascii="Times New Roman" w:hAnsi="Times New Roman" w:eastAsia="仿宋_GB2312" w:cs="Times New Roman"/>
          <w:color w:val="000000" w:themeColor="text1"/>
          <w:spacing w:val="1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投入600万元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推广种植1000亩以上，木薯生产加工基地一体化项目顺利落地东成。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推动建设千亩榴莲菠萝蜜基地。引进马来西亚榴莲蜜五号，种植榴莲菠萝蜜</w:t>
      </w:r>
      <w:r>
        <w:rPr>
          <w:rFonts w:hint="eastAsia" w:ascii="Times New Roman" w:hAnsi="Times New Roman" w:eastAsia="仿宋_GB2312" w:cs="Times New Roman"/>
          <w:color w:val="000000" w:themeColor="text1"/>
          <w:spacing w:val="1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1350亩</w:t>
      </w:r>
      <w:r>
        <w:rPr>
          <w:rFonts w:hint="eastAsia" w:ascii="仿宋_GB2312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，预计2023年9月份成熟上市，亩产效益可达8万元。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推动建设奇楠沉香种植基地。沉香产业基地总规划开发面积2000亩，第一期投资3670万元，种植奇楠沉香568亩，支持打造</w:t>
      </w:r>
      <w:r>
        <w:rPr>
          <w:rFonts w:hint="eastAsia" w:ascii="Times New Roman" w:hAnsi="Times New Roman" w:eastAsia="仿宋_GB2312" w:cs="Times New Roman"/>
          <w:color w:val="000000" w:themeColor="text1"/>
          <w:spacing w:val="1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集种苗、种植、加工、销售、科研</w:t>
      </w:r>
      <w:r>
        <w:rPr>
          <w:rFonts w:hint="eastAsia" w:ascii="Times New Roman" w:hAnsi="Times New Roman" w:eastAsia="仿宋_GB2312" w:cs="Times New Roman"/>
          <w:spacing w:val="10"/>
          <w:kern w:val="2"/>
          <w:sz w:val="32"/>
          <w:szCs w:val="32"/>
          <w:lang w:val="en-US" w:eastAsia="zh-CN"/>
        </w:rPr>
        <w:t>、培训于一体的特色高效优质沉香全产业链。</w:t>
      </w:r>
      <w:r>
        <w:rPr>
          <w:rFonts w:hint="eastAsia" w:ascii="Times New Roman" w:hAnsi="Times New Roman" w:eastAsia="仿宋_GB2312" w:cs="Times New Roman"/>
          <w:b/>
          <w:bCs/>
          <w:spacing w:val="10"/>
          <w:kern w:val="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推动建设千亩常年蔬菜基地。依托自长坡到周坊村一带的广阔土</w:t>
      </w:r>
      <w:r>
        <w:rPr>
          <w:rFonts w:hint="eastAsia" w:ascii="Times New Roman" w:hAnsi="Times New Roman" w:eastAsia="仿宋_GB2312" w:cs="Times New Roman"/>
          <w:spacing w:val="10"/>
          <w:kern w:val="2"/>
          <w:sz w:val="32"/>
          <w:szCs w:val="32"/>
          <w:lang w:val="en-US" w:eastAsia="zh-CN"/>
        </w:rPr>
        <w:t>地建设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崖碧坡、光村坡、灵流坡、高荣坡、井村坡等</w:t>
      </w:r>
      <w:r>
        <w:rPr>
          <w:rFonts w:hint="eastAsia" w:ascii="Times New Roman" w:hAnsi="Times New Roman" w:eastAsia="仿宋_GB2312" w:cs="Times New Roman"/>
          <w:spacing w:val="10"/>
          <w:kern w:val="2"/>
          <w:sz w:val="32"/>
          <w:szCs w:val="32"/>
          <w:lang w:val="en-US" w:eastAsia="zh-CN"/>
        </w:rPr>
        <w:t>五大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常年蔬菜基地1347亩</w:t>
      </w:r>
      <w:r>
        <w:rPr>
          <w:rFonts w:hint="eastAsia" w:ascii="Times New Roman" w:hAnsi="Times New Roman" w:eastAsia="仿宋_GB2312" w:cs="Times New Roman"/>
          <w:spacing w:val="10"/>
          <w:kern w:val="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pacing w:val="10"/>
          <w:kern w:val="2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推动建设迈格红色文化教育基地。以中组部将迈格村列为</w:t>
      </w:r>
      <w:r>
        <w:rPr>
          <w:rFonts w:hint="eastAsia" w:ascii="Times New Roman" w:hAnsi="Times New Roman" w:eastAsia="仿宋_GB2312" w:cs="Times New Roman"/>
          <w:spacing w:val="10"/>
          <w:kern w:val="2"/>
          <w:sz w:val="32"/>
          <w:szCs w:val="32"/>
          <w:lang w:val="en-US" w:eastAsia="zh-CN"/>
        </w:rPr>
        <w:t>海南省2022年2个红色美丽村庄建设示范点之一的契机，投入800万元资金建设迈格战斗历史陈列馆，推进迈格美丽村庄建设，谋划推动建设创意农业、文化创意、乡村旅游为一体的“农文旅”项目，打造“研学游”红色文化教育基地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（三）紧扣“平安东成”创建主线，推进基层治理。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强化信访工作源头治理。建立镇领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导在镇下村接访群众、移交办理、答复信访人、回访提高满意度工作闭环机制，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" w:eastAsia="zh-CN"/>
        </w:rPr>
        <w:t>加快办理信访件的速度与质量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，重复信访率较2021年下降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75%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，及时受理率、按期答复率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各类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矛盾纠纷调处率100%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，获2022年度全市信访工作优秀单位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。较真碰硬处置森林图斑及国家卫片438宗，耕地卫片68宗，依法拆除违法建（构）筑物约4072平方米。扣押各类违法采砂车辆21辆。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督促10家重点生产企业整改安全隐患14项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，督促落实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燃气报警器25家，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责令宾馆改正电动车充电火灾隐患12处，组建检查组常态化巡查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镇域内学校周边寄宿点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广泛开展森林防火宣传教育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，造林复绿面积约440亩，获2022年度林长制考核全市第一名、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全市林木采伐审批大比武第一名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；抓生态环境保护，清理水浮莲2574亩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（四）坚持以人民为中心的发展思想，增进百姓福祉。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牢记“粮食安全”是“国之大者”，抓好农业生产增收工作。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完成高荣坡10000亩高标准农田建设，推进建设文柏村6000亩高标准农田接近尾声；撂荒地复耕任务翻倍完成；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作物类种植30028.4亩，产量11763.87吨；蔬菜类种植14579.2亩，产量21296.53吨；油料作物类种植2710.5亩，产量406.57吨。落实108人次失能半失能特困供养人员护理费用；落实政府代缴城乡居民基本养老保险和2023年度城乡居民医保；新增纳入农村低保167人、特困户7人、低保边缘家庭26人；发放临时救助99户17.71万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宫颈癌筛查年度完成率101.33%，乳腺癌筛查年度完成率101.5%。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各位代表，过去一年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取得来之不易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sz w:val="32"/>
          <w:szCs w:val="32"/>
        </w:rPr>
        <w:t>成绩是我们认真贯彻市委市政府决策部署的结果，是镇党委正确领导的结果，是镇人大严格监督、鼎力支持的结果，是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东成</w:t>
      </w:r>
      <w:r>
        <w:rPr>
          <w:rFonts w:hint="eastAsia" w:ascii="仿宋_GB2312" w:hAnsi="宋体" w:eastAsia="仿宋_GB2312" w:cs="仿宋_GB2312"/>
          <w:sz w:val="32"/>
          <w:szCs w:val="32"/>
        </w:rPr>
        <w:t>广大干部群众团结一心、苦干实干的结果。在此，我代表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东成</w:t>
      </w:r>
      <w:r>
        <w:rPr>
          <w:rFonts w:hint="eastAsia" w:ascii="仿宋_GB2312" w:hAnsi="宋体" w:eastAsia="仿宋_GB2312" w:cs="仿宋_GB2312"/>
          <w:sz w:val="32"/>
          <w:szCs w:val="32"/>
        </w:rPr>
        <w:t>镇人民政府，向关心支持政府工作，为全镇经济社会发展做出贡献的各级领导、各界人士、各方朋友，致以崇高的敬意和衷心的感谢！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各位代表，在看到成绩的同时，我们对标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海南自贸港建设要求</w:t>
      </w:r>
      <w:r>
        <w:rPr>
          <w:rFonts w:hint="eastAsia" w:ascii="仿宋_GB2312" w:hAnsi="宋体" w:eastAsia="仿宋_GB2312" w:cs="仿宋_GB2312"/>
          <w:sz w:val="32"/>
          <w:szCs w:val="32"/>
        </w:rPr>
        <w:t>，对标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儋洋经济圈加速推进要求，对标</w:t>
      </w:r>
      <w:r>
        <w:rPr>
          <w:rFonts w:hint="eastAsia" w:ascii="仿宋_GB2312" w:hAnsi="宋体" w:eastAsia="仿宋_GB2312" w:cs="仿宋_GB2312"/>
          <w:sz w:val="32"/>
          <w:szCs w:val="32"/>
        </w:rPr>
        <w:t>省内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市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宋体" w:eastAsia="仿宋_GB2312" w:cs="仿宋_GB2312"/>
          <w:sz w:val="32"/>
          <w:szCs w:val="32"/>
        </w:rPr>
        <w:t>外经济较好乡镇，要正视存在的困难和挑战：</w:t>
      </w:r>
      <w:r>
        <w:rPr>
          <w:rStyle w:val="11"/>
          <w:rFonts w:hint="eastAsia" w:ascii="仿宋_GB2312" w:hAnsi="宋体" w:eastAsia="仿宋_GB2312" w:cs="仿宋_GB2312"/>
          <w:sz w:val="32"/>
          <w:szCs w:val="32"/>
        </w:rPr>
        <w:t>一是</w:t>
      </w:r>
      <w:r>
        <w:rPr>
          <w:rFonts w:hint="eastAsia" w:ascii="仿宋_GB2312" w:hAnsi="宋体" w:eastAsia="仿宋_GB2312" w:cs="仿宋_GB2312"/>
          <w:sz w:val="32"/>
          <w:szCs w:val="32"/>
        </w:rPr>
        <w:t>特色产业还没有形成规模化、品牌化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  <w:r>
        <w:rPr>
          <w:rStyle w:val="11"/>
          <w:rFonts w:hint="eastAsia" w:ascii="仿宋_GB2312" w:hAnsi="宋体" w:eastAsia="仿宋_GB2312" w:cs="仿宋_GB2312"/>
          <w:sz w:val="32"/>
          <w:szCs w:val="32"/>
        </w:rPr>
        <w:t>二</w:t>
      </w:r>
      <w:r>
        <w:rPr>
          <w:rStyle w:val="11"/>
          <w:rFonts w:hint="eastAsia" w:ascii="仿宋_GB2312" w:hAnsi="宋体" w:eastAsia="仿宋_GB2312" w:cs="仿宋_GB2312"/>
          <w:sz w:val="32"/>
          <w:szCs w:val="32"/>
          <w:shd w:val="clear" w:fill="FFFFFF"/>
        </w:rPr>
        <w:t>是</w:t>
      </w:r>
      <w:r>
        <w:rPr>
          <w:rFonts w:hint="eastAsia" w:ascii="仿宋_GB2312" w:hAnsi="宋体" w:eastAsia="仿宋_GB2312" w:cs="仿宋_GB2312"/>
          <w:sz w:val="32"/>
          <w:szCs w:val="32"/>
          <w:shd w:val="clear" w:fill="FFFFFF"/>
        </w:rPr>
        <w:t>农村</w:t>
      </w:r>
      <w:r>
        <w:rPr>
          <w:rFonts w:hint="eastAsia" w:ascii="仿宋_GB2312" w:hAnsi="宋体" w:eastAsia="仿宋_GB2312" w:cs="仿宋_GB2312"/>
          <w:sz w:val="32"/>
          <w:szCs w:val="32"/>
        </w:rPr>
        <w:t>基础设施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历史</w:t>
      </w:r>
      <w:r>
        <w:rPr>
          <w:rFonts w:hint="eastAsia" w:ascii="仿宋_GB2312" w:hAnsi="宋体" w:eastAsia="仿宋_GB2312" w:cs="仿宋_GB2312"/>
          <w:sz w:val="32"/>
          <w:szCs w:val="32"/>
        </w:rPr>
        <w:t>欠账较多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  <w:r>
        <w:rPr>
          <w:rStyle w:val="11"/>
          <w:rFonts w:hint="eastAsia" w:ascii="仿宋_GB2312" w:hAnsi="宋体" w:eastAsia="仿宋_GB2312" w:cs="仿宋_GB2312"/>
          <w:sz w:val="32"/>
          <w:szCs w:val="32"/>
        </w:rPr>
        <w:t>三是</w:t>
      </w:r>
      <w:r>
        <w:rPr>
          <w:rFonts w:hint="eastAsia" w:ascii="仿宋_GB2312" w:hAnsi="宋体" w:eastAsia="仿宋_GB2312" w:cs="仿宋_GB2312"/>
          <w:sz w:val="32"/>
          <w:szCs w:val="32"/>
        </w:rPr>
        <w:t>营商环境有待优化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，招商引资力度还要再加大</w:t>
      </w:r>
      <w:r>
        <w:rPr>
          <w:rFonts w:hint="eastAsia" w:ascii="仿宋_GB2312" w:hAnsi="宋体" w:eastAsia="仿宋_GB2312" w:cs="仿宋_GB2312"/>
          <w:sz w:val="32"/>
          <w:szCs w:val="32"/>
        </w:rPr>
        <w:t>；</w:t>
      </w:r>
      <w:r>
        <w:rPr>
          <w:rStyle w:val="11"/>
          <w:rFonts w:hint="eastAsia" w:ascii="仿宋_GB2312" w:hAnsi="宋体" w:eastAsia="仿宋_GB2312" w:cs="仿宋_GB2312"/>
          <w:sz w:val="32"/>
          <w:szCs w:val="32"/>
        </w:rPr>
        <w:t>四是</w:t>
      </w:r>
      <w:r>
        <w:rPr>
          <w:rFonts w:hint="eastAsia" w:ascii="仿宋_GB2312" w:hAnsi="宋体" w:eastAsia="仿宋_GB2312" w:cs="仿宋_GB2312"/>
          <w:sz w:val="32"/>
          <w:szCs w:val="32"/>
        </w:rPr>
        <w:t>社会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宋体" w:eastAsia="仿宋_GB2312" w:cs="仿宋_GB2312"/>
          <w:sz w:val="32"/>
          <w:szCs w:val="32"/>
        </w:rPr>
        <w:t>公共服务还需进一步完善。对此，我们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宋体" w:eastAsia="仿宋_GB2312" w:cs="仿宋_GB2312"/>
          <w:sz w:val="32"/>
          <w:szCs w:val="32"/>
        </w:rPr>
        <w:t>高度重视，采取有效措施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宋体" w:eastAsia="仿宋_GB2312" w:cs="仿宋_GB2312"/>
          <w:sz w:val="32"/>
          <w:szCs w:val="32"/>
        </w:rPr>
        <w:t>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宋体" w:eastAsia="黑体" w:cs="黑体"/>
          <w:spacing w:val="0"/>
          <w:sz w:val="32"/>
          <w:szCs w:val="32"/>
        </w:rPr>
      </w:pPr>
      <w:r>
        <w:rPr>
          <w:rFonts w:ascii="黑体" w:hAnsi="宋体" w:eastAsia="黑体" w:cs="黑体"/>
          <w:spacing w:val="0"/>
          <w:sz w:val="32"/>
          <w:szCs w:val="32"/>
        </w:rPr>
        <w:t>二、2023年重点工作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今年是全面贯彻落实党的二十大精神的开局之年，是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海南自贸港封关运作准备、儋洋经济圈加速推进的关键之年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，做好今年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工作意义重大、责任重大。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今年政府工作的</w:t>
      </w:r>
      <w:r>
        <w:rPr>
          <w:rStyle w:val="11"/>
          <w:rFonts w:hint="eastAsia" w:ascii="仿宋_GB2312" w:hAnsi="宋体" w:eastAsia="仿宋_GB2312" w:cs="仿宋_GB2312"/>
          <w:spacing w:val="0"/>
          <w:sz w:val="32"/>
          <w:szCs w:val="32"/>
        </w:rPr>
        <w:t>总体要求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：以习近平新时代中国特色社会主义思想为指导，全面贯彻落实党的二十大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和党的二十届二中全会精神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对标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“一本三基四梁八柱”战略框架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和儋洋一体化重大改革决策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，对标对表2023年市政府重点工作，团结奋斗，真抓实干，为海南高质量发展“第三极”作出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东成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Style w:val="11"/>
          <w:rFonts w:hint="eastAsia" w:ascii="仿宋_GB2312" w:hAnsi="宋体" w:eastAsia="仿宋_GB2312" w:cs="仿宋_GB2312"/>
          <w:sz w:val="32"/>
          <w:szCs w:val="32"/>
          <w:lang w:val="en-US" w:eastAsia="zh-CN"/>
        </w:rPr>
        <w:t>2023</w:t>
      </w:r>
      <w:r>
        <w:rPr>
          <w:rStyle w:val="11"/>
          <w:rFonts w:hint="eastAsia" w:ascii="仿宋_GB2312" w:hAnsi="宋体" w:eastAsia="仿宋_GB2312" w:cs="仿宋_GB2312"/>
          <w:sz w:val="32"/>
          <w:szCs w:val="32"/>
        </w:rPr>
        <w:t>年经济社会发展主要预期目标：</w:t>
      </w:r>
      <w:r>
        <w:rPr>
          <w:rFonts w:hint="eastAsia" w:ascii="仿宋_GB2312" w:hAnsi="宋体" w:eastAsia="仿宋_GB2312" w:cs="仿宋_GB2312"/>
          <w:sz w:val="32"/>
          <w:szCs w:val="32"/>
        </w:rPr>
        <w:t>地区生产总值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同比增长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10%</w:t>
      </w:r>
      <w:r>
        <w:rPr>
          <w:rFonts w:hint="eastAsia" w:ascii="仿宋_GB2312" w:hAnsi="宋体" w:eastAsia="仿宋_GB2312" w:cs="仿宋_GB2312"/>
          <w:sz w:val="32"/>
          <w:szCs w:val="32"/>
        </w:rPr>
        <w:t>，固定资产投资增长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0%以上，地方一般公共预算收入增长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sz w:val="32"/>
          <w:szCs w:val="32"/>
        </w:rPr>
        <w:t>%以上，城镇和农村常住居民人均可支配收入分别增长9%左右、9.5%左右，集体经济年收入超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过</w:t>
      </w:r>
      <w:r>
        <w:rPr>
          <w:rFonts w:hint="eastAsia" w:ascii="仿宋_GB2312" w:hAnsi="宋体" w:eastAsia="仿宋_GB2312" w:cs="仿宋_GB2312"/>
          <w:sz w:val="32"/>
          <w:szCs w:val="32"/>
        </w:rPr>
        <w:t>10万元的村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个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确保省级卫生镇复审通过，</w:t>
      </w:r>
      <w:r>
        <w:rPr>
          <w:rFonts w:hint="eastAsia" w:ascii="仿宋_GB2312" w:hAnsi="宋体" w:eastAsia="仿宋_GB2312" w:cs="仿宋_GB2312"/>
          <w:sz w:val="32"/>
          <w:szCs w:val="32"/>
        </w:rPr>
        <w:t>推动工作干在实处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，争上游、出亮点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为实现上述目标，要重点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shd w:val="clear" w:fill="FFFFFF"/>
        </w:rPr>
        <w:t>做好以下</w:t>
      </w:r>
      <w:r>
        <w:rPr>
          <w:rFonts w:hint="eastAsia" w:ascii="仿宋_GB2312" w:hAnsi="宋体" w:eastAsia="仿宋_GB2312" w:cs="仿宋_GB2312"/>
          <w:b/>
          <w:bCs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宋体" w:eastAsia="仿宋_GB2312" w:cs="仿宋_GB2312"/>
          <w:b/>
          <w:bCs/>
          <w:spacing w:val="0"/>
          <w:sz w:val="32"/>
          <w:szCs w:val="32"/>
          <w:shd w:val="clear" w:fill="FFFFFF"/>
        </w:rPr>
        <w:t>大方面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（一）全力抓好招商引资工作。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我们深刻认识到招商引资是拉动地区经济发展的重要引擎，是推动产业发展的主抓手，要全力抛招商引资之砖，引项目落地之玉。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把优化营商环境作为政府“一号工程”。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坚决贯彻落实招商引资“一把手”工程，全面压实领导干部联系企业制度，常态化开展“政企面对面”座谈，倡导“店小二”精神，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一线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做好干预企业建设经营行为的处理工作，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加大项目对接力度，统筹项目引进“签约、落地、投产、达效”全流程。以即将召开的“在东成，何止西就——投资兴业 四通八达”东成镇首届招商引资推介会为契机，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抓好产业招商、以商招商、上门招商，落实政策和土地、用水、用电等生产要素支持，</w:t>
      </w:r>
      <w:r>
        <w:rPr>
          <w:rFonts w:hint="eastAsia" w:ascii="仿宋_GB2312" w:hAnsi="Times New Roman" w:eastAsia="仿宋_GB2312" w:cs="仿宋_GB2312"/>
          <w:b w:val="0"/>
          <w:bCs w:val="0"/>
          <w:spacing w:val="6"/>
          <w:kern w:val="2"/>
          <w:sz w:val="32"/>
          <w:szCs w:val="32"/>
          <w:shd w:val="clear" w:color="auto" w:fill="FFFFFF"/>
          <w:lang w:val="en-US" w:eastAsia="zh-CN" w:bidi="ar"/>
        </w:rPr>
        <w:t>营造高水平的营商环境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Style w:val="11"/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“三大经济圈”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壮大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“四大产业”</w:t>
      </w:r>
      <w:bookmarkStart w:id="0" w:name="_GoBack"/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“五大基地”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按照镇党委既定的发展目标定位，以“资源整合、对接市场、培育品牌”为主向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，千方百计抓招商扩投资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做强千亩榴莲菠萝蜜、千亩奇楠沉香、千亩木薯、千亩蔬菜基地及迈格红色文化教育基地等五大基地。壮大林下经济产业、热带水果产业、毛豆生产加工产业、天然橡胶融入全产业链发展。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依托农业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资源禀赋、交通区位优势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，以北部湾大道沿线的地理区位和沿线产业项目为主辐射点，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谋划集仓储、冷链、物流于一体的产业基地，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产销衔接、运行顺畅、辐射全域的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物流仓储中心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“经济圈”。决心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特色产业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+主题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+田园生活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”发展模式，培育发展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迈格红色美丽村庄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东成侯臣咖啡小站—千亩榴莲菠萝蜜基地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长坡田洋风光—“一刻钟”吃遍长坡特色美食“夜经济”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精品旅游线路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，大力发展“果园畅玩、水果畅吃”观赏农业，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农业旅游观光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“经济圈”。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决心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围绕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瓜果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花卉、畜牧、林下经济等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，以抱舍、文柏、洪山等种养殖主导区域开展绿色食品、有机农产品认证，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“种养殖经济圈”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以“三大经济圈”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完善产业空间布局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优化产业结构，联动发展“一村一品”，发展集体经济达到10万元以上的村2个，培育壮大产业能级。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（二）推动乡村振兴取得更好成果。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坚持农业农村优先发展，以《中共中央 国务院关于做好2023年全面推进乡村振兴重点工作的意见》作为推动乡村振兴工作的根本遵循。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守住不发生规模性返贫底线。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压紧压实巩固拓展脱贫攻坚成果责任，强化防止返贫动态监测，落实帮扶措施，做好兜底保障。巩固提升“三保障”和饮水安全保障成果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，牢牢守住不发生规模性返贫的底线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增强脱贫群众内生动力。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把增加脱贫群众收入作为根本要求，在政府投资重点工程和农业农村基础设施建设项目中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落实“</w:t>
      </w:r>
      <w:r>
        <w:rPr>
          <w:rFonts w:hint="eastAsia" w:ascii="仿宋_GB2312" w:hAnsi="仿宋_GB2312" w:eastAsia="仿宋_GB2312" w:cs="仿宋_GB2312"/>
          <w:sz w:val="32"/>
          <w:szCs w:val="32"/>
        </w:rPr>
        <w:t>以工代赈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聚焦产业就业，鼓励有条件的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村和</w:t>
      </w:r>
      <w:r>
        <w:rPr>
          <w:rFonts w:hint="eastAsia" w:ascii="仿宋_GB2312" w:hAnsi="仿宋_GB2312" w:eastAsia="仿宋_GB2312" w:cs="仿宋_GB2312"/>
          <w:sz w:val="32"/>
          <w:szCs w:val="32"/>
        </w:rPr>
        <w:t>农户发展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林下经济、</w:t>
      </w:r>
      <w:r>
        <w:rPr>
          <w:rFonts w:hint="eastAsia" w:ascii="仿宋_GB2312" w:hAnsi="仿宋_GB2312" w:eastAsia="仿宋_GB2312" w:cs="仿宋_GB2312"/>
          <w:sz w:val="32"/>
          <w:szCs w:val="32"/>
        </w:rPr>
        <w:t>庭院经济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充分发挥乡村公益性岗位就业保障作用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促进农民工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务工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不断缩小收入差距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深入开展多种形式的消费帮扶。管好用好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培育壮大乡村富民产业。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支持创建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优势特色产业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全产业链、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实施乡村休闲旅游精品工程，提升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产业承载和配套服务功能，增强集聚功能。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以迈格红色文化教育基地为主引擎，推动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文化产业赋能乡村振兴。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提升基本公共服务能力。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着力加强基本公共服务薄弱环节。完成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农村自建房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安全隐患排查整治。深化农村社会工作服务。加强农村老幼病残孕等重点人群医疗保障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加强农村未成年人保护工作，健全农村残疾人关爱服务体系，关心关爱精神障碍人员。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加强乡村人才队伍建设。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与海南大学农业农村学院与中国热带农业科学院的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实施乡村振兴巾帼行动、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大学生志愿服务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加强耕地保护管控。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严格耕地占补平衡管理，严格控制耕地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“非农化”“非粮化”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。加大撂荒耕地利用力度。完成高标准农田新建和改造提升任务，重点补上农田灌排设施等短板，健全长效管护机制。推进以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村庄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为单元的全域土地综合整治。积极盘活存量集体建设用地，优先保障农民居住、乡村基础设施、公共服务空间和产业用地需求，立足乡土特征、地域特点提升村庄风貌。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推进宜居宜业和美乡村建设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持续开展村庄清洁行动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爱国卫生运动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巩固农村户厕问题摸排整改成果，加强农村公厕建设维护。分类梯次推进农村生活污水治理。推动农村生活垃圾源头分类减量，及时清运处置。推进厕所粪污、有机废弃物就近就地资源化利用。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（三）以“平安东成”创建推进基层治理。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农村基层治理事关百姓福祉、事关社会大局和谐稳定，要</w:t>
      </w:r>
      <w:r>
        <w:rPr>
          <w:rFonts w:hint="eastAsia" w:ascii="仿宋_GB2312" w:hAnsi="仿宋_GB2312" w:eastAsia="仿宋_GB2312" w:cs="仿宋_GB2312"/>
          <w:sz w:val="32"/>
          <w:szCs w:val="32"/>
        </w:rPr>
        <w:t>把主要精力放在谋发展、抓治理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办实事上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落实疫情优化防控措施。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贯彻落实“乙类乙管”优化防控政策，持续推进疫苗接种工作，注重抓好重点场所防控措施，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支持镇</w:t>
      </w:r>
      <w:r>
        <w:rPr>
          <w:rFonts w:hint="eastAsia" w:ascii="仿宋_GB2312" w:hAnsi="仿宋_GB2312" w:eastAsia="仿宋_GB2312" w:cs="仿宋_GB2312"/>
          <w:sz w:val="32"/>
          <w:szCs w:val="32"/>
        </w:rPr>
        <w:t>村两级医疗卫生、医疗保障服务能力建设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提高农村传染病防控和应急处置能力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防控工作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提升乡村治理效能。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健全村民自治机制，夯实村级基础。加强乡村法治教育和法律服务，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深入培训“法律明白人”，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深入开展“民主法治示范村（社区）”创建。坚持和发展新时代“枫桥经验”，完善社会矛盾纠纷多元预防调处化解机制。完善网格化管理、精细化服务、信息化支撑的基层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综治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统筹发展和安全，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强化重大风险源头治理，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推动反诈工作向纵深发展，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依法严厉打击侵害农村妇女儿童权利的违法犯罪行为。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农村精神文明建设。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深入开展社会主义核心价值观宣传教育，深化农村群众性精神文明创建，拓展新时代文明实践中心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所（站）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建设，支持乡村自办群众性文化活动。推动各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因地制宜制定移风易俗规范，强化村规民约约束作用，扎实开展高价彩礼、大操大办等重点领域突出问题专项治理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推进农村丧葬习俗改革。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（四）稳住良好生态环境底色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全面落实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湖长制、林长制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落实好“六水共治”部署；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处理违法采砂，制止乱挖乱采，有效保护河流水质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；持续推进“两违”图斑整治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。盯紧秸秆禁烧，提高秸秆综合利用率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。抓好环保督察反馈问题整改工作。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（五）切实保障和改善民生。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统筹推进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农村水、电、路、通信、物流等基础设施建设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；因村制宜推广“沉砂池”污水处理模式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把好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兜底保障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政策。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低保、孤儿供养、特困供养人员、社会救助等惠民政策落地落实，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实行动态化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应保尽保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把温暖送到群众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心坎上。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（六）持续</w:t>
      </w:r>
      <w:r>
        <w:rPr>
          <w:rStyle w:val="11"/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提升政府治理能力</w:t>
      </w:r>
      <w:r>
        <w:rPr>
          <w:rStyle w:val="11"/>
          <w:rFonts w:hint="eastAsia" w:ascii="楷体_GB2312" w:hAnsi="楷体_GB2312" w:eastAsia="楷体_GB2312" w:cs="楷体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水平。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建设法治政府。做好政务信息公开，主动接受人大依法监督，接受社会监督和舆论监督。建设高效政府。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承接好</w:t>
      </w:r>
      <w:r>
        <w:rPr>
          <w:rFonts w:hint="eastAsia" w:ascii="仿宋_GB2312" w:hAnsi="仿宋_GB2312" w:eastAsia="仿宋_GB2312" w:cs="仿宋_GB2312"/>
          <w:sz w:val="32"/>
          <w:szCs w:val="32"/>
        </w:rPr>
        <w:t>扩权赋能乡镇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着力抓好“一枚印章管审批”审批模式实施出好的效果，提升政府工作效率，提高为民服务水平；抓好人大代表建议、政协委员提案事项落实办理工作。建设廉洁政府。落实“一岗双责”，坚决反对“四风”，坚决整治“庸懒散奢贪”，严格执行干部上下班考勤制度和请销假制度；牢固树立过紧日子思想；紧盯土地利用、项目招投标、工程建设等重点领域，加强资金使用监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各位代表。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认真学习宣传贯彻党的二十大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和二十届二中全会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精神，学深悟透习近平总书记关于“三农”工作的重要论述，把“三农”工作摆在突出位置抓紧抓好，不断提高“三农”工作水平。加强工作作风建设，树牢群众观点，贯彻群众路线，多到基层、多接地气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强化系统观念，统筹解决好“三农”工作中两难、多难问题，把握好工作时度效。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各位代表。大道至简，实干为要。儋洋一体化发展为我们提供了无比广阔的舞台，施展才干、实现梦想的前景无比光明。让我们更加紧密地团结在以习近平同志为核心的党中央周围，在市委、市政府和镇党委的坚强领导下，以争先快进的姿态、笃行精进的心态，推动东成各项建设不断迈上新台阶，为儋洋一体化发展扛起东成担当！</w:t>
      </w:r>
    </w:p>
    <w:sectPr>
      <w:footerReference r:id="rId3" w:type="default"/>
      <w:pgSz w:w="11906" w:h="16838"/>
      <w:pgMar w:top="1803" w:right="1440" w:bottom="1803" w:left="1440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DI1NDczZTU2YjY3ODkxNGVmZTFhMzFjOWVjNTUifQ=="/>
  </w:docVars>
  <w:rsids>
    <w:rsidRoot w:val="1DB5490E"/>
    <w:rsid w:val="004C0647"/>
    <w:rsid w:val="00532088"/>
    <w:rsid w:val="00594F8A"/>
    <w:rsid w:val="0069304D"/>
    <w:rsid w:val="00B46F03"/>
    <w:rsid w:val="00B5689B"/>
    <w:rsid w:val="010F3B4F"/>
    <w:rsid w:val="01476590"/>
    <w:rsid w:val="0160564A"/>
    <w:rsid w:val="01695955"/>
    <w:rsid w:val="016B2991"/>
    <w:rsid w:val="016E531D"/>
    <w:rsid w:val="017052C2"/>
    <w:rsid w:val="01835353"/>
    <w:rsid w:val="018E0F64"/>
    <w:rsid w:val="01C04E49"/>
    <w:rsid w:val="01E271FF"/>
    <w:rsid w:val="01F40D1D"/>
    <w:rsid w:val="01FB0577"/>
    <w:rsid w:val="023A59E3"/>
    <w:rsid w:val="029201D1"/>
    <w:rsid w:val="02922DB8"/>
    <w:rsid w:val="02954528"/>
    <w:rsid w:val="02A80FA1"/>
    <w:rsid w:val="02B564AF"/>
    <w:rsid w:val="02DF57A3"/>
    <w:rsid w:val="02F30994"/>
    <w:rsid w:val="03645C1F"/>
    <w:rsid w:val="037B5297"/>
    <w:rsid w:val="0385178A"/>
    <w:rsid w:val="03990047"/>
    <w:rsid w:val="03B86720"/>
    <w:rsid w:val="03C30C20"/>
    <w:rsid w:val="03FF2BF7"/>
    <w:rsid w:val="040078C0"/>
    <w:rsid w:val="048E29E4"/>
    <w:rsid w:val="04B75BFB"/>
    <w:rsid w:val="04F01EE9"/>
    <w:rsid w:val="050628FC"/>
    <w:rsid w:val="051B7477"/>
    <w:rsid w:val="051F2292"/>
    <w:rsid w:val="05230CD1"/>
    <w:rsid w:val="05355B4E"/>
    <w:rsid w:val="053F6F8A"/>
    <w:rsid w:val="055727FC"/>
    <w:rsid w:val="05594913"/>
    <w:rsid w:val="055D7941"/>
    <w:rsid w:val="057502DC"/>
    <w:rsid w:val="05B7657A"/>
    <w:rsid w:val="05B9686E"/>
    <w:rsid w:val="05DA123F"/>
    <w:rsid w:val="06161733"/>
    <w:rsid w:val="0635691E"/>
    <w:rsid w:val="06387B43"/>
    <w:rsid w:val="064B497C"/>
    <w:rsid w:val="065C0B2C"/>
    <w:rsid w:val="068A5032"/>
    <w:rsid w:val="06974A6E"/>
    <w:rsid w:val="06B62096"/>
    <w:rsid w:val="06D75D3F"/>
    <w:rsid w:val="07204F39"/>
    <w:rsid w:val="07484D47"/>
    <w:rsid w:val="074A28D0"/>
    <w:rsid w:val="074B200B"/>
    <w:rsid w:val="075F150C"/>
    <w:rsid w:val="076E658C"/>
    <w:rsid w:val="076F2044"/>
    <w:rsid w:val="07A2497A"/>
    <w:rsid w:val="07BB53C7"/>
    <w:rsid w:val="07BE5C53"/>
    <w:rsid w:val="07C35CE1"/>
    <w:rsid w:val="08283BC2"/>
    <w:rsid w:val="088279AD"/>
    <w:rsid w:val="089D5EE4"/>
    <w:rsid w:val="08A45DE0"/>
    <w:rsid w:val="08C9609A"/>
    <w:rsid w:val="08D11C8D"/>
    <w:rsid w:val="08E4755E"/>
    <w:rsid w:val="08E66970"/>
    <w:rsid w:val="09060B0B"/>
    <w:rsid w:val="090B4EFE"/>
    <w:rsid w:val="09357288"/>
    <w:rsid w:val="09B66248"/>
    <w:rsid w:val="09C90306"/>
    <w:rsid w:val="09F02978"/>
    <w:rsid w:val="09F77876"/>
    <w:rsid w:val="09F90089"/>
    <w:rsid w:val="0A370C42"/>
    <w:rsid w:val="0AA6225D"/>
    <w:rsid w:val="0AB512B9"/>
    <w:rsid w:val="0B07096B"/>
    <w:rsid w:val="0B09531E"/>
    <w:rsid w:val="0B36330D"/>
    <w:rsid w:val="0B50723E"/>
    <w:rsid w:val="0BCB720C"/>
    <w:rsid w:val="0BF277E3"/>
    <w:rsid w:val="0BF7303D"/>
    <w:rsid w:val="0C0753B5"/>
    <w:rsid w:val="0C227F9C"/>
    <w:rsid w:val="0C2354F9"/>
    <w:rsid w:val="0C3C2144"/>
    <w:rsid w:val="0C472F61"/>
    <w:rsid w:val="0C542D5E"/>
    <w:rsid w:val="0CD06DE7"/>
    <w:rsid w:val="0CE64D53"/>
    <w:rsid w:val="0CEA0937"/>
    <w:rsid w:val="0D0C2BB8"/>
    <w:rsid w:val="0D10137A"/>
    <w:rsid w:val="0D1B1BBB"/>
    <w:rsid w:val="0D335069"/>
    <w:rsid w:val="0D5374B9"/>
    <w:rsid w:val="0D5C5FEA"/>
    <w:rsid w:val="0DB66863"/>
    <w:rsid w:val="0DE7332F"/>
    <w:rsid w:val="0E5A4301"/>
    <w:rsid w:val="0E877C29"/>
    <w:rsid w:val="0EB61AAE"/>
    <w:rsid w:val="0EC87A33"/>
    <w:rsid w:val="0F013483"/>
    <w:rsid w:val="0F1F6A0C"/>
    <w:rsid w:val="0F227B67"/>
    <w:rsid w:val="0F591525"/>
    <w:rsid w:val="0F7C4FBC"/>
    <w:rsid w:val="0FA933C0"/>
    <w:rsid w:val="0FD73768"/>
    <w:rsid w:val="0FE32D76"/>
    <w:rsid w:val="0FF366E1"/>
    <w:rsid w:val="1008428F"/>
    <w:rsid w:val="10174316"/>
    <w:rsid w:val="10972147"/>
    <w:rsid w:val="10B842E3"/>
    <w:rsid w:val="10C20520"/>
    <w:rsid w:val="10C77FA2"/>
    <w:rsid w:val="10D97CD5"/>
    <w:rsid w:val="10E240E0"/>
    <w:rsid w:val="10E752DA"/>
    <w:rsid w:val="10EC0EB4"/>
    <w:rsid w:val="10F42D61"/>
    <w:rsid w:val="11E87017"/>
    <w:rsid w:val="11FE2376"/>
    <w:rsid w:val="1209283C"/>
    <w:rsid w:val="12110198"/>
    <w:rsid w:val="12163CF3"/>
    <w:rsid w:val="121D1E44"/>
    <w:rsid w:val="122A260E"/>
    <w:rsid w:val="1239627B"/>
    <w:rsid w:val="12614426"/>
    <w:rsid w:val="126F08F1"/>
    <w:rsid w:val="127800EE"/>
    <w:rsid w:val="12A63C33"/>
    <w:rsid w:val="13332C74"/>
    <w:rsid w:val="13873A19"/>
    <w:rsid w:val="13AF6871"/>
    <w:rsid w:val="13BA79FB"/>
    <w:rsid w:val="13C10B8A"/>
    <w:rsid w:val="13CA7BB7"/>
    <w:rsid w:val="13E5002D"/>
    <w:rsid w:val="13EF22C9"/>
    <w:rsid w:val="14147A2B"/>
    <w:rsid w:val="142E3145"/>
    <w:rsid w:val="144D1B4E"/>
    <w:rsid w:val="14787805"/>
    <w:rsid w:val="14816E61"/>
    <w:rsid w:val="14DF1632"/>
    <w:rsid w:val="14E24583"/>
    <w:rsid w:val="14E541A8"/>
    <w:rsid w:val="14E61ED5"/>
    <w:rsid w:val="15097361"/>
    <w:rsid w:val="15265878"/>
    <w:rsid w:val="152E1326"/>
    <w:rsid w:val="15327ECB"/>
    <w:rsid w:val="15B42904"/>
    <w:rsid w:val="15DF5D8E"/>
    <w:rsid w:val="15EC3507"/>
    <w:rsid w:val="15EE4347"/>
    <w:rsid w:val="162C08A7"/>
    <w:rsid w:val="16461969"/>
    <w:rsid w:val="166C3519"/>
    <w:rsid w:val="169E1486"/>
    <w:rsid w:val="169E6BB7"/>
    <w:rsid w:val="16A80D15"/>
    <w:rsid w:val="16F74EF7"/>
    <w:rsid w:val="16FC64CC"/>
    <w:rsid w:val="170E3004"/>
    <w:rsid w:val="173C0FBE"/>
    <w:rsid w:val="174F484D"/>
    <w:rsid w:val="17635262"/>
    <w:rsid w:val="176507F2"/>
    <w:rsid w:val="177C13BA"/>
    <w:rsid w:val="178914FD"/>
    <w:rsid w:val="17C43F85"/>
    <w:rsid w:val="18272BE6"/>
    <w:rsid w:val="1867206B"/>
    <w:rsid w:val="186C3FC5"/>
    <w:rsid w:val="187D53EA"/>
    <w:rsid w:val="189F33C8"/>
    <w:rsid w:val="18C82B09"/>
    <w:rsid w:val="18DA44C2"/>
    <w:rsid w:val="18DF49E0"/>
    <w:rsid w:val="1927733D"/>
    <w:rsid w:val="193F7F0D"/>
    <w:rsid w:val="1991739F"/>
    <w:rsid w:val="19F425DF"/>
    <w:rsid w:val="1A124172"/>
    <w:rsid w:val="1A1335C2"/>
    <w:rsid w:val="1A1678A4"/>
    <w:rsid w:val="1A241497"/>
    <w:rsid w:val="1A5A1E87"/>
    <w:rsid w:val="1A6E76E0"/>
    <w:rsid w:val="1A8E275C"/>
    <w:rsid w:val="1A956132"/>
    <w:rsid w:val="1AAA261B"/>
    <w:rsid w:val="1AC06B1C"/>
    <w:rsid w:val="1ADC5523"/>
    <w:rsid w:val="1AFB7E2B"/>
    <w:rsid w:val="1B0612A8"/>
    <w:rsid w:val="1B19589E"/>
    <w:rsid w:val="1B5946A7"/>
    <w:rsid w:val="1BBE6D5D"/>
    <w:rsid w:val="1BF0493A"/>
    <w:rsid w:val="1C026332"/>
    <w:rsid w:val="1C0302FC"/>
    <w:rsid w:val="1C3F5A22"/>
    <w:rsid w:val="1C6C13AD"/>
    <w:rsid w:val="1C71793B"/>
    <w:rsid w:val="1C73703B"/>
    <w:rsid w:val="1C7D72E5"/>
    <w:rsid w:val="1C861D86"/>
    <w:rsid w:val="1CC161ED"/>
    <w:rsid w:val="1D337D13"/>
    <w:rsid w:val="1D8111E4"/>
    <w:rsid w:val="1DAD40FD"/>
    <w:rsid w:val="1DAE0412"/>
    <w:rsid w:val="1DB5490E"/>
    <w:rsid w:val="1DD7704C"/>
    <w:rsid w:val="1DF74DA4"/>
    <w:rsid w:val="1E65046E"/>
    <w:rsid w:val="1EC16654"/>
    <w:rsid w:val="1EC3611C"/>
    <w:rsid w:val="1ED65854"/>
    <w:rsid w:val="1EDD3086"/>
    <w:rsid w:val="1F250C18"/>
    <w:rsid w:val="1F381274"/>
    <w:rsid w:val="1F6711E3"/>
    <w:rsid w:val="1F833721"/>
    <w:rsid w:val="1F8D5DB1"/>
    <w:rsid w:val="1FE05460"/>
    <w:rsid w:val="1FED10A7"/>
    <w:rsid w:val="1FF63508"/>
    <w:rsid w:val="20541126"/>
    <w:rsid w:val="20983709"/>
    <w:rsid w:val="209F7BF6"/>
    <w:rsid w:val="20A30FB8"/>
    <w:rsid w:val="20D66A29"/>
    <w:rsid w:val="20F70991"/>
    <w:rsid w:val="21112C99"/>
    <w:rsid w:val="21215B8F"/>
    <w:rsid w:val="212C3E51"/>
    <w:rsid w:val="215D04AF"/>
    <w:rsid w:val="2167118E"/>
    <w:rsid w:val="2176515B"/>
    <w:rsid w:val="2188160C"/>
    <w:rsid w:val="21AC6262"/>
    <w:rsid w:val="21D50045"/>
    <w:rsid w:val="21DD6D4D"/>
    <w:rsid w:val="22152446"/>
    <w:rsid w:val="22321D00"/>
    <w:rsid w:val="223E3E3C"/>
    <w:rsid w:val="223F767A"/>
    <w:rsid w:val="22646776"/>
    <w:rsid w:val="229707E3"/>
    <w:rsid w:val="22AD4B1E"/>
    <w:rsid w:val="22F7419C"/>
    <w:rsid w:val="22FD3C85"/>
    <w:rsid w:val="232E7D9F"/>
    <w:rsid w:val="232F6406"/>
    <w:rsid w:val="237240DB"/>
    <w:rsid w:val="23762F48"/>
    <w:rsid w:val="23A3264F"/>
    <w:rsid w:val="23C153D4"/>
    <w:rsid w:val="24354858"/>
    <w:rsid w:val="243F7952"/>
    <w:rsid w:val="247E76DD"/>
    <w:rsid w:val="248674EB"/>
    <w:rsid w:val="24B71C84"/>
    <w:rsid w:val="24CC572F"/>
    <w:rsid w:val="24CF77D7"/>
    <w:rsid w:val="24E21C25"/>
    <w:rsid w:val="24F84776"/>
    <w:rsid w:val="255D6CCF"/>
    <w:rsid w:val="25702511"/>
    <w:rsid w:val="25C95979"/>
    <w:rsid w:val="25E61339"/>
    <w:rsid w:val="25F07BA6"/>
    <w:rsid w:val="25FE211B"/>
    <w:rsid w:val="261431EF"/>
    <w:rsid w:val="26982715"/>
    <w:rsid w:val="26DA5C3E"/>
    <w:rsid w:val="26E05BD6"/>
    <w:rsid w:val="26E571FB"/>
    <w:rsid w:val="26FD42C6"/>
    <w:rsid w:val="27066D4F"/>
    <w:rsid w:val="27074267"/>
    <w:rsid w:val="274E56AF"/>
    <w:rsid w:val="277B343D"/>
    <w:rsid w:val="27A02EA3"/>
    <w:rsid w:val="27E72880"/>
    <w:rsid w:val="281F7575"/>
    <w:rsid w:val="282F43ED"/>
    <w:rsid w:val="285453B8"/>
    <w:rsid w:val="286926D3"/>
    <w:rsid w:val="28877B07"/>
    <w:rsid w:val="28893937"/>
    <w:rsid w:val="28A26E6A"/>
    <w:rsid w:val="28B60BD0"/>
    <w:rsid w:val="28CD5F1A"/>
    <w:rsid w:val="28F8484A"/>
    <w:rsid w:val="29283150"/>
    <w:rsid w:val="29D3130E"/>
    <w:rsid w:val="29DE206E"/>
    <w:rsid w:val="29E32845"/>
    <w:rsid w:val="2A10482E"/>
    <w:rsid w:val="2A1831C5"/>
    <w:rsid w:val="2A231CA8"/>
    <w:rsid w:val="2A507C7F"/>
    <w:rsid w:val="2A54313A"/>
    <w:rsid w:val="2A543874"/>
    <w:rsid w:val="2A666797"/>
    <w:rsid w:val="2A7C7B6A"/>
    <w:rsid w:val="2A8F62DB"/>
    <w:rsid w:val="2AE0548B"/>
    <w:rsid w:val="2AF73663"/>
    <w:rsid w:val="2B0D0850"/>
    <w:rsid w:val="2B28102B"/>
    <w:rsid w:val="2B591CE7"/>
    <w:rsid w:val="2B674A91"/>
    <w:rsid w:val="2B762899"/>
    <w:rsid w:val="2B772072"/>
    <w:rsid w:val="2B817ADF"/>
    <w:rsid w:val="2B8229D4"/>
    <w:rsid w:val="2B950B10"/>
    <w:rsid w:val="2BD812EE"/>
    <w:rsid w:val="2BDF21EC"/>
    <w:rsid w:val="2C1240A2"/>
    <w:rsid w:val="2C2B4891"/>
    <w:rsid w:val="2C3B194D"/>
    <w:rsid w:val="2C3C30AD"/>
    <w:rsid w:val="2C57797E"/>
    <w:rsid w:val="2C5A5D16"/>
    <w:rsid w:val="2C6F00F1"/>
    <w:rsid w:val="2C896C39"/>
    <w:rsid w:val="2C974875"/>
    <w:rsid w:val="2D09627B"/>
    <w:rsid w:val="2D4F514F"/>
    <w:rsid w:val="2D564730"/>
    <w:rsid w:val="2D5757D1"/>
    <w:rsid w:val="2D7D7F0E"/>
    <w:rsid w:val="2D8868B3"/>
    <w:rsid w:val="2DCB7F7C"/>
    <w:rsid w:val="2DE17B90"/>
    <w:rsid w:val="2E160B95"/>
    <w:rsid w:val="2E47276C"/>
    <w:rsid w:val="2E612A1B"/>
    <w:rsid w:val="2E7C7E69"/>
    <w:rsid w:val="2E7F39BA"/>
    <w:rsid w:val="2E95347B"/>
    <w:rsid w:val="2EC25EFD"/>
    <w:rsid w:val="2EDC6090"/>
    <w:rsid w:val="2F5E5DC9"/>
    <w:rsid w:val="2F6649D2"/>
    <w:rsid w:val="2F846934"/>
    <w:rsid w:val="2FA774C5"/>
    <w:rsid w:val="2FAA2B11"/>
    <w:rsid w:val="2FD17DC3"/>
    <w:rsid w:val="30073ABF"/>
    <w:rsid w:val="301F59D6"/>
    <w:rsid w:val="306F5936"/>
    <w:rsid w:val="307F11B7"/>
    <w:rsid w:val="30840777"/>
    <w:rsid w:val="30A9726C"/>
    <w:rsid w:val="30C309F5"/>
    <w:rsid w:val="30C85BD0"/>
    <w:rsid w:val="30EF0D5E"/>
    <w:rsid w:val="30FD7461"/>
    <w:rsid w:val="31374878"/>
    <w:rsid w:val="31694168"/>
    <w:rsid w:val="31914938"/>
    <w:rsid w:val="31D67BED"/>
    <w:rsid w:val="31DB3279"/>
    <w:rsid w:val="31DD30EA"/>
    <w:rsid w:val="31EC37F3"/>
    <w:rsid w:val="31F858D4"/>
    <w:rsid w:val="32080F20"/>
    <w:rsid w:val="321E5749"/>
    <w:rsid w:val="321F7A2D"/>
    <w:rsid w:val="323B5CA2"/>
    <w:rsid w:val="32D75F52"/>
    <w:rsid w:val="335E6B36"/>
    <w:rsid w:val="33880521"/>
    <w:rsid w:val="339D7865"/>
    <w:rsid w:val="33B82BEC"/>
    <w:rsid w:val="342D39EB"/>
    <w:rsid w:val="34485C44"/>
    <w:rsid w:val="34494B92"/>
    <w:rsid w:val="34563267"/>
    <w:rsid w:val="34623159"/>
    <w:rsid w:val="348151C9"/>
    <w:rsid w:val="34D0365F"/>
    <w:rsid w:val="34E02D31"/>
    <w:rsid w:val="34EB1C02"/>
    <w:rsid w:val="351C7C01"/>
    <w:rsid w:val="352262AE"/>
    <w:rsid w:val="35264CB6"/>
    <w:rsid w:val="35376050"/>
    <w:rsid w:val="35466A47"/>
    <w:rsid w:val="35D501BC"/>
    <w:rsid w:val="360F36CE"/>
    <w:rsid w:val="362A0508"/>
    <w:rsid w:val="36740750"/>
    <w:rsid w:val="36B52069"/>
    <w:rsid w:val="36BD5820"/>
    <w:rsid w:val="36DE12F2"/>
    <w:rsid w:val="370224BF"/>
    <w:rsid w:val="371333B9"/>
    <w:rsid w:val="371B50A8"/>
    <w:rsid w:val="37461780"/>
    <w:rsid w:val="378C0A4F"/>
    <w:rsid w:val="37A57DC9"/>
    <w:rsid w:val="37BF0C34"/>
    <w:rsid w:val="37C47FE8"/>
    <w:rsid w:val="37CB2F5F"/>
    <w:rsid w:val="37DD09A7"/>
    <w:rsid w:val="37F61AE2"/>
    <w:rsid w:val="38726990"/>
    <w:rsid w:val="389250B3"/>
    <w:rsid w:val="38AF2F46"/>
    <w:rsid w:val="38BF41AB"/>
    <w:rsid w:val="38CE7AA8"/>
    <w:rsid w:val="392A70F3"/>
    <w:rsid w:val="393A3F57"/>
    <w:rsid w:val="393B1BB5"/>
    <w:rsid w:val="397A7F5A"/>
    <w:rsid w:val="3987227C"/>
    <w:rsid w:val="398A4394"/>
    <w:rsid w:val="39905E4A"/>
    <w:rsid w:val="39B867BB"/>
    <w:rsid w:val="3A1B1E8B"/>
    <w:rsid w:val="3A335E68"/>
    <w:rsid w:val="3A4122C4"/>
    <w:rsid w:val="3A483652"/>
    <w:rsid w:val="3A6F45CA"/>
    <w:rsid w:val="3A747F56"/>
    <w:rsid w:val="3A8E63BA"/>
    <w:rsid w:val="3AF83A6A"/>
    <w:rsid w:val="3B2768C7"/>
    <w:rsid w:val="3B2C4D22"/>
    <w:rsid w:val="3B2D36AC"/>
    <w:rsid w:val="3B412D70"/>
    <w:rsid w:val="3B430514"/>
    <w:rsid w:val="3B503287"/>
    <w:rsid w:val="3B567E08"/>
    <w:rsid w:val="3B872A81"/>
    <w:rsid w:val="3BB439AE"/>
    <w:rsid w:val="3BCA0594"/>
    <w:rsid w:val="3BDC6748"/>
    <w:rsid w:val="3C10166C"/>
    <w:rsid w:val="3C21415B"/>
    <w:rsid w:val="3C355E58"/>
    <w:rsid w:val="3C3665DF"/>
    <w:rsid w:val="3C37397E"/>
    <w:rsid w:val="3C7544A7"/>
    <w:rsid w:val="3C786131"/>
    <w:rsid w:val="3C9F4DCC"/>
    <w:rsid w:val="3CC1149A"/>
    <w:rsid w:val="3D03604C"/>
    <w:rsid w:val="3D136744"/>
    <w:rsid w:val="3D141F11"/>
    <w:rsid w:val="3D17730C"/>
    <w:rsid w:val="3D2F17FB"/>
    <w:rsid w:val="3D65276D"/>
    <w:rsid w:val="3D7F0F73"/>
    <w:rsid w:val="3DC345ED"/>
    <w:rsid w:val="3DEA7081"/>
    <w:rsid w:val="3E120A87"/>
    <w:rsid w:val="3EE75F67"/>
    <w:rsid w:val="3EFF207E"/>
    <w:rsid w:val="3F892743"/>
    <w:rsid w:val="3F9F3C1C"/>
    <w:rsid w:val="3FC03C8B"/>
    <w:rsid w:val="3FE13153"/>
    <w:rsid w:val="3FED758E"/>
    <w:rsid w:val="401D6B00"/>
    <w:rsid w:val="404544F3"/>
    <w:rsid w:val="408465EB"/>
    <w:rsid w:val="408D71EA"/>
    <w:rsid w:val="409724DC"/>
    <w:rsid w:val="40BC6B48"/>
    <w:rsid w:val="40C47498"/>
    <w:rsid w:val="40D95004"/>
    <w:rsid w:val="410302D3"/>
    <w:rsid w:val="410D2833"/>
    <w:rsid w:val="410F480F"/>
    <w:rsid w:val="412B465D"/>
    <w:rsid w:val="4132438B"/>
    <w:rsid w:val="416F7716"/>
    <w:rsid w:val="41784401"/>
    <w:rsid w:val="418238EE"/>
    <w:rsid w:val="418F1FA7"/>
    <w:rsid w:val="4191623F"/>
    <w:rsid w:val="41944F6C"/>
    <w:rsid w:val="41AB024C"/>
    <w:rsid w:val="41BF6404"/>
    <w:rsid w:val="41C95079"/>
    <w:rsid w:val="41CC6917"/>
    <w:rsid w:val="41F84884"/>
    <w:rsid w:val="421A3400"/>
    <w:rsid w:val="422830F8"/>
    <w:rsid w:val="423D767B"/>
    <w:rsid w:val="42517EEB"/>
    <w:rsid w:val="42554B5E"/>
    <w:rsid w:val="425F2B99"/>
    <w:rsid w:val="428C60A6"/>
    <w:rsid w:val="431466D8"/>
    <w:rsid w:val="43186280"/>
    <w:rsid w:val="432F5238"/>
    <w:rsid w:val="43344A8E"/>
    <w:rsid w:val="434317F5"/>
    <w:rsid w:val="434B10DD"/>
    <w:rsid w:val="436A373C"/>
    <w:rsid w:val="437159C8"/>
    <w:rsid w:val="43812B14"/>
    <w:rsid w:val="438A4CDB"/>
    <w:rsid w:val="43A222EE"/>
    <w:rsid w:val="43FD725B"/>
    <w:rsid w:val="44550E45"/>
    <w:rsid w:val="4488300E"/>
    <w:rsid w:val="44B518E4"/>
    <w:rsid w:val="44BB092A"/>
    <w:rsid w:val="44C77869"/>
    <w:rsid w:val="44DE1F09"/>
    <w:rsid w:val="44E4041B"/>
    <w:rsid w:val="44F92119"/>
    <w:rsid w:val="45097E82"/>
    <w:rsid w:val="45101210"/>
    <w:rsid w:val="45244CBC"/>
    <w:rsid w:val="45652C74"/>
    <w:rsid w:val="456A7FAE"/>
    <w:rsid w:val="456C0661"/>
    <w:rsid w:val="457273C9"/>
    <w:rsid w:val="45753FD7"/>
    <w:rsid w:val="4589599E"/>
    <w:rsid w:val="45B4304E"/>
    <w:rsid w:val="45BF2E99"/>
    <w:rsid w:val="462E1DF2"/>
    <w:rsid w:val="46301063"/>
    <w:rsid w:val="463C0801"/>
    <w:rsid w:val="4654337F"/>
    <w:rsid w:val="46653D28"/>
    <w:rsid w:val="468B592A"/>
    <w:rsid w:val="46911EDD"/>
    <w:rsid w:val="46AD6644"/>
    <w:rsid w:val="46BE193C"/>
    <w:rsid w:val="46DA1AD6"/>
    <w:rsid w:val="46DA3884"/>
    <w:rsid w:val="471B3FF5"/>
    <w:rsid w:val="4743767B"/>
    <w:rsid w:val="475264AF"/>
    <w:rsid w:val="475C7312"/>
    <w:rsid w:val="47633357"/>
    <w:rsid w:val="476860F9"/>
    <w:rsid w:val="478C02B5"/>
    <w:rsid w:val="48DF5182"/>
    <w:rsid w:val="48E80097"/>
    <w:rsid w:val="495B12D5"/>
    <w:rsid w:val="497A478D"/>
    <w:rsid w:val="49A62FC2"/>
    <w:rsid w:val="49B56541"/>
    <w:rsid w:val="4A363FCD"/>
    <w:rsid w:val="4A547DF1"/>
    <w:rsid w:val="4A5F68A6"/>
    <w:rsid w:val="4A87030E"/>
    <w:rsid w:val="4A89713F"/>
    <w:rsid w:val="4AD05C37"/>
    <w:rsid w:val="4AD5073A"/>
    <w:rsid w:val="4AF71DAA"/>
    <w:rsid w:val="4B5005B9"/>
    <w:rsid w:val="4B5908D3"/>
    <w:rsid w:val="4B5C0D0B"/>
    <w:rsid w:val="4B6C2A28"/>
    <w:rsid w:val="4B9B2052"/>
    <w:rsid w:val="4BC337E7"/>
    <w:rsid w:val="4BDA6C27"/>
    <w:rsid w:val="4BDC67D7"/>
    <w:rsid w:val="4BEE70AB"/>
    <w:rsid w:val="4C23524A"/>
    <w:rsid w:val="4C417F01"/>
    <w:rsid w:val="4C5900BC"/>
    <w:rsid w:val="4C675BBA"/>
    <w:rsid w:val="4C7B1665"/>
    <w:rsid w:val="4C866B09"/>
    <w:rsid w:val="4CBA4F64"/>
    <w:rsid w:val="4CEB4EBC"/>
    <w:rsid w:val="4D4952BF"/>
    <w:rsid w:val="4D5D25E6"/>
    <w:rsid w:val="4D89219C"/>
    <w:rsid w:val="4DAA2CB5"/>
    <w:rsid w:val="4DE247A1"/>
    <w:rsid w:val="4DEE5E67"/>
    <w:rsid w:val="4DF11A4C"/>
    <w:rsid w:val="4E0256F8"/>
    <w:rsid w:val="4E4D0AC1"/>
    <w:rsid w:val="4E735B70"/>
    <w:rsid w:val="4E8876DE"/>
    <w:rsid w:val="4E8C7B5A"/>
    <w:rsid w:val="4EB32D66"/>
    <w:rsid w:val="4EC81218"/>
    <w:rsid w:val="4EF96517"/>
    <w:rsid w:val="4F131287"/>
    <w:rsid w:val="4F970B0F"/>
    <w:rsid w:val="4FD94922"/>
    <w:rsid w:val="4FE145CA"/>
    <w:rsid w:val="4FE65048"/>
    <w:rsid w:val="4FF05EC6"/>
    <w:rsid w:val="4FF86B2F"/>
    <w:rsid w:val="500109DB"/>
    <w:rsid w:val="50096FE1"/>
    <w:rsid w:val="502A762A"/>
    <w:rsid w:val="504534E1"/>
    <w:rsid w:val="505B6325"/>
    <w:rsid w:val="506019B6"/>
    <w:rsid w:val="508451DC"/>
    <w:rsid w:val="50B75316"/>
    <w:rsid w:val="50C13896"/>
    <w:rsid w:val="50D15405"/>
    <w:rsid w:val="50D715FA"/>
    <w:rsid w:val="50F639B0"/>
    <w:rsid w:val="511901A2"/>
    <w:rsid w:val="51497F84"/>
    <w:rsid w:val="518B7018"/>
    <w:rsid w:val="519F1952"/>
    <w:rsid w:val="51AB1AE9"/>
    <w:rsid w:val="51AF240B"/>
    <w:rsid w:val="51BA5A6F"/>
    <w:rsid w:val="52432C25"/>
    <w:rsid w:val="525953CC"/>
    <w:rsid w:val="526130AB"/>
    <w:rsid w:val="527E3C5D"/>
    <w:rsid w:val="52C41033"/>
    <w:rsid w:val="52E8648C"/>
    <w:rsid w:val="52F10B4A"/>
    <w:rsid w:val="52F45CCD"/>
    <w:rsid w:val="53135DC6"/>
    <w:rsid w:val="532E31E9"/>
    <w:rsid w:val="532F31A9"/>
    <w:rsid w:val="53312A7E"/>
    <w:rsid w:val="534F1565"/>
    <w:rsid w:val="535B1970"/>
    <w:rsid w:val="538F6F30"/>
    <w:rsid w:val="53C84157"/>
    <w:rsid w:val="53CA4102"/>
    <w:rsid w:val="53E144A4"/>
    <w:rsid w:val="53EA0E7E"/>
    <w:rsid w:val="53FF2B7C"/>
    <w:rsid w:val="540168F4"/>
    <w:rsid w:val="542E0595"/>
    <w:rsid w:val="543C792C"/>
    <w:rsid w:val="54641DA5"/>
    <w:rsid w:val="547354D3"/>
    <w:rsid w:val="54853CAF"/>
    <w:rsid w:val="54C30C68"/>
    <w:rsid w:val="553700F3"/>
    <w:rsid w:val="555425BD"/>
    <w:rsid w:val="55AB6149"/>
    <w:rsid w:val="55AE0F7D"/>
    <w:rsid w:val="55CD58BC"/>
    <w:rsid w:val="56570A4D"/>
    <w:rsid w:val="566C774E"/>
    <w:rsid w:val="567C5749"/>
    <w:rsid w:val="56ED315F"/>
    <w:rsid w:val="56F95FA8"/>
    <w:rsid w:val="57010372"/>
    <w:rsid w:val="57236B81"/>
    <w:rsid w:val="5747738E"/>
    <w:rsid w:val="5754393A"/>
    <w:rsid w:val="57880962"/>
    <w:rsid w:val="57995095"/>
    <w:rsid w:val="57D45B7E"/>
    <w:rsid w:val="57DE484E"/>
    <w:rsid w:val="58385F74"/>
    <w:rsid w:val="583B48F5"/>
    <w:rsid w:val="58733B0D"/>
    <w:rsid w:val="58A12453"/>
    <w:rsid w:val="58B232E7"/>
    <w:rsid w:val="58D740D3"/>
    <w:rsid w:val="58E24B57"/>
    <w:rsid w:val="58EA21DF"/>
    <w:rsid w:val="58F317BE"/>
    <w:rsid w:val="593B0BAC"/>
    <w:rsid w:val="595526E7"/>
    <w:rsid w:val="59684D1F"/>
    <w:rsid w:val="59854AA5"/>
    <w:rsid w:val="59AE5E06"/>
    <w:rsid w:val="59BA330C"/>
    <w:rsid w:val="59DB5458"/>
    <w:rsid w:val="59E740FC"/>
    <w:rsid w:val="5A210A43"/>
    <w:rsid w:val="5A690D4F"/>
    <w:rsid w:val="5A8052D7"/>
    <w:rsid w:val="5ADD570E"/>
    <w:rsid w:val="5AEE022E"/>
    <w:rsid w:val="5B256C20"/>
    <w:rsid w:val="5B6065F6"/>
    <w:rsid w:val="5B7256D3"/>
    <w:rsid w:val="5B7739CE"/>
    <w:rsid w:val="5B7E6A7C"/>
    <w:rsid w:val="5BBB27E2"/>
    <w:rsid w:val="5BCE2C90"/>
    <w:rsid w:val="5BD572FC"/>
    <w:rsid w:val="5C7424D0"/>
    <w:rsid w:val="5CAC7D41"/>
    <w:rsid w:val="5CE6025C"/>
    <w:rsid w:val="5CF73483"/>
    <w:rsid w:val="5CFE36A3"/>
    <w:rsid w:val="5D252794"/>
    <w:rsid w:val="5D4F626D"/>
    <w:rsid w:val="5D521F6E"/>
    <w:rsid w:val="5D9A56C3"/>
    <w:rsid w:val="5DD22021"/>
    <w:rsid w:val="5DF634D1"/>
    <w:rsid w:val="5E2F22B0"/>
    <w:rsid w:val="5E3E0745"/>
    <w:rsid w:val="5E4E54AA"/>
    <w:rsid w:val="5E6C3923"/>
    <w:rsid w:val="5E702A95"/>
    <w:rsid w:val="5E831E3D"/>
    <w:rsid w:val="5E8E13E1"/>
    <w:rsid w:val="5EBE3B14"/>
    <w:rsid w:val="5EC647D8"/>
    <w:rsid w:val="5ED656F0"/>
    <w:rsid w:val="5F103E8F"/>
    <w:rsid w:val="5F6D12E1"/>
    <w:rsid w:val="5F7120D6"/>
    <w:rsid w:val="5FA016B7"/>
    <w:rsid w:val="5FD5557F"/>
    <w:rsid w:val="5FD9693C"/>
    <w:rsid w:val="603040BD"/>
    <w:rsid w:val="603269C5"/>
    <w:rsid w:val="6078689C"/>
    <w:rsid w:val="609F3C01"/>
    <w:rsid w:val="60CE0BC4"/>
    <w:rsid w:val="60DC3129"/>
    <w:rsid w:val="60DD45B9"/>
    <w:rsid w:val="60EA6C6A"/>
    <w:rsid w:val="61037A48"/>
    <w:rsid w:val="610552EE"/>
    <w:rsid w:val="611A0CDF"/>
    <w:rsid w:val="613568F7"/>
    <w:rsid w:val="616D0E9D"/>
    <w:rsid w:val="61AA3E3F"/>
    <w:rsid w:val="61E67B32"/>
    <w:rsid w:val="62053064"/>
    <w:rsid w:val="62080547"/>
    <w:rsid w:val="621252F2"/>
    <w:rsid w:val="621F4188"/>
    <w:rsid w:val="6222268E"/>
    <w:rsid w:val="62257C51"/>
    <w:rsid w:val="622F6D22"/>
    <w:rsid w:val="62376EE6"/>
    <w:rsid w:val="623C31ED"/>
    <w:rsid w:val="6249252B"/>
    <w:rsid w:val="62A85ACE"/>
    <w:rsid w:val="62D869EC"/>
    <w:rsid w:val="62EB3C8F"/>
    <w:rsid w:val="63260125"/>
    <w:rsid w:val="635459E7"/>
    <w:rsid w:val="63847915"/>
    <w:rsid w:val="63A04620"/>
    <w:rsid w:val="63DA664C"/>
    <w:rsid w:val="63FC7E40"/>
    <w:rsid w:val="64044497"/>
    <w:rsid w:val="641B57B0"/>
    <w:rsid w:val="644A6A0A"/>
    <w:rsid w:val="64610CE9"/>
    <w:rsid w:val="6469057F"/>
    <w:rsid w:val="646B101A"/>
    <w:rsid w:val="646D39DA"/>
    <w:rsid w:val="6488096B"/>
    <w:rsid w:val="6530590C"/>
    <w:rsid w:val="65392EE8"/>
    <w:rsid w:val="65686CAC"/>
    <w:rsid w:val="659B09D6"/>
    <w:rsid w:val="65D958CF"/>
    <w:rsid w:val="66502142"/>
    <w:rsid w:val="666703C9"/>
    <w:rsid w:val="667F18FA"/>
    <w:rsid w:val="66AA2E1B"/>
    <w:rsid w:val="66AF3431"/>
    <w:rsid w:val="66B84695"/>
    <w:rsid w:val="66C8643E"/>
    <w:rsid w:val="66F127F8"/>
    <w:rsid w:val="67203845"/>
    <w:rsid w:val="67474B9A"/>
    <w:rsid w:val="67550FD9"/>
    <w:rsid w:val="677122DD"/>
    <w:rsid w:val="679708CF"/>
    <w:rsid w:val="67C470BC"/>
    <w:rsid w:val="67C92A9B"/>
    <w:rsid w:val="67FC3CC5"/>
    <w:rsid w:val="68433275"/>
    <w:rsid w:val="684921C0"/>
    <w:rsid w:val="6855015C"/>
    <w:rsid w:val="685D400B"/>
    <w:rsid w:val="688345E5"/>
    <w:rsid w:val="68B6315F"/>
    <w:rsid w:val="68C14587"/>
    <w:rsid w:val="6906701D"/>
    <w:rsid w:val="6917406C"/>
    <w:rsid w:val="697E66F5"/>
    <w:rsid w:val="698F62F8"/>
    <w:rsid w:val="69F61ED3"/>
    <w:rsid w:val="6A0F7894"/>
    <w:rsid w:val="6A7E25F5"/>
    <w:rsid w:val="6AAF0A00"/>
    <w:rsid w:val="6ABA0CF1"/>
    <w:rsid w:val="6AF3043D"/>
    <w:rsid w:val="6AF930FE"/>
    <w:rsid w:val="6B563571"/>
    <w:rsid w:val="6B701F5B"/>
    <w:rsid w:val="6B9A5EED"/>
    <w:rsid w:val="6BC06C3D"/>
    <w:rsid w:val="6BF6738D"/>
    <w:rsid w:val="6C252879"/>
    <w:rsid w:val="6C2E1DF8"/>
    <w:rsid w:val="6C4F7452"/>
    <w:rsid w:val="6C5F53D7"/>
    <w:rsid w:val="6C8F4ADF"/>
    <w:rsid w:val="6C9B3C81"/>
    <w:rsid w:val="6CDB75B4"/>
    <w:rsid w:val="6D002FBE"/>
    <w:rsid w:val="6D062051"/>
    <w:rsid w:val="6D0669CA"/>
    <w:rsid w:val="6D22283F"/>
    <w:rsid w:val="6D2372E0"/>
    <w:rsid w:val="6D601360"/>
    <w:rsid w:val="6D6D2C70"/>
    <w:rsid w:val="6DA376B8"/>
    <w:rsid w:val="6DB9234E"/>
    <w:rsid w:val="6DF04E6B"/>
    <w:rsid w:val="6E021177"/>
    <w:rsid w:val="6E1D0376"/>
    <w:rsid w:val="6E4E154F"/>
    <w:rsid w:val="6E6815B5"/>
    <w:rsid w:val="6E9F0D8B"/>
    <w:rsid w:val="6EAC4A51"/>
    <w:rsid w:val="6EB71F26"/>
    <w:rsid w:val="6ECD58F9"/>
    <w:rsid w:val="6EDF562C"/>
    <w:rsid w:val="6EED7D49"/>
    <w:rsid w:val="6F22626E"/>
    <w:rsid w:val="6F24076C"/>
    <w:rsid w:val="6F4126F9"/>
    <w:rsid w:val="6F4153BB"/>
    <w:rsid w:val="6F806E0F"/>
    <w:rsid w:val="6F9C5852"/>
    <w:rsid w:val="6FA9704C"/>
    <w:rsid w:val="6FB50061"/>
    <w:rsid w:val="6FC46BA4"/>
    <w:rsid w:val="6FEC0A99"/>
    <w:rsid w:val="6FFB639C"/>
    <w:rsid w:val="6FFB76BF"/>
    <w:rsid w:val="702E23C7"/>
    <w:rsid w:val="707675E8"/>
    <w:rsid w:val="70930D7D"/>
    <w:rsid w:val="709C4587"/>
    <w:rsid w:val="70B442FB"/>
    <w:rsid w:val="70CC7FDC"/>
    <w:rsid w:val="70FE448F"/>
    <w:rsid w:val="71072C18"/>
    <w:rsid w:val="714326B4"/>
    <w:rsid w:val="71705E05"/>
    <w:rsid w:val="71805B23"/>
    <w:rsid w:val="7195247B"/>
    <w:rsid w:val="71C00F2C"/>
    <w:rsid w:val="71CC2685"/>
    <w:rsid w:val="720C6DDE"/>
    <w:rsid w:val="722D3F99"/>
    <w:rsid w:val="724337DE"/>
    <w:rsid w:val="724709FB"/>
    <w:rsid w:val="725400CE"/>
    <w:rsid w:val="727A45F4"/>
    <w:rsid w:val="727D3EC6"/>
    <w:rsid w:val="728974C3"/>
    <w:rsid w:val="72A90FFE"/>
    <w:rsid w:val="72B068BC"/>
    <w:rsid w:val="72FA09FC"/>
    <w:rsid w:val="72FB5263"/>
    <w:rsid w:val="73012CA9"/>
    <w:rsid w:val="731C5623"/>
    <w:rsid w:val="73261F61"/>
    <w:rsid w:val="73423314"/>
    <w:rsid w:val="73557A18"/>
    <w:rsid w:val="739F58D2"/>
    <w:rsid w:val="73AB367F"/>
    <w:rsid w:val="73CA0659"/>
    <w:rsid w:val="73E65A38"/>
    <w:rsid w:val="73E97A4A"/>
    <w:rsid w:val="73EF3BBA"/>
    <w:rsid w:val="73F86231"/>
    <w:rsid w:val="74014883"/>
    <w:rsid w:val="74215DAD"/>
    <w:rsid w:val="74257F85"/>
    <w:rsid w:val="743A02F4"/>
    <w:rsid w:val="74566390"/>
    <w:rsid w:val="74AD3607"/>
    <w:rsid w:val="74C517D1"/>
    <w:rsid w:val="74E03F88"/>
    <w:rsid w:val="74E4004F"/>
    <w:rsid w:val="750E2E16"/>
    <w:rsid w:val="7530273D"/>
    <w:rsid w:val="753D12FE"/>
    <w:rsid w:val="758A5266"/>
    <w:rsid w:val="75C46CA8"/>
    <w:rsid w:val="75DB46D1"/>
    <w:rsid w:val="75DC08C0"/>
    <w:rsid w:val="75F55420"/>
    <w:rsid w:val="76180B08"/>
    <w:rsid w:val="76341608"/>
    <w:rsid w:val="7650198D"/>
    <w:rsid w:val="76D26D7E"/>
    <w:rsid w:val="76FC57EB"/>
    <w:rsid w:val="77104273"/>
    <w:rsid w:val="77165890"/>
    <w:rsid w:val="777A5C2F"/>
    <w:rsid w:val="778F4131"/>
    <w:rsid w:val="77B70517"/>
    <w:rsid w:val="77BC475C"/>
    <w:rsid w:val="77C83101"/>
    <w:rsid w:val="77D54725"/>
    <w:rsid w:val="77D9522E"/>
    <w:rsid w:val="77E56067"/>
    <w:rsid w:val="77F17251"/>
    <w:rsid w:val="77FC07F2"/>
    <w:rsid w:val="780A196C"/>
    <w:rsid w:val="781C169F"/>
    <w:rsid w:val="782303E7"/>
    <w:rsid w:val="782B19EF"/>
    <w:rsid w:val="784328C1"/>
    <w:rsid w:val="78496D8E"/>
    <w:rsid w:val="786D3CA8"/>
    <w:rsid w:val="78B90C9C"/>
    <w:rsid w:val="78DD2BDC"/>
    <w:rsid w:val="79202AC9"/>
    <w:rsid w:val="79566B90"/>
    <w:rsid w:val="79943C0F"/>
    <w:rsid w:val="79B834A0"/>
    <w:rsid w:val="79CB43E5"/>
    <w:rsid w:val="79E24E87"/>
    <w:rsid w:val="7A0B2DDB"/>
    <w:rsid w:val="7A18766A"/>
    <w:rsid w:val="7ABD7F9C"/>
    <w:rsid w:val="7AE67EF1"/>
    <w:rsid w:val="7AEB29FD"/>
    <w:rsid w:val="7B004490"/>
    <w:rsid w:val="7B3D5BB4"/>
    <w:rsid w:val="7B4156BF"/>
    <w:rsid w:val="7B450F0D"/>
    <w:rsid w:val="7B9E3E96"/>
    <w:rsid w:val="7BCF6ABB"/>
    <w:rsid w:val="7BDB4177"/>
    <w:rsid w:val="7BF10231"/>
    <w:rsid w:val="7BFD0CC1"/>
    <w:rsid w:val="7C4F3DF1"/>
    <w:rsid w:val="7C61572E"/>
    <w:rsid w:val="7CA258FC"/>
    <w:rsid w:val="7CAA0B47"/>
    <w:rsid w:val="7CB63E70"/>
    <w:rsid w:val="7CD247FD"/>
    <w:rsid w:val="7D364757"/>
    <w:rsid w:val="7D3B0787"/>
    <w:rsid w:val="7D6E474B"/>
    <w:rsid w:val="7D7020D1"/>
    <w:rsid w:val="7D721902"/>
    <w:rsid w:val="7D752545"/>
    <w:rsid w:val="7D8255AF"/>
    <w:rsid w:val="7DB67AD6"/>
    <w:rsid w:val="7DBB47D8"/>
    <w:rsid w:val="7DCA5C98"/>
    <w:rsid w:val="7DDE0263"/>
    <w:rsid w:val="7E1F6B85"/>
    <w:rsid w:val="7E75623E"/>
    <w:rsid w:val="7E78696C"/>
    <w:rsid w:val="7E97161A"/>
    <w:rsid w:val="7EB32790"/>
    <w:rsid w:val="7EB4618D"/>
    <w:rsid w:val="7EBD55DB"/>
    <w:rsid w:val="7EED5B43"/>
    <w:rsid w:val="7F0B2B16"/>
    <w:rsid w:val="7F1F0257"/>
    <w:rsid w:val="7F21600F"/>
    <w:rsid w:val="7F2C4782"/>
    <w:rsid w:val="7F2E2967"/>
    <w:rsid w:val="7F3B065C"/>
    <w:rsid w:val="7F6B7218"/>
    <w:rsid w:val="7FCA378E"/>
    <w:rsid w:val="7FE2704E"/>
    <w:rsid w:val="7FFE2E00"/>
    <w:rsid w:val="7FFF2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outlineLvl w:val="1"/>
    </w:pPr>
    <w:rPr>
      <w:rFonts w:ascii="Arial" w:hAnsi="Arial" w:eastAsia="楷体"/>
      <w:b/>
      <w:bCs/>
      <w:szCs w:val="32"/>
    </w:rPr>
  </w:style>
  <w:style w:type="paragraph" w:styleId="3">
    <w:name w:val="heading 3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48" w:firstLineChars="200"/>
      <w:outlineLvl w:val="2"/>
    </w:pPr>
    <w:rPr>
      <w:rFonts w:ascii="仿宋" w:hAnsi="仿宋" w:eastAsia="楷体" w:cs="Times New Roman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BodyText1I2"/>
    <w:basedOn w:val="14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4">
    <w:name w:val="BodyTextIndent"/>
    <w:basedOn w:val="1"/>
    <w:next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标题 3 Char"/>
    <w:link w:val="3"/>
    <w:qFormat/>
    <w:uiPriority w:val="0"/>
    <w:rPr>
      <w:rFonts w:ascii="仿宋" w:hAnsi="仿宋" w:eastAsia="楷体" w:cs="Times New Roman"/>
      <w:sz w:val="32"/>
    </w:rPr>
  </w:style>
  <w:style w:type="paragraph" w:customStyle="1" w:styleId="17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customStyle="1" w:styleId="18">
    <w:name w:val="海南化工城正文"/>
    <w:basedOn w:val="19"/>
    <w:qFormat/>
    <w:uiPriority w:val="0"/>
    <w:pPr>
      <w:ind w:firstLine="480"/>
    </w:pPr>
    <w:rPr>
      <w:rFonts w:ascii="Calibri" w:hAnsi="Calibri" w:eastAsia="宋体" w:cs="Times New Roman"/>
      <w:sz w:val="24"/>
    </w:rPr>
  </w:style>
  <w:style w:type="paragraph" w:customStyle="1" w:styleId="19">
    <w:name w:val="样式 电镀正文 + 首行缩进:  2 字符"/>
    <w:basedOn w:val="20"/>
    <w:qFormat/>
    <w:uiPriority w:val="0"/>
    <w:pPr>
      <w:spacing w:line="324" w:lineRule="auto"/>
    </w:pPr>
    <w:rPr>
      <w:rFonts w:ascii="Calibri" w:hAnsi="Calibri" w:eastAsia="宋体" w:cs="宋体"/>
    </w:rPr>
  </w:style>
  <w:style w:type="paragraph" w:customStyle="1" w:styleId="20">
    <w:name w:val="电镀正文"/>
    <w:basedOn w:val="4"/>
    <w:qFormat/>
    <w:uiPriority w:val="0"/>
    <w:pPr>
      <w:spacing w:line="400" w:lineRule="exact"/>
      <w:ind w:firstLine="200"/>
    </w:pPr>
    <w:rPr>
      <w:rFonts w:ascii="宋体" w:hAnsi="宋体" w:eastAsia="宋体" w:cs="Times New Roman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5729</Words>
  <Characters>5970</Characters>
  <Lines>0</Lines>
  <Paragraphs>0</Paragraphs>
  <TotalTime>0</TotalTime>
  <ScaleCrop>false</ScaleCrop>
  <LinksUpToDate>false</LinksUpToDate>
  <CharactersWithSpaces>5972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2022-10-27T02:39:00Z</dcterms:created>
  <dc:creator>老杨</dc:creator>
  <cp:lastModifiedBy>陈治广</cp:lastModifiedBy>
  <cp:lastPrinted>2023-03-05T14:06:00Z</cp:lastPrinted>
  <dcterms:modified xsi:type="dcterms:W3CDTF">2023-03-07T09:13:40Z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5290DE3C168247C8A33C13AFB5FBAA45</vt:lpwstr>
  </property>
</Properties>
</file>