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附1</w:t>
      </w:r>
    </w:p>
    <w:p>
      <w:pPr>
        <w:spacing w:line="560" w:lineRule="exact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跨境贸易便利化业务操作指引</w:t>
      </w:r>
    </w:p>
    <w:p>
      <w:pPr>
        <w:wordWrap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ascii="Times New Roman" w:hAnsi="黑体" w:eastAsia="黑体" w:cs="Times New Roman"/>
          <w:color w:val="auto"/>
          <w:sz w:val="32"/>
          <w:szCs w:val="32"/>
        </w:rPr>
      </w:pPr>
    </w:p>
    <w:p>
      <w:pPr>
        <w:wordWrap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ascii="Times New Roman" w:hAnsi="黑体" w:eastAsia="黑体" w:cs="Times New Roman"/>
          <w:color w:val="auto"/>
          <w:sz w:val="32"/>
          <w:szCs w:val="32"/>
        </w:rPr>
      </w:pPr>
      <w:bookmarkStart w:id="1" w:name="_GoBack"/>
      <w:bookmarkEnd w:id="1"/>
      <w:r>
        <w:rPr>
          <w:rFonts w:ascii="Times New Roman" w:hAnsi="黑体" w:eastAsia="黑体" w:cs="Times New Roman"/>
          <w:color w:val="auto"/>
          <w:sz w:val="32"/>
          <w:szCs w:val="32"/>
        </w:rPr>
        <w:t>第一章</w:t>
      </w:r>
      <w:r>
        <w:rPr>
          <w:rFonts w:ascii="Times New Roman" w:hAnsi="黑体" w:eastAsia="黑体" w:cs="Times New Roman"/>
          <w:color w:val="auto"/>
          <w:sz w:val="32"/>
          <w:szCs w:val="32"/>
        </w:rPr>
        <w:tab/>
      </w:r>
      <w:r>
        <w:rPr>
          <w:rFonts w:ascii="Times New Roman" w:hAnsi="黑体" w:eastAsia="黑体" w:cs="Times New Roman"/>
          <w:color w:val="auto"/>
          <w:sz w:val="32"/>
          <w:szCs w:val="32"/>
        </w:rPr>
        <w:t xml:space="preserve"> 总</w:t>
      </w:r>
      <w:r>
        <w:rPr>
          <w:rFonts w:hint="eastAsia" w:ascii="Times New Roman" w:hAnsi="黑体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黑体" w:eastAsia="黑体" w:cs="Times New Roman"/>
          <w:color w:val="auto"/>
          <w:sz w:val="32"/>
          <w:szCs w:val="32"/>
        </w:rPr>
        <w:t>则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为深入贯彻新发展理念、加快构建新发展格局，支持洋浦经济开发区</w:t>
      </w:r>
      <w:r>
        <w:rPr>
          <w:rFonts w:hint="eastAsia" w:eastAsia="仿宋_GB2312" w:cs="仿宋_GB2312"/>
          <w:color w:val="auto"/>
          <w:sz w:val="32"/>
          <w:szCs w:val="32"/>
        </w:rPr>
        <w:t>（以下简称试点区域）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建设，进一步提升外汇管理服务实体经济的能力，根据《中华人民共和国外汇管理条例》等相关规定，制定本指引。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仿宋_GB2312"/>
          <w:b/>
          <w:bCs/>
          <w:color w:val="auto"/>
          <w:sz w:val="32"/>
          <w:szCs w:val="32"/>
        </w:rPr>
        <w:t xml:space="preserve">第二条 </w:t>
      </w:r>
      <w:r>
        <w:rPr>
          <w:rFonts w:hint="eastAsia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试点区域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注册的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（以下简称试点区域企业），以及</w:t>
      </w:r>
      <w:r>
        <w:rPr>
          <w:rFonts w:hint="eastAsia" w:eastAsia="仿宋_GB2312" w:cs="仿宋_GB2312"/>
          <w:color w:val="auto"/>
          <w:sz w:val="32"/>
          <w:szCs w:val="32"/>
        </w:rPr>
        <w:t>符合条件</w:t>
      </w:r>
      <w:r>
        <w:rPr>
          <w:rFonts w:hint="eastAsia" w:eastAsia="仿宋_GB2312" w:cs="仿宋_GB2312"/>
          <w:bCs/>
          <w:color w:val="auto"/>
          <w:sz w:val="32"/>
          <w:szCs w:val="32"/>
        </w:rPr>
        <w:t>的银行（以下简称试点银行），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规定的跨境贸易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便利化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措施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（以下简称试点业务）。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试点区域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企业</w:t>
      </w:r>
      <w:r>
        <w:rPr>
          <w:rFonts w:hint="eastAsia" w:eastAsia="仿宋_GB2312" w:cs="仿宋_GB2312"/>
          <w:color w:val="auto"/>
          <w:sz w:val="32"/>
          <w:szCs w:val="32"/>
        </w:rPr>
        <w:t>经常项目外汇收支，应具有真实合法的交易基础。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试点银行</w:t>
      </w:r>
      <w:r>
        <w:rPr>
          <w:rFonts w:hint="eastAsia" w:eastAsia="仿宋_GB2312" w:cs="仿宋_GB2312"/>
          <w:color w:val="auto"/>
          <w:sz w:val="32"/>
          <w:szCs w:val="32"/>
        </w:rPr>
        <w:t>按照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了解客户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了解业务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尽职审查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等展业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原则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为试点区域企业办理经常项目外汇收支</w:t>
      </w:r>
      <w:r>
        <w:rPr>
          <w:rFonts w:hint="eastAsia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履行反洗钱、反恐怖融资和反逃税义务</w:t>
      </w:r>
      <w:r>
        <w:rPr>
          <w:rFonts w:hint="eastAsia" w:eastAsia="仿宋_GB2312" w:cs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确认收支的真实性、合理性和逻辑性。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b/>
          <w:bCs/>
          <w:color w:val="auto"/>
          <w:sz w:val="32"/>
          <w:szCs w:val="32"/>
        </w:rPr>
        <w:t xml:space="preserve">第四条 </w:t>
      </w:r>
      <w:r>
        <w:rPr>
          <w:rFonts w:hint="eastAsia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color w:val="auto"/>
          <w:sz w:val="32"/>
          <w:szCs w:val="32"/>
        </w:rPr>
        <w:t>国家外汇管理局海南省分局（以下简称海南省分局）</w:t>
      </w:r>
      <w:r>
        <w:rPr>
          <w:rFonts w:eastAsia="仿宋_GB2312" w:cs="仿宋_GB2312"/>
          <w:color w:val="auto"/>
          <w:sz w:val="32"/>
          <w:szCs w:val="32"/>
        </w:rPr>
        <w:t>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对试点业务进行监督管理。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eastAsia="仿宋_GB2312" w:cs="仿宋_GB2312"/>
          <w:color w:val="auto"/>
          <w:sz w:val="32"/>
          <w:szCs w:val="32"/>
        </w:rPr>
      </w:pPr>
    </w:p>
    <w:p>
      <w:pPr>
        <w:wordWrap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黑体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黑体" w:eastAsia="黑体" w:cs="Times New Roman"/>
          <w:color w:val="auto"/>
          <w:sz w:val="32"/>
          <w:szCs w:val="32"/>
        </w:rPr>
        <w:t>二</w:t>
      </w:r>
      <w:r>
        <w:rPr>
          <w:rFonts w:ascii="Times New Roman" w:hAnsi="黑体" w:eastAsia="黑体" w:cs="Times New Roman"/>
          <w:color w:val="auto"/>
          <w:sz w:val="32"/>
          <w:szCs w:val="32"/>
        </w:rPr>
        <w:t>章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黑体" w:eastAsia="黑体" w:cs="Times New Roman"/>
          <w:color w:val="auto"/>
          <w:sz w:val="32"/>
          <w:szCs w:val="32"/>
        </w:rPr>
        <w:t>试点业务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仿宋_GB2312"/>
          <w:b/>
          <w:bCs/>
          <w:color w:val="auto"/>
          <w:sz w:val="32"/>
          <w:szCs w:val="32"/>
        </w:rPr>
        <w:t xml:space="preserve">第五条 </w:t>
      </w:r>
      <w:r>
        <w:rPr>
          <w:rFonts w:hint="eastAsia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试点银行可根据客户指令为试点区域内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注册的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经营规范、信誉良好的优质企业（以下简称优质企业）办理经常项目外汇收支。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银行自行确定本行优质企业的标准，对于优质企业单笔等值5万美元以上的服务贸易、初次收入以及二次收入外汇支出，试点银行可事后审核《服务贸易等项目对外支付税务备案表》。对于资金性质不明确的业务，试点银行可要求优质企业提供相关单证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试点银行可依据试点区域战略定位和行业特色，创新金融服务，自主办理试点区域企业真实合规的新型国际贸易外汇收支。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试点区域企业与境外交易对手开展经常项目外汇业务时，试点银行可为试点区域企业办理轧差净额结算，并按国际收支申报有关规定进行实际收付数据和还原数据申报。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八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试点银行可直接为试点区域企业办理退汇日期与原收、付款日期间隔在180天（不含）以上或由于特殊情况无法原路退回的货物贸易退汇业务，试点区域企业无须事前在外汇局登记。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九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条</w:t>
      </w:r>
      <w:bookmarkStart w:id="0" w:name="OLE_LINK1"/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试点银行为试点区域企业办理第六、七、八条试点业务时，可自主决定审核交易单证种类。</w:t>
      </w:r>
      <w:bookmarkEnd w:id="0"/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试点银行为优质企业办理第六、七、八条试点业务时，可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参照第五条业务办理流程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试点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银行凭交易电子信息办理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经常项目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外汇收支业务时，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应符合《国家外汇管理局关于印发&lt;经常项目外汇业务指引（2020年版）&gt;的通知》（汇发〔2020〕14号）有关规定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十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试点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银行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在办理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试点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业务涉外收付款（含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实际收付款数据）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申报时，交易附言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中应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注明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“区域便利试点”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字样。</w:t>
      </w:r>
    </w:p>
    <w:p>
      <w:pPr>
        <w:wordWrap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黑体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黑体" w:eastAsia="黑体" w:cs="Times New Roman"/>
          <w:color w:val="auto"/>
          <w:sz w:val="32"/>
          <w:szCs w:val="32"/>
        </w:rPr>
        <w:t>三</w:t>
      </w:r>
      <w:r>
        <w:rPr>
          <w:rFonts w:ascii="Times New Roman" w:hAnsi="黑体" w:eastAsia="黑体" w:cs="Times New Roman"/>
          <w:color w:val="auto"/>
          <w:sz w:val="32"/>
          <w:szCs w:val="32"/>
        </w:rPr>
        <w:t>章</w:t>
      </w:r>
      <w:r>
        <w:rPr>
          <w:rFonts w:hint="eastAsia" w:ascii="Times New Roman" w:hAnsi="黑体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黑体" w:eastAsia="黑体" w:cs="Times New Roman"/>
          <w:color w:val="auto"/>
          <w:sz w:val="32"/>
          <w:szCs w:val="32"/>
        </w:rPr>
        <w:t>业务</w:t>
      </w:r>
      <w:r>
        <w:rPr>
          <w:rFonts w:hint="eastAsia" w:ascii="Times New Roman" w:hAnsi="黑体" w:eastAsia="黑体" w:cs="Times New Roman"/>
          <w:color w:val="auto"/>
          <w:sz w:val="32"/>
          <w:szCs w:val="32"/>
        </w:rPr>
        <w:t>管理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十一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银行开展试点业务，应同时具备以下条件：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（一）在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海南自由贸易港辖内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注册经营的银行一级分行或地方性银行总行。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5"/>
        <w:jc w:val="left"/>
        <w:textAlignment w:val="auto"/>
        <w:outlineLvl w:val="9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具备完善的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试点业务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内控制度，包括但不限于职责分工、业务授权、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试点区域企业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客户准入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退出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试点业务实施规范、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风险业务清单、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统计监测、可疑交易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预警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与报告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、应急管理、内部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监督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等方面。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645"/>
        <w:jc w:val="left"/>
        <w:textAlignment w:val="auto"/>
        <w:outlineLvl w:val="9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配备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外汇业务合规专职岗位和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熟悉外汇业务政策的从业人员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2"/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外汇业务合规记录良好，且近三年银行外汇业务合规与审慎经营评估原则上均在B（含）以上且至少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两年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为B+（含）以上。银行成立不满三年的，自成立以来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外汇业务合规与审慎经营评估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原则上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均在B+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（含）以上。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十二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符合条件的银行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应在办理试点业务前，向海南省分局报备试点准备情况，包括但不限于试点资格自评情况、内控制度、优质企业名单等。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自收到完整备案材料之日起20个工作日内，对于符合条件的银行，以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海南省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分局名义出具书面备案文件，银行方可开展试点业务。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试点银行变更优质企业的，自变更之日起5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个工作日内向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海南省分局报告。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十三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试点银行办理上述试点业务，应完善内部控制，优化全流程管理：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尽职调查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。了解试点区域企业主体信息、经营状况、内控管理等，分析判断试点区域企业的信用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合规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等情况，对试点区域企业实施内部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信用分级管理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（二）审慎展业。跟踪市场环境变化，了解不同业务特征和流程，结合试点区域企业信用状况，持续优化审核方式。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（三）监测核查。试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点银行对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试点区域企业经常项目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收支持续跟踪评估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，动态调整企业信用状况；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对试点业务建立专门监测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预警体系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及时发现、报告和处置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异常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情况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第十四条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出现以下情形之一的，试点银行应暂停试点业务：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（一）试点银行未尽职审核，主动开展或协助企业开展监管套利、空转套利、虚假交易、构造贸易等异常交易，或为企业开展上述异常交易转移资金或骗取融资提供便利。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（二）试点银行的经营行为对海南自由贸易港跨境资金流动、金融稳定造成负面影响。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（三）试点银行外汇业务合规与审慎经营评估为B-及以下。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（四）试点银行不配合外汇局监督管理工作。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试点银行暂停试点业务的，应立即进行整改，整改完成并向海南省分局报备后，方可继续开展试点业务。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出现以下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情形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之一的，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试点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区域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不适用本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规定的试点业务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试点区域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企业被外汇局降为B/C类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或受到外汇局处罚且情节严重的。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试点区域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企业存在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涉嫌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构造贸易、虚假贸易等异常情况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且无合理解释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的。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试点区域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企业不配合外汇局、试点银行监督管理的。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仿宋_GB2312"/>
          <w:b/>
          <w:bCs/>
          <w:color w:val="auto"/>
          <w:sz w:val="32"/>
          <w:szCs w:val="32"/>
        </w:rPr>
        <w:t>第十六条</w:t>
      </w:r>
      <w:r>
        <w:rPr>
          <w:rFonts w:hint="eastAsia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试点银行、试点区域企业应按现行外汇管理规定，及时、准确、完整地向海南省分局报送相关信息；主动报告异常或可疑情况，配合监督检查和核查。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黑体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黑体" w:eastAsia="黑体" w:cs="Times New Roman"/>
          <w:color w:val="auto"/>
          <w:sz w:val="32"/>
          <w:szCs w:val="32"/>
        </w:rPr>
        <w:t>四</w:t>
      </w:r>
      <w:r>
        <w:rPr>
          <w:rFonts w:ascii="Times New Roman" w:hAnsi="黑体" w:eastAsia="黑体" w:cs="Times New Roman"/>
          <w:color w:val="auto"/>
          <w:sz w:val="32"/>
          <w:szCs w:val="32"/>
        </w:rPr>
        <w:t>章</w:t>
      </w:r>
      <w:r>
        <w:rPr>
          <w:rFonts w:hint="eastAsia" w:ascii="Times New Roman" w:hAnsi="黑体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黑体" w:eastAsia="黑体" w:cs="Times New Roman"/>
          <w:color w:val="auto"/>
          <w:sz w:val="32"/>
          <w:szCs w:val="32"/>
        </w:rPr>
        <w:t>附</w:t>
      </w:r>
      <w:r>
        <w:rPr>
          <w:rFonts w:hint="eastAsia" w:ascii="Times New Roman" w:hAnsi="黑体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黑体" w:eastAsia="黑体" w:cs="Times New Roman"/>
          <w:color w:val="auto"/>
          <w:sz w:val="32"/>
          <w:szCs w:val="32"/>
        </w:rPr>
        <w:t>则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十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七条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color w:val="auto"/>
          <w:sz w:val="32"/>
          <w:szCs w:val="32"/>
        </w:rPr>
        <w:t>注册在试点区域内的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国家机关、事业单位、社会团体等</w:t>
      </w:r>
      <w:r>
        <w:rPr>
          <w:rFonts w:hint="eastAsia" w:eastAsia="仿宋_GB2312" w:cs="仿宋_GB2312"/>
          <w:color w:val="auto"/>
          <w:sz w:val="32"/>
          <w:szCs w:val="32"/>
        </w:rPr>
        <w:t>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指引</w:t>
      </w:r>
      <w:r>
        <w:rPr>
          <w:rFonts w:hint="eastAsia" w:eastAsia="仿宋_GB2312" w:cs="仿宋_GB2312"/>
          <w:color w:val="auto"/>
          <w:sz w:val="32"/>
          <w:szCs w:val="32"/>
        </w:rPr>
        <w:t>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第十八条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所指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的“新型国际贸易”包括但不限于跨境电商、保税维修、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新型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离岸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国际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贸易等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货物贸易和服务贸易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本指引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所指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的“经常项目轧差净额结算”是指试点区域企业与境外交易对手之间的经常项目应收应付资金，合并为单笔交易的操作方式。境外交易对手包括单一企业、境外资金集中管理机构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ordWrap/>
        <w:spacing w:before="0" w:after="0" w:line="560" w:lineRule="exact"/>
        <w:ind w:left="0" w:leftChars="0" w:right="0" w:firstLine="67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第十九条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指引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自发布之日起实施，由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海南省分局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负责解释。</w:t>
      </w:r>
    </w:p>
    <w:sectPr>
      <w:footerReference r:id="rId4" w:type="default"/>
      <w:footerReference r:id="rId5" w:type="even"/>
      <w:pgSz w:w="11906" w:h="16838"/>
      <w:pgMar w:top="1588" w:right="1440" w:bottom="1588" w:left="1440" w:header="1191" w:footer="1418" w:gutter="0"/>
      <w:cols w:space="720" w:num="1"/>
      <w:docGrid w:type="linesAndChars" w:linePitch="515" w:charSpace="3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DejaVu Sans">
    <w:altName w:val="Shruti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="1083" w:h="301" w:wrap="around" w:hAnchor="page" w:vAnchor="text" w:x="1844" w:y="-29" w:hRule="exact"/>
      <w:rPr>
        <w:rStyle w:val="7"/>
        <w:sz w:val="24"/>
      </w:rPr>
    </w:pPr>
    <w:r>
      <w:rPr>
        <w:rStyle w:val="7"/>
        <w:rFonts w:hint="eastAsia" w:ascii="仿宋_GB2312"/>
        <w:sz w:val="24"/>
      </w:rPr>
      <w:t xml:space="preserve"> —</w:t>
    </w:r>
    <w:r>
      <w:rPr>
        <w:rFonts w:ascii="宋体"/>
        <w:sz w:val="24"/>
      </w:rPr>
      <w:fldChar w:fldCharType="begin"/>
    </w:r>
    <w:r>
      <w:rPr>
        <w:rStyle w:val="7"/>
        <w:rFonts w:ascii="宋体"/>
        <w:sz w:val="24"/>
      </w:rPr>
      <w:instrText xml:space="preserve">PAGE  </w:instrText>
    </w:r>
    <w:r>
      <w:rPr>
        <w:rFonts w:ascii="宋体"/>
        <w:sz w:val="24"/>
      </w:rPr>
      <w:fldChar w:fldCharType="separate"/>
    </w:r>
    <w:r>
      <w:rPr>
        <w:rStyle w:val="7"/>
        <w:rFonts w:ascii="宋体"/>
        <w:sz w:val="24"/>
      </w:rPr>
      <w:t>10</w:t>
    </w:r>
    <w:r>
      <w:rPr>
        <w:rFonts w:ascii="宋体"/>
        <w:sz w:val="24"/>
      </w:rPr>
      <w:fldChar w:fldCharType="end"/>
    </w:r>
    <w:r>
      <w:rPr>
        <w:rStyle w:val="7"/>
        <w:rFonts w:hint="eastAsia" w:ascii="仿宋_GB2312"/>
        <w:sz w:val="24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13"/>
  <w:drawingGridVerticalSpacing w:val="51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rFonts w:cs="Times New Roman"/>
      <w:kern w:val="0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7">
    <w:name w:val="page number"/>
    <w:basedOn w:val="6"/>
    <w:qFormat/>
    <w:uiPriority w:val="0"/>
    <w:rPr/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 Char"/>
    <w:link w:val="5"/>
    <w:uiPriority w:val="99"/>
    <w:rPr>
      <w:sz w:val="18"/>
      <w:szCs w:val="18"/>
    </w:rPr>
  </w:style>
  <w:style w:type="character" w:customStyle="1" w:styleId="10">
    <w:name w:val="页脚 Char Char"/>
    <w:link w:val="4"/>
    <w:uiPriority w:val="99"/>
    <w:rPr>
      <w:sz w:val="18"/>
      <w:szCs w:val="18"/>
    </w:rPr>
  </w:style>
  <w:style w:type="character" w:customStyle="1" w:styleId="11">
    <w:name w:val="批注框文本 Char Char"/>
    <w:link w:val="3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355</Words>
  <Characters>2024</Characters>
  <Lines>16</Lines>
  <Paragraphs>4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2021-11-28T00:28:00Z</dcterms:created>
  <dc:creator>经常司</dc:creator>
  <cp:lastModifiedBy>严培榕/办公室/海口/PBC</cp:lastModifiedBy>
  <cp:lastPrinted>2021-12-06T09:20:00Z</cp:lastPrinted>
  <dcterms:modified xsi:type="dcterms:W3CDTF">2022-01-26T01:29:48Z</dcterms:modified>
  <dc:title>关于中国（××）自由贸易试验区××新区片区跨境贸易便利化试点实施细则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