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关于202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>年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儋州市市</w:t>
      </w:r>
      <w:r>
        <w:rPr>
          <w:rFonts w:ascii="Times New Roman" w:hAnsi="Times New Roman" w:cs="Times New Roman"/>
          <w:b/>
          <w:sz w:val="44"/>
          <w:szCs w:val="44"/>
        </w:rPr>
        <w:t>级一般公共预算</w:t>
      </w:r>
    </w:p>
    <w:p>
      <w:pPr>
        <w:spacing w:line="578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收入预算的说明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本级一般公共预算总收入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161.57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24.57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年执行数相比，下同）</w:t>
      </w:r>
      <w:r>
        <w:rPr>
          <w:rFonts w:ascii="Times New Roman" w:hAnsi="Times New Roman" w:eastAsia="仿宋_GB2312" w:cs="Times New Roman"/>
          <w:sz w:val="32"/>
          <w:szCs w:val="32"/>
        </w:rPr>
        <w:t>。具体构成情况如下：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一、202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本级一般公共预算收入预算数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65.01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3.5</w:t>
      </w:r>
      <w:r>
        <w:rPr>
          <w:rFonts w:ascii="Times New Roman" w:hAnsi="Times New Roman" w:eastAsia="仿宋_GB2312" w:cs="Times New Roman"/>
          <w:sz w:val="32"/>
          <w:szCs w:val="32"/>
        </w:rPr>
        <w:t>%，主要根据年度经济发展因素预计。</w:t>
      </w:r>
    </w:p>
    <w:p>
      <w:pPr>
        <w:numPr>
          <w:ilvl w:val="-1"/>
          <w:numId w:val="0"/>
        </w:num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增值税预算数为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16.70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增收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0.77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</w:t>
      </w:r>
      <w:r>
        <w:rPr>
          <w:rFonts w:ascii="Times New Roman" w:hAnsi="Times New Roman" w:eastAsia="仿宋_GB2312" w:cs="Times New Roman"/>
          <w:sz w:val="32"/>
          <w:szCs w:val="32"/>
        </w:rPr>
        <w:t>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主要根据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自贸港社会经济发展趋势</w:t>
      </w:r>
      <w:r>
        <w:rPr>
          <w:rFonts w:ascii="Times New Roman" w:hAnsi="Times New Roman" w:eastAsia="仿宋_GB2312" w:cs="Times New Roman"/>
          <w:sz w:val="32"/>
          <w:szCs w:val="32"/>
        </w:rPr>
        <w:t>，房地产、工业、商业、固定资产投资等预计增长情况，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招商引资</w:t>
      </w:r>
      <w:r>
        <w:rPr>
          <w:rFonts w:ascii="Times New Roman" w:hAnsi="Times New Roman" w:eastAsia="仿宋_GB2312" w:cs="Times New Roman"/>
          <w:sz w:val="32"/>
          <w:szCs w:val="32"/>
        </w:rPr>
        <w:t>落户企业投资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结算额等因素测算。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企业所得税预算数为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9.28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年增收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0.84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</w:t>
      </w:r>
      <w:r>
        <w:rPr>
          <w:rFonts w:ascii="Times New Roman" w:hAnsi="Times New Roman" w:eastAsia="仿宋_GB2312" w:cs="Times New Roman"/>
          <w:sz w:val="32"/>
          <w:szCs w:val="32"/>
        </w:rPr>
        <w:t>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%，主要根据我省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自贸港政策对所得税的影响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2024-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企业利润预计增长情况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，招商引资</w:t>
      </w:r>
      <w:r>
        <w:rPr>
          <w:rFonts w:ascii="Times New Roman" w:hAnsi="Times New Roman" w:eastAsia="仿宋_GB2312" w:cs="Times New Roman"/>
          <w:sz w:val="32"/>
          <w:szCs w:val="32"/>
        </w:rPr>
        <w:t>、总部企业落户情况等因素测算。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个人所得税预算数为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3.29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年增收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</w:t>
      </w:r>
      <w:r>
        <w:rPr>
          <w:rFonts w:ascii="Times New Roman" w:hAnsi="Times New Roman" w:eastAsia="仿宋_GB2312" w:cs="Times New Roman"/>
          <w:sz w:val="32"/>
          <w:szCs w:val="32"/>
        </w:rPr>
        <w:t>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%，主要根据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我省自贸港</w:t>
      </w:r>
      <w:r>
        <w:rPr>
          <w:rFonts w:ascii="Times New Roman" w:hAnsi="Times New Roman" w:eastAsia="仿宋_GB2312" w:cs="Times New Roman"/>
          <w:sz w:val="32"/>
          <w:szCs w:val="32"/>
        </w:rPr>
        <w:t>政策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对所得税影响</w:t>
      </w:r>
      <w:r>
        <w:rPr>
          <w:rFonts w:ascii="Times New Roman" w:hAnsi="Times New Roman" w:eastAsia="仿宋_GB2312" w:cs="Times New Roman"/>
          <w:sz w:val="32"/>
          <w:szCs w:val="32"/>
        </w:rPr>
        <w:t>，居民收入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预计</w:t>
      </w:r>
      <w:r>
        <w:rPr>
          <w:rFonts w:ascii="Times New Roman" w:hAnsi="Times New Roman" w:eastAsia="仿宋_GB2312" w:cs="Times New Roman"/>
          <w:sz w:val="32"/>
          <w:szCs w:val="32"/>
        </w:rPr>
        <w:t>增长目标、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企业数量增加</w:t>
      </w:r>
      <w:r>
        <w:rPr>
          <w:rFonts w:ascii="Times New Roman" w:hAnsi="Times New Roman" w:eastAsia="仿宋_GB2312" w:cs="Times New Roman"/>
          <w:sz w:val="32"/>
          <w:szCs w:val="32"/>
        </w:rPr>
        <w:t>等因素测算。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（四）资源</w:t>
      </w:r>
      <w:r>
        <w:rPr>
          <w:rFonts w:ascii="Times New Roman" w:hAnsi="Times New Roman" w:eastAsia="仿宋_GB2312" w:cs="Times New Roman"/>
          <w:sz w:val="32"/>
          <w:szCs w:val="32"/>
        </w:rPr>
        <w:t>税预算数为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455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2024年基本持平</w:t>
      </w:r>
      <w:r>
        <w:rPr>
          <w:rFonts w:ascii="Times New Roman" w:hAnsi="Times New Roman" w:eastAsia="仿宋_GB2312" w:cs="Times New Roman"/>
          <w:sz w:val="32"/>
          <w:szCs w:val="32"/>
        </w:rPr>
        <w:t>，主要根据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我市开采应税矿产品</w:t>
      </w:r>
      <w:r>
        <w:rPr>
          <w:rFonts w:ascii="Times New Roman" w:hAnsi="Times New Roman" w:eastAsia="仿宋_GB2312" w:cs="Times New Roman"/>
          <w:sz w:val="32"/>
          <w:szCs w:val="32"/>
        </w:rPr>
        <w:t>情况测算。</w:t>
      </w:r>
    </w:p>
    <w:p>
      <w:pPr>
        <w:spacing w:line="578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（五）土地增值</w:t>
      </w:r>
      <w:r>
        <w:rPr>
          <w:rFonts w:ascii="Times New Roman" w:hAnsi="Times New Roman" w:eastAsia="仿宋_GB2312" w:cs="Times New Roman"/>
          <w:sz w:val="32"/>
          <w:szCs w:val="32"/>
        </w:rPr>
        <w:t>税预算数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2.14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2024年增收0.05亿元，增长2%</w:t>
      </w:r>
      <w:r>
        <w:rPr>
          <w:rFonts w:ascii="Times New Roman" w:hAnsi="Times New Roman" w:eastAsia="仿宋_GB2312" w:cs="Times New Roman"/>
          <w:sz w:val="32"/>
          <w:szCs w:val="32"/>
        </w:rPr>
        <w:t>，主要根据应税房屋保有量等情况测算。</w:t>
      </w:r>
    </w:p>
    <w:p>
      <w:pPr>
        <w:spacing w:line="578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（六）</w:t>
      </w:r>
      <w:r>
        <w:rPr>
          <w:rFonts w:ascii="Times New Roman" w:hAnsi="Times New Roman" w:eastAsia="仿宋_GB2312" w:cs="Times New Roman"/>
          <w:sz w:val="32"/>
          <w:szCs w:val="32"/>
        </w:rPr>
        <w:t>专项收入预算数为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3.88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24年减少0.56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%，主要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</w:rPr>
        <w:t>减税降费政策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实施后，</w:t>
      </w:r>
      <w:r>
        <w:rPr>
          <w:rFonts w:ascii="Times New Roman" w:hAnsi="Times New Roman" w:eastAsia="仿宋_GB2312" w:cs="Times New Roman"/>
          <w:sz w:val="32"/>
          <w:szCs w:val="32"/>
        </w:rPr>
        <w:t>各专项收入项目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情况测算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8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（七）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行政事业性收费收入</w:t>
      </w:r>
      <w:r>
        <w:rPr>
          <w:rFonts w:ascii="Times New Roman" w:hAnsi="Times New Roman" w:eastAsia="仿宋_GB2312" w:cs="Times New Roman"/>
          <w:sz w:val="32"/>
          <w:szCs w:val="32"/>
        </w:rPr>
        <w:t>预算数为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1.71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仿宋_GB2312" w:cs="Times New Roman"/>
          <w:sz w:val="32"/>
          <w:szCs w:val="32"/>
        </w:rPr>
        <w:t>%，主要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</w:rPr>
        <w:t>减税降费政策实施后，各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行政事业性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收费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收入预计情况</w:t>
      </w:r>
      <w:r>
        <w:rPr>
          <w:rFonts w:ascii="Times New Roman" w:hAnsi="Times New Roman" w:eastAsia="仿宋_GB2312" w:cs="Times New Roman"/>
          <w:sz w:val="32"/>
          <w:szCs w:val="32"/>
        </w:rPr>
        <w:t>测算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8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（八）</w:t>
      </w:r>
      <w:r>
        <w:rPr>
          <w:rFonts w:ascii="Times New Roman" w:hAnsi="Times New Roman" w:eastAsia="仿宋_GB2312" w:cs="Times New Roman"/>
          <w:sz w:val="32"/>
          <w:szCs w:val="32"/>
        </w:rPr>
        <w:t>罚没收入预算数为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0.49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</w:t>
      </w:r>
      <w:r>
        <w:rPr>
          <w:rFonts w:ascii="Times New Roman" w:hAnsi="Times New Roman" w:eastAsia="仿宋_GB2312" w:cs="Times New Roman"/>
          <w:sz w:val="32"/>
          <w:szCs w:val="32"/>
        </w:rPr>
        <w:t>%，主要根据公检法司等执法单位预计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收入</w:t>
      </w:r>
      <w:r>
        <w:rPr>
          <w:rFonts w:ascii="Times New Roman" w:hAnsi="Times New Roman" w:eastAsia="仿宋_GB2312" w:cs="Times New Roman"/>
          <w:sz w:val="32"/>
          <w:szCs w:val="32"/>
        </w:rPr>
        <w:t>情况测算。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（九）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国有资源（资产）有偿使用收入预算数为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亿元，比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4年增加2.06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主要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继续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合理盘活变现存量资产、对闲置和低效运行的国有资产处置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  <w:t>情况进行测算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8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（十）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政府住房基金</w:t>
      </w:r>
      <w:r>
        <w:rPr>
          <w:rFonts w:ascii="Times New Roman" w:hAnsi="Times New Roman" w:eastAsia="仿宋_GB2312" w:cs="Times New Roman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预算数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2024年减少0.03亿元，下降14%</w:t>
      </w:r>
      <w:r>
        <w:rPr>
          <w:rFonts w:ascii="Times New Roman" w:hAnsi="Times New Roman" w:eastAsia="仿宋_GB2312" w:cs="Times New Roman"/>
          <w:sz w:val="32"/>
          <w:szCs w:val="32"/>
        </w:rPr>
        <w:t>，主要根据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公积金收入以及保值增值收益情况测算。</w:t>
      </w:r>
    </w:p>
    <w:p>
      <w:pPr>
        <w:spacing w:line="578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（十一）</w:t>
      </w:r>
      <w:r>
        <w:rPr>
          <w:rFonts w:ascii="Times New Roman" w:hAnsi="Times New Roman" w:eastAsia="仿宋_GB2312" w:cs="Times New Roman"/>
          <w:sz w:val="32"/>
          <w:szCs w:val="32"/>
        </w:rPr>
        <w:t>其他收入预算数为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23万</w:t>
      </w:r>
      <w:r>
        <w:rPr>
          <w:rFonts w:ascii="Times New Roman" w:hAnsi="Times New Roman" w:eastAsia="仿宋_GB2312" w:cs="Times New Roman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与2024年减少1万元，下降3%</w:t>
      </w:r>
      <w:r>
        <w:rPr>
          <w:rFonts w:ascii="Times New Roman" w:hAnsi="Times New Roman" w:eastAsia="仿宋_GB2312" w:cs="Times New Roman"/>
          <w:sz w:val="32"/>
          <w:szCs w:val="32"/>
        </w:rPr>
        <w:t>，主要根据单位申报的征收计划测算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8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二、上年结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转</w:t>
      </w:r>
      <w:r>
        <w:rPr>
          <w:rFonts w:ascii="Times New Roman" w:hAnsi="Times New Roman" w:eastAsia="仿宋_GB2312" w:cs="Times New Roman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7.50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主要是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2024年主要是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上级资金支出较快，减少结转规模。</w:t>
      </w:r>
    </w:p>
    <w:p>
      <w:pPr>
        <w:spacing w:line="578" w:lineRule="exact"/>
        <w:ind w:firstLine="645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动用</w:t>
      </w:r>
      <w:r>
        <w:rPr>
          <w:rFonts w:ascii="Times New Roman" w:hAnsi="Times New Roman" w:eastAsia="仿宋_GB2312" w:cs="Times New Roman"/>
          <w:sz w:val="32"/>
          <w:szCs w:val="32"/>
        </w:rPr>
        <w:t>预算稳定调节基金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13.35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4年减少0.1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主要是从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本级预算稳定调节基金中安排调入的资金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减少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trackRevisions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F6"/>
    <w:rsid w:val="0018570C"/>
    <w:rsid w:val="001C00F6"/>
    <w:rsid w:val="002504BC"/>
    <w:rsid w:val="002E5BF7"/>
    <w:rsid w:val="00397203"/>
    <w:rsid w:val="00594D53"/>
    <w:rsid w:val="006161AB"/>
    <w:rsid w:val="00860F75"/>
    <w:rsid w:val="00994D7D"/>
    <w:rsid w:val="009B2E4C"/>
    <w:rsid w:val="00BB2F03"/>
    <w:rsid w:val="00BD0026"/>
    <w:rsid w:val="00C3191B"/>
    <w:rsid w:val="00DD673E"/>
    <w:rsid w:val="00E2564F"/>
    <w:rsid w:val="00EF11CD"/>
    <w:rsid w:val="00FB1903"/>
    <w:rsid w:val="0F5FF2E2"/>
    <w:rsid w:val="0FF69808"/>
    <w:rsid w:val="1B4E3785"/>
    <w:rsid w:val="1EFF5664"/>
    <w:rsid w:val="1F7CC01D"/>
    <w:rsid w:val="236C8665"/>
    <w:rsid w:val="2D6FF5BC"/>
    <w:rsid w:val="2F7BF325"/>
    <w:rsid w:val="2FBDD075"/>
    <w:rsid w:val="31C204F2"/>
    <w:rsid w:val="3F7FD34B"/>
    <w:rsid w:val="3FFB54CC"/>
    <w:rsid w:val="4F5FDBE5"/>
    <w:rsid w:val="57CF6EFC"/>
    <w:rsid w:val="59FF4A49"/>
    <w:rsid w:val="64BE5400"/>
    <w:rsid w:val="6DFD712B"/>
    <w:rsid w:val="6EC79C68"/>
    <w:rsid w:val="75BFF49B"/>
    <w:rsid w:val="76FBE832"/>
    <w:rsid w:val="77AE96B5"/>
    <w:rsid w:val="7967AC7F"/>
    <w:rsid w:val="7BAB895D"/>
    <w:rsid w:val="7DFF2D51"/>
    <w:rsid w:val="7E3C8A39"/>
    <w:rsid w:val="7F7F43A8"/>
    <w:rsid w:val="8DFDB7D8"/>
    <w:rsid w:val="9BE939D3"/>
    <w:rsid w:val="B47E17F4"/>
    <w:rsid w:val="B7EB1B7B"/>
    <w:rsid w:val="BF93AE1E"/>
    <w:rsid w:val="BFF8519E"/>
    <w:rsid w:val="DFFFEF7D"/>
    <w:rsid w:val="F62FF6C2"/>
    <w:rsid w:val="F6F49AB5"/>
    <w:rsid w:val="FA7C76EB"/>
    <w:rsid w:val="FED73879"/>
    <w:rsid w:val="FFFEBDF4"/>
    <w:rsid w:val="FFFF7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semiHidden/>
    <w:unhideWhenUsed/>
    <w:qFormat/>
    <w:uiPriority w:val="0"/>
    <w:rPr>
      <w:vertAlign w:val="superscript"/>
    </w:rPr>
  </w:style>
  <w:style w:type="paragraph" w:customStyle="1" w:styleId="9">
    <w:name w:val="_Style 1"/>
    <w:basedOn w:val="1"/>
    <w:qFormat/>
    <w:uiPriority w:val="0"/>
    <w:rPr>
      <w:rFonts w:ascii="Times New Roman" w:hAnsi="Times New Roman" w:cs="Times New Roman"/>
      <w:szCs w:val="20"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脚注文本 Char"/>
    <w:basedOn w:val="7"/>
    <w:link w:val="5"/>
    <w:semiHidden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276</Words>
  <Characters>1578</Characters>
  <Lines>13</Lines>
  <Paragraphs>3</Paragraphs>
  <TotalTime>302</TotalTime>
  <ScaleCrop>false</ScaleCrop>
  <LinksUpToDate>false</LinksUpToDate>
  <CharactersWithSpaces>1851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2021-02-13T15:14:00Z</dcterms:created>
  <dc:creator>张振旺</dc:creator>
  <cp:lastModifiedBy>user</cp:lastModifiedBy>
  <cp:lastPrinted>2022-02-17T12:41:00Z</cp:lastPrinted>
  <dcterms:modified xsi:type="dcterms:W3CDTF">2025-02-07T14:27:49Z</dcterms:modified>
  <dc:title>关于2019年海南省省级一般公共预算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