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6AE0F6">
      <w:pPr>
        <w:jc w:val="both"/>
        <w:rPr>
          <w:rFonts w:ascii="方正小标宋简体" w:hAnsi="方正小标宋简体" w:eastAsia="方正小标宋简体" w:cs="方正小标宋简体"/>
          <w:color w:val="000000" w:themeColor="text1"/>
          <w:sz w:val="52"/>
          <w:szCs w:val="52"/>
          <w14:textFill>
            <w14:solidFill>
              <w14:schemeClr w14:val="tx1"/>
            </w14:solidFill>
          </w14:textFill>
        </w:rPr>
      </w:pPr>
    </w:p>
    <w:p w14:paraId="1CA8BA11">
      <w:pPr>
        <w:jc w:val="both"/>
        <w:rPr>
          <w:rFonts w:ascii="方正小标宋简体" w:hAnsi="方正小标宋简体" w:eastAsia="方正小标宋简体" w:cs="方正小标宋简体"/>
          <w:color w:val="000000" w:themeColor="text1"/>
          <w:sz w:val="52"/>
          <w:szCs w:val="52"/>
          <w14:textFill>
            <w14:solidFill>
              <w14:schemeClr w14:val="tx1"/>
            </w14:solidFill>
          </w14:textFill>
        </w:rPr>
      </w:pPr>
    </w:p>
    <w:p w14:paraId="2C81B416">
      <w:pPr>
        <w:jc w:val="center"/>
        <w:rPr>
          <w:rFonts w:hint="eastAsia" w:ascii="方正小标宋简体" w:hAnsi="方正小标宋简体" w:eastAsia="方正小标宋简体" w:cs="方正小标宋简体"/>
          <w:color w:val="000000" w:themeColor="text1"/>
          <w:sz w:val="52"/>
          <w:szCs w:val="52"/>
          <w:lang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52"/>
          <w:szCs w:val="52"/>
          <w:lang w:eastAsia="zh-CN"/>
          <w14:textFill>
            <w14:solidFill>
              <w14:schemeClr w14:val="tx1"/>
            </w14:solidFill>
          </w14:textFill>
        </w:rPr>
        <w:t>2026</w:t>
      </w:r>
      <w:r>
        <w:rPr>
          <w:rFonts w:hint="eastAsia" w:ascii="方正小标宋简体" w:hAnsi="方正小标宋简体" w:eastAsia="方正小标宋简体" w:cs="方正小标宋简体"/>
          <w:color w:val="000000" w:themeColor="text1"/>
          <w:sz w:val="52"/>
          <w:szCs w:val="52"/>
          <w14:textFill>
            <w14:solidFill>
              <w14:schemeClr w14:val="tx1"/>
            </w14:solidFill>
          </w14:textFill>
        </w:rPr>
        <w:t>年</w:t>
      </w:r>
      <w:r>
        <w:rPr>
          <w:rFonts w:ascii="方正小标宋简体" w:hAnsi="方正小标宋简体" w:eastAsia="方正小标宋简体" w:cs="方正小标宋简体"/>
          <w:color w:val="000000" w:themeColor="text1"/>
          <w:sz w:val="52"/>
          <w:szCs w:val="52"/>
          <w14:textFill>
            <w14:solidFill>
              <w14:schemeClr w14:val="tx1"/>
            </w14:solidFill>
          </w14:textFill>
        </w:rPr>
        <w:t>儋州市木棠镇中心学</w:t>
      </w:r>
      <w:r>
        <w:rPr>
          <w:rFonts w:hint="eastAsia" w:ascii="方正小标宋简体" w:hAnsi="方正小标宋简体" w:eastAsia="方正小标宋简体" w:cs="方正小标宋简体"/>
          <w:color w:val="000000" w:themeColor="text1"/>
          <w:sz w:val="52"/>
          <w:szCs w:val="52"/>
          <w:lang w:eastAsia="zh-CN"/>
          <w14:textFill>
            <w14:solidFill>
              <w14:schemeClr w14:val="tx1"/>
            </w14:solidFill>
          </w14:textFill>
        </w:rPr>
        <w:t>校</w:t>
      </w:r>
      <w:r>
        <w:rPr>
          <w:rFonts w:hint="eastAsia" w:ascii="方正小标宋简体" w:hAnsi="方正小标宋简体" w:eastAsia="方正小标宋简体" w:cs="方正小标宋简体"/>
          <w:color w:val="000000" w:themeColor="text1"/>
          <w:sz w:val="52"/>
          <w:szCs w:val="52"/>
          <w14:textFill>
            <w14:solidFill>
              <w14:schemeClr w14:val="tx1"/>
            </w14:solidFill>
          </w14:textFill>
        </w:rPr>
        <w:t>预算</w:t>
      </w:r>
      <w:r>
        <w:rPr>
          <w:rFonts w:hint="eastAsia" w:ascii="方正小标宋简体" w:hAnsi="方正小标宋简体" w:eastAsia="方正小标宋简体" w:cs="方正小标宋简体"/>
          <w:color w:val="000000" w:themeColor="text1"/>
          <w:sz w:val="52"/>
          <w:szCs w:val="52"/>
          <w:lang w:eastAsia="zh-CN"/>
          <w14:textFill>
            <w14:solidFill>
              <w14:schemeClr w14:val="tx1"/>
            </w14:solidFill>
          </w14:textFill>
        </w:rPr>
        <w:t>公开说明</w:t>
      </w:r>
    </w:p>
    <w:p w14:paraId="3BBEA5E4">
      <w:pPr>
        <w:ind w:firstLine="1680"/>
        <w:jc w:val="center"/>
        <w:rPr>
          <w:color w:val="000000" w:themeColor="text1"/>
          <w:sz w:val="84"/>
          <w:szCs w:val="84"/>
          <w14:textFill>
            <w14:solidFill>
              <w14:schemeClr w14:val="tx1"/>
            </w14:solidFill>
          </w14:textFill>
        </w:rPr>
      </w:pPr>
    </w:p>
    <w:p w14:paraId="79FC76FD">
      <w:pPr>
        <w:ind w:firstLine="1680"/>
        <w:jc w:val="center"/>
        <w:rPr>
          <w:color w:val="000000" w:themeColor="text1"/>
          <w:sz w:val="84"/>
          <w:szCs w:val="84"/>
          <w14:textFill>
            <w14:solidFill>
              <w14:schemeClr w14:val="tx1"/>
            </w14:solidFill>
          </w14:textFill>
        </w:rPr>
      </w:pPr>
    </w:p>
    <w:p w14:paraId="69C9B57E">
      <w:pPr>
        <w:ind w:firstLine="1680"/>
        <w:jc w:val="center"/>
        <w:rPr>
          <w:color w:val="000000" w:themeColor="text1"/>
          <w:sz w:val="84"/>
          <w:szCs w:val="84"/>
          <w14:textFill>
            <w14:solidFill>
              <w14:schemeClr w14:val="tx1"/>
            </w14:solidFill>
          </w14:textFill>
        </w:rPr>
      </w:pPr>
    </w:p>
    <w:p w14:paraId="7E47AC3E">
      <w:pPr>
        <w:ind w:firstLine="1680"/>
        <w:jc w:val="center"/>
        <w:rPr>
          <w:color w:val="000000" w:themeColor="text1"/>
          <w:sz w:val="84"/>
          <w:szCs w:val="84"/>
          <w14:textFill>
            <w14:solidFill>
              <w14:schemeClr w14:val="tx1"/>
            </w14:solidFill>
          </w14:textFill>
        </w:rPr>
      </w:pPr>
    </w:p>
    <w:p w14:paraId="019D2B13">
      <w:pPr>
        <w:ind w:firstLine="1680"/>
        <w:jc w:val="center"/>
        <w:rPr>
          <w:color w:val="000000" w:themeColor="text1"/>
          <w:sz w:val="84"/>
          <w:szCs w:val="84"/>
          <w14:textFill>
            <w14:solidFill>
              <w14:schemeClr w14:val="tx1"/>
            </w14:solidFill>
          </w14:textFill>
        </w:rPr>
      </w:pPr>
    </w:p>
    <w:p w14:paraId="0B7FA757">
      <w:pPr>
        <w:rPr>
          <w:color w:val="000000" w:themeColor="text1"/>
          <w:sz w:val="84"/>
          <w:szCs w:val="84"/>
          <w14:textFill>
            <w14:solidFill>
              <w14:schemeClr w14:val="tx1"/>
            </w14:solidFill>
          </w14:textFill>
        </w:rPr>
      </w:pPr>
    </w:p>
    <w:p w14:paraId="7467D4C1">
      <w:pPr>
        <w:jc w:val="center"/>
        <w:rPr>
          <w:rFonts w:hint="eastAsia" w:ascii="黑体" w:hAnsi="黑体" w:eastAsia="黑体"/>
          <w:color w:val="000000" w:themeColor="text1"/>
          <w:sz w:val="52"/>
          <w:szCs w:val="52"/>
          <w14:textFill>
            <w14:solidFill>
              <w14:schemeClr w14:val="tx1"/>
            </w14:solidFill>
          </w14:textFill>
        </w:rPr>
        <w:sectPr>
          <w:pgSz w:w="11906" w:h="16838"/>
          <w:pgMar w:top="1440" w:right="1800" w:bottom="1440" w:left="1800" w:header="851" w:footer="992" w:gutter="0"/>
          <w:cols w:space="720" w:num="1"/>
          <w:docGrid w:type="lines" w:linePitch="312" w:charSpace="0"/>
        </w:sectPr>
      </w:pPr>
    </w:p>
    <w:p w14:paraId="20D0E1A3">
      <w:pPr>
        <w:spacing w:line="578" w:lineRule="exact"/>
        <w:jc w:val="center"/>
        <w:rPr>
          <w:rFonts w:hint="eastAsia" w:ascii="黑体" w:hAnsi="黑体" w:eastAsia="黑体"/>
          <w:color w:val="000000" w:themeColor="text1"/>
          <w:sz w:val="52"/>
          <w:szCs w:val="52"/>
          <w14:textFill>
            <w14:solidFill>
              <w14:schemeClr w14:val="tx1"/>
            </w14:solidFill>
          </w14:textFill>
        </w:rPr>
      </w:pPr>
    </w:p>
    <w:p w14:paraId="57015877">
      <w:pPr>
        <w:spacing w:line="578" w:lineRule="exact"/>
        <w:jc w:val="center"/>
        <w:rPr>
          <w:rFonts w:hint="eastAsia" w:ascii="黑体" w:hAnsi="黑体" w:eastAsia="黑体"/>
          <w:color w:val="000000" w:themeColor="text1"/>
          <w:sz w:val="52"/>
          <w:szCs w:val="52"/>
          <w14:textFill>
            <w14:solidFill>
              <w14:schemeClr w14:val="tx1"/>
            </w14:solidFill>
          </w14:textFill>
        </w:rPr>
      </w:pPr>
    </w:p>
    <w:p w14:paraId="47877A90">
      <w:pPr>
        <w:spacing w:line="578" w:lineRule="exact"/>
        <w:jc w:val="center"/>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目</w:t>
      </w: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 xml:space="preserve">  </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录</w:t>
      </w:r>
    </w:p>
    <w:p w14:paraId="73799F6B">
      <w:pPr>
        <w:spacing w:line="578" w:lineRule="exact"/>
        <w:jc w:val="center"/>
        <w:rPr>
          <w:rFonts w:hint="eastAsia" w:ascii="黑体" w:hAnsi="黑体" w:eastAsia="黑体"/>
          <w:color w:val="000000" w:themeColor="text1"/>
          <w:sz w:val="52"/>
          <w:szCs w:val="52"/>
          <w14:textFill>
            <w14:solidFill>
              <w14:schemeClr w14:val="tx1"/>
            </w14:solidFill>
          </w14:textFill>
        </w:rPr>
      </w:pPr>
    </w:p>
    <w:p w14:paraId="4460F82D">
      <w:pPr>
        <w:pStyle w:val="5"/>
        <w:numPr>
          <w:ilvl w:val="0"/>
          <w:numId w:val="1"/>
        </w:numPr>
        <w:spacing w:line="578" w:lineRule="exact"/>
        <w:ind w:firstLineChars="0"/>
        <w:jc w:val="left"/>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 xml:space="preserve">  </w:t>
      </w:r>
      <w:r>
        <w:rPr>
          <w:rFonts w:hint="eastAsia" w:ascii="仿宋_GB2312" w:hAnsi="黑体" w:eastAsia="仿宋_GB2312" w:cs="仿宋_GB2312"/>
          <w:color w:val="000000" w:themeColor="text1"/>
          <w:sz w:val="32"/>
          <w:szCs w:val="32"/>
          <w14:textFill>
            <w14:solidFill>
              <w14:schemeClr w14:val="tx1"/>
            </w14:solidFill>
          </w14:textFill>
        </w:rPr>
        <w:t xml:space="preserve"> </w:t>
      </w:r>
      <w:r>
        <w:rPr>
          <w:rFonts w:hint="eastAsia" w:ascii="黑体" w:hAnsi="黑体" w:eastAsia="黑体"/>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lang w:eastAsia="zh-CN"/>
          <w14:textFill>
            <w14:solidFill>
              <w14:schemeClr w14:val="tx1"/>
            </w14:solidFill>
          </w14:textFill>
        </w:rPr>
        <w:t>儋州市木棠镇中心学校</w:t>
      </w:r>
      <w:r>
        <w:rPr>
          <w:rFonts w:hint="eastAsia" w:ascii="黑体" w:hAnsi="黑体" w:eastAsia="黑体"/>
          <w:color w:val="000000" w:themeColor="text1"/>
          <w:sz w:val="32"/>
          <w:szCs w:val="32"/>
          <w14:textFill>
            <w14:solidFill>
              <w14:schemeClr w14:val="tx1"/>
            </w14:solidFill>
          </w14:textFill>
        </w:rPr>
        <w:t>概况</w:t>
      </w:r>
    </w:p>
    <w:p w14:paraId="333346D8">
      <w:pPr>
        <w:pStyle w:val="5"/>
        <w:numPr>
          <w:ilvl w:val="0"/>
          <w:numId w:val="2"/>
        </w:numPr>
        <w:spacing w:line="578" w:lineRule="exact"/>
        <w:ind w:firstLineChars="0"/>
        <w:jc w:val="left"/>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主要职能</w:t>
      </w:r>
    </w:p>
    <w:p w14:paraId="28804897">
      <w:pPr>
        <w:pStyle w:val="5"/>
        <w:numPr>
          <w:ilvl w:val="0"/>
          <w:numId w:val="2"/>
        </w:numPr>
        <w:spacing w:line="578" w:lineRule="exact"/>
        <w:ind w:firstLineChars="0"/>
        <w:jc w:val="left"/>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部门预算单位构成（单位公开没有这部分内容）</w:t>
      </w:r>
    </w:p>
    <w:p w14:paraId="4D691CFD">
      <w:pPr>
        <w:pStyle w:val="5"/>
        <w:numPr>
          <w:ilvl w:val="0"/>
          <w:numId w:val="1"/>
        </w:numPr>
        <w:spacing w:line="578" w:lineRule="exact"/>
        <w:ind w:firstLineChars="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lang w:eastAsia="zh-CN"/>
          <w14:textFill>
            <w14:solidFill>
              <w14:schemeClr w14:val="tx1"/>
            </w14:solidFill>
          </w14:textFill>
        </w:rPr>
        <w:t>儋州市木棠镇中心学校</w:t>
      </w:r>
      <w:r>
        <w:rPr>
          <w:rFonts w:hint="eastAsia" w:ascii="黑体" w:hAnsi="黑体" w:eastAsia="黑体"/>
          <w:color w:val="000000" w:themeColor="text1"/>
          <w:sz w:val="32"/>
          <w:szCs w:val="32"/>
          <w14:textFill>
            <w14:solidFill>
              <w14:schemeClr w14:val="tx1"/>
            </w14:solidFill>
          </w14:textFill>
        </w:rPr>
        <w:t>预算表</w:t>
      </w:r>
    </w:p>
    <w:p w14:paraId="2414352B">
      <w:pPr>
        <w:pStyle w:val="5"/>
        <w:numPr>
          <w:ilvl w:val="0"/>
          <w:numId w:val="3"/>
        </w:numPr>
        <w:spacing w:line="578" w:lineRule="exact"/>
        <w:ind w:firstLineChars="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财政拨款收支总表</w:t>
      </w:r>
    </w:p>
    <w:p w14:paraId="4CB91C53">
      <w:pPr>
        <w:pStyle w:val="5"/>
        <w:numPr>
          <w:ilvl w:val="0"/>
          <w:numId w:val="3"/>
        </w:numPr>
        <w:spacing w:line="578" w:lineRule="exact"/>
        <w:ind w:firstLineChars="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一般公共预算支出表</w:t>
      </w:r>
    </w:p>
    <w:p w14:paraId="42919992">
      <w:pPr>
        <w:pStyle w:val="5"/>
        <w:numPr>
          <w:ilvl w:val="0"/>
          <w:numId w:val="3"/>
        </w:numPr>
        <w:spacing w:line="578" w:lineRule="exact"/>
        <w:ind w:firstLineChars="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一般公共预算基本支出表</w:t>
      </w:r>
    </w:p>
    <w:p w14:paraId="0C6C5118">
      <w:pPr>
        <w:pStyle w:val="5"/>
        <w:numPr>
          <w:ilvl w:val="0"/>
          <w:numId w:val="3"/>
        </w:numPr>
        <w:spacing w:line="578" w:lineRule="exact"/>
        <w:ind w:firstLineChars="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一般公共预算“三公”经费支出表</w:t>
      </w:r>
    </w:p>
    <w:p w14:paraId="1BF57451">
      <w:pPr>
        <w:pStyle w:val="5"/>
        <w:numPr>
          <w:ilvl w:val="0"/>
          <w:numId w:val="3"/>
        </w:numPr>
        <w:spacing w:line="578" w:lineRule="exact"/>
        <w:ind w:firstLineChars="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政府性基金预算支出表。</w:t>
      </w:r>
    </w:p>
    <w:p w14:paraId="0099D617">
      <w:pPr>
        <w:pStyle w:val="5"/>
        <w:numPr>
          <w:ilvl w:val="0"/>
          <w:numId w:val="3"/>
        </w:numPr>
        <w:spacing w:line="578" w:lineRule="exact"/>
        <w:ind w:firstLineChars="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政府性基金预算“三公”经费支出表</w:t>
      </w:r>
    </w:p>
    <w:p w14:paraId="69455D50">
      <w:pPr>
        <w:pStyle w:val="5"/>
        <w:numPr>
          <w:ilvl w:val="0"/>
          <w:numId w:val="3"/>
        </w:numPr>
        <w:spacing w:line="578" w:lineRule="exact"/>
        <w:ind w:firstLineChars="0"/>
        <w:jc w:val="left"/>
        <w:rPr>
          <w:rFonts w:ascii="黑体" w:hAnsi="黑体" w:eastAsia="黑体"/>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部门</w:t>
      </w:r>
      <w:r>
        <w:rPr>
          <w:rFonts w:hint="eastAsia" w:ascii="仿宋_GB2312" w:hAnsi="仿宋_GB2312" w:eastAsia="仿宋_GB2312" w:cs="仿宋_GB2312"/>
          <w:color w:val="000000" w:themeColor="text1"/>
          <w:sz w:val="32"/>
          <w:szCs w:val="32"/>
          <w:lang w:eastAsia="zh-CN"/>
          <w14:textFill>
            <w14:solidFill>
              <w14:schemeClr w14:val="tx1"/>
            </w14:solidFill>
          </w14:textFill>
        </w:rPr>
        <w:t>（单位）</w:t>
      </w:r>
      <w:r>
        <w:rPr>
          <w:rFonts w:hint="eastAsia" w:ascii="仿宋_GB2312" w:hAnsi="仿宋_GB2312" w:eastAsia="仿宋_GB2312" w:cs="仿宋_GB2312"/>
          <w:color w:val="000000" w:themeColor="text1"/>
          <w:sz w:val="32"/>
          <w:szCs w:val="32"/>
          <w14:textFill>
            <w14:solidFill>
              <w14:schemeClr w14:val="tx1"/>
            </w14:solidFill>
          </w14:textFill>
        </w:rPr>
        <w:t>收支总表</w:t>
      </w:r>
    </w:p>
    <w:p w14:paraId="651F8E95">
      <w:pPr>
        <w:pStyle w:val="5"/>
        <w:numPr>
          <w:ilvl w:val="0"/>
          <w:numId w:val="3"/>
        </w:numPr>
        <w:spacing w:line="578" w:lineRule="exact"/>
        <w:ind w:firstLineChars="0"/>
        <w:jc w:val="left"/>
        <w:rPr>
          <w:rFonts w:ascii="黑体" w:hAnsi="黑体" w:eastAsia="黑体"/>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部门</w:t>
      </w:r>
      <w:r>
        <w:rPr>
          <w:rFonts w:hint="eastAsia" w:ascii="仿宋_GB2312" w:hAnsi="仿宋_GB2312" w:eastAsia="仿宋_GB2312" w:cs="仿宋_GB2312"/>
          <w:color w:val="000000" w:themeColor="text1"/>
          <w:sz w:val="32"/>
          <w:szCs w:val="32"/>
          <w:lang w:eastAsia="zh-CN"/>
          <w14:textFill>
            <w14:solidFill>
              <w14:schemeClr w14:val="tx1"/>
            </w14:solidFill>
          </w14:textFill>
        </w:rPr>
        <w:t>（单位）</w:t>
      </w:r>
      <w:r>
        <w:rPr>
          <w:rFonts w:hint="eastAsia" w:ascii="仿宋_GB2312" w:hAnsi="仿宋_GB2312" w:eastAsia="仿宋_GB2312" w:cs="仿宋_GB2312"/>
          <w:color w:val="000000" w:themeColor="text1"/>
          <w:sz w:val="32"/>
          <w:szCs w:val="32"/>
          <w14:textFill>
            <w14:solidFill>
              <w14:schemeClr w14:val="tx1"/>
            </w14:solidFill>
          </w14:textFill>
        </w:rPr>
        <w:t>收入总表</w:t>
      </w:r>
    </w:p>
    <w:p w14:paraId="2DBDD045">
      <w:pPr>
        <w:pStyle w:val="5"/>
        <w:numPr>
          <w:ilvl w:val="0"/>
          <w:numId w:val="3"/>
        </w:numPr>
        <w:spacing w:line="578" w:lineRule="exact"/>
        <w:ind w:firstLineChars="0"/>
        <w:jc w:val="left"/>
        <w:rPr>
          <w:rFonts w:ascii="黑体" w:hAnsi="黑体" w:eastAsia="黑体"/>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部门</w:t>
      </w:r>
      <w:r>
        <w:rPr>
          <w:rFonts w:hint="eastAsia" w:ascii="仿宋_GB2312" w:hAnsi="仿宋_GB2312" w:eastAsia="仿宋_GB2312" w:cs="仿宋_GB2312"/>
          <w:color w:val="000000" w:themeColor="text1"/>
          <w:sz w:val="32"/>
          <w:szCs w:val="32"/>
          <w:lang w:eastAsia="zh-CN"/>
          <w14:textFill>
            <w14:solidFill>
              <w14:schemeClr w14:val="tx1"/>
            </w14:solidFill>
          </w14:textFill>
        </w:rPr>
        <w:t>（单位）</w:t>
      </w:r>
      <w:r>
        <w:rPr>
          <w:rFonts w:hint="eastAsia" w:ascii="仿宋_GB2312" w:hAnsi="仿宋_GB2312" w:eastAsia="仿宋_GB2312" w:cs="仿宋_GB2312"/>
          <w:color w:val="000000" w:themeColor="text1"/>
          <w:sz w:val="32"/>
          <w:szCs w:val="32"/>
          <w14:textFill>
            <w14:solidFill>
              <w14:schemeClr w14:val="tx1"/>
            </w14:solidFill>
          </w14:textFill>
        </w:rPr>
        <w:t>支出总表</w:t>
      </w:r>
    </w:p>
    <w:p w14:paraId="420048A1">
      <w:pPr>
        <w:pStyle w:val="5"/>
        <w:numPr>
          <w:ilvl w:val="0"/>
          <w:numId w:val="3"/>
        </w:numPr>
        <w:spacing w:line="578" w:lineRule="exact"/>
        <w:ind w:firstLineChars="0"/>
        <w:jc w:val="left"/>
        <w:rPr>
          <w:rFonts w:ascii="黑体" w:hAnsi="黑体" w:eastAsia="黑体"/>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项目支出绩效信息表</w:t>
      </w:r>
    </w:p>
    <w:p w14:paraId="21F5E95E">
      <w:pPr>
        <w:pStyle w:val="5"/>
        <w:numPr>
          <w:ilvl w:val="0"/>
          <w:numId w:val="1"/>
        </w:numPr>
        <w:spacing w:line="578" w:lineRule="exact"/>
        <w:ind w:firstLineChars="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lang w:eastAsia="zh-CN"/>
          <w14:textFill>
            <w14:solidFill>
              <w14:schemeClr w14:val="tx1"/>
            </w14:solidFill>
          </w14:textFill>
        </w:rPr>
        <w:t>儋州市木棠镇中心学校</w:t>
      </w:r>
      <w:r>
        <w:rPr>
          <w:rFonts w:hint="eastAsia" w:ascii="仿宋_GB2312" w:hAnsi="黑体" w:eastAsia="仿宋_GB2312"/>
          <w:color w:val="000000" w:themeColor="text1"/>
          <w:sz w:val="32"/>
          <w:szCs w:val="32"/>
          <w:lang w:val="en-US" w:eastAsia="zh-CN"/>
          <w14:textFill>
            <w14:solidFill>
              <w14:schemeClr w14:val="tx1"/>
            </w14:solidFill>
          </w14:textFill>
        </w:rPr>
        <w:t>2026</w:t>
      </w:r>
      <w:r>
        <w:rPr>
          <w:rFonts w:hint="eastAsia" w:ascii="黑体" w:hAnsi="黑体" w:eastAsia="黑体"/>
          <w:color w:val="000000" w:themeColor="text1"/>
          <w:sz w:val="32"/>
          <w:szCs w:val="32"/>
          <w14:textFill>
            <w14:solidFill>
              <w14:schemeClr w14:val="tx1"/>
            </w14:solidFill>
          </w14:textFill>
        </w:rPr>
        <w:t>年单位预算情况说明</w:t>
      </w:r>
    </w:p>
    <w:p w14:paraId="3E8913BF">
      <w:pPr>
        <w:pStyle w:val="5"/>
        <w:numPr>
          <w:ilvl w:val="0"/>
          <w:numId w:val="1"/>
        </w:numPr>
        <w:spacing w:line="578" w:lineRule="exact"/>
        <w:ind w:firstLineChars="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 xml:space="preserve">   名词解释</w:t>
      </w:r>
    </w:p>
    <w:p w14:paraId="7A2EB313">
      <w:pPr>
        <w:spacing w:line="578" w:lineRule="exact"/>
        <w:jc w:val="left"/>
        <w:rPr>
          <w:rFonts w:ascii="黑体" w:hAnsi="黑体" w:eastAsia="黑体"/>
          <w:color w:val="000000" w:themeColor="text1"/>
          <w:sz w:val="32"/>
          <w:szCs w:val="32"/>
          <w14:textFill>
            <w14:solidFill>
              <w14:schemeClr w14:val="tx1"/>
            </w14:solidFill>
          </w14:textFill>
        </w:rPr>
      </w:pPr>
    </w:p>
    <w:p w14:paraId="6098AEEE">
      <w:pPr>
        <w:pStyle w:val="5"/>
        <w:numPr>
          <w:ilvl w:val="0"/>
          <w:numId w:val="4"/>
        </w:numPr>
        <w:spacing w:line="578" w:lineRule="exact"/>
        <w:ind w:firstLineChars="0"/>
        <w:jc w:val="center"/>
        <w:rPr>
          <w:rFonts w:ascii="仿宋_GB2312" w:hAnsi="仿宋_GB2312" w:eastAsia="仿宋_GB2312" w:cs="仿宋_GB2312"/>
          <w:color w:val="000000" w:themeColor="text1"/>
          <w:sz w:val="32"/>
          <w:szCs w:val="32"/>
          <w14:textFill>
            <w14:solidFill>
              <w14:schemeClr w14:val="tx1"/>
            </w14:solidFill>
          </w14:textFill>
        </w:rPr>
        <w:sectPr>
          <w:footerReference r:id="rId3" w:type="default"/>
          <w:pgSz w:w="11906" w:h="16838"/>
          <w:pgMar w:top="1440" w:right="1800" w:bottom="1440" w:left="1800" w:header="851" w:footer="992" w:gutter="0"/>
          <w:pgNumType w:start="1"/>
          <w:cols w:space="720" w:num="1"/>
          <w:docGrid w:type="lines" w:linePitch="312" w:charSpace="0"/>
        </w:sectPr>
      </w:pPr>
    </w:p>
    <w:p w14:paraId="301B31C1">
      <w:pPr>
        <w:pStyle w:val="5"/>
        <w:numPr>
          <w:ilvl w:val="0"/>
          <w:numId w:val="4"/>
        </w:numPr>
        <w:spacing w:line="578" w:lineRule="exact"/>
        <w:ind w:firstLineChars="0"/>
        <w:jc w:val="center"/>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 xml:space="preserve">  </w:t>
      </w:r>
      <w:r>
        <w:rPr>
          <w:rFonts w:hint="eastAsia" w:ascii="黑体" w:hAnsi="黑体" w:eastAsia="黑体" w:cs="黑体"/>
          <w:color w:val="000000" w:themeColor="text1"/>
          <w:sz w:val="32"/>
          <w:szCs w:val="32"/>
          <w14:textFill>
            <w14:solidFill>
              <w14:schemeClr w14:val="tx1"/>
            </w14:solidFill>
          </w14:textFill>
        </w:rPr>
        <w:t xml:space="preserve"> </w:t>
      </w:r>
      <w:r>
        <w:rPr>
          <w:rFonts w:hint="eastAsia" w:ascii="黑体" w:hAnsi="黑体" w:eastAsia="黑体" w:cs="黑体"/>
          <w:color w:val="000000" w:themeColor="text1"/>
          <w:sz w:val="32"/>
          <w:szCs w:val="32"/>
          <w:lang w:eastAsia="zh-CN"/>
          <w14:textFill>
            <w14:solidFill>
              <w14:schemeClr w14:val="tx1"/>
            </w14:solidFill>
          </w14:textFill>
        </w:rPr>
        <w:t>儋州市木棠镇中心学校</w:t>
      </w:r>
      <w:r>
        <w:rPr>
          <w:rFonts w:hint="eastAsia" w:ascii="黑体" w:hAnsi="黑体" w:eastAsia="黑体" w:cs="黑体"/>
          <w:color w:val="000000" w:themeColor="text1"/>
          <w:sz w:val="32"/>
          <w:szCs w:val="32"/>
          <w:lang w:val="en-US" w:eastAsia="zh-CN"/>
          <w14:textFill>
            <w14:solidFill>
              <w14:schemeClr w14:val="tx1"/>
            </w14:solidFill>
          </w14:textFill>
        </w:rPr>
        <w:t>2024</w:t>
      </w:r>
      <w:r>
        <w:rPr>
          <w:rFonts w:hint="eastAsia" w:ascii="黑体" w:hAnsi="黑体" w:eastAsia="黑体" w:cs="黑体"/>
          <w:color w:val="000000" w:themeColor="text1"/>
          <w:sz w:val="32"/>
          <w:szCs w:val="32"/>
          <w14:textFill>
            <w14:solidFill>
              <w14:schemeClr w14:val="tx1"/>
            </w14:solidFill>
          </w14:textFill>
        </w:rPr>
        <w:t>概况</w:t>
      </w:r>
    </w:p>
    <w:p w14:paraId="0EF0FF13">
      <w:pPr>
        <w:spacing w:line="578" w:lineRule="exact"/>
        <w:jc w:val="left"/>
        <w:rPr>
          <w:rFonts w:hint="eastAsia" w:ascii="黑体" w:hAnsi="黑体" w:eastAsia="黑体" w:cs="黑体"/>
          <w:color w:val="000000" w:themeColor="text1"/>
          <w:sz w:val="32"/>
          <w:szCs w:val="32"/>
          <w14:textFill>
            <w14:solidFill>
              <w14:schemeClr w14:val="tx1"/>
            </w14:solidFill>
          </w14:textFill>
        </w:rPr>
      </w:pPr>
    </w:p>
    <w:p w14:paraId="04543830">
      <w:pPr>
        <w:pStyle w:val="5"/>
        <w:numPr>
          <w:ilvl w:val="-1"/>
          <w:numId w:val="0"/>
        </w:numPr>
        <w:spacing w:line="578" w:lineRule="exact"/>
        <w:ind w:left="0" w:firstLine="640" w:firstLineChars="200"/>
        <w:jc w:val="left"/>
        <w:rPr>
          <w:rFonts w:ascii="黑体" w:hAnsi="黑体" w:eastAsia="黑体" w:cs="仿宋_GB2312"/>
          <w:color w:val="000000" w:themeColor="text1"/>
          <w:sz w:val="32"/>
          <w:szCs w:val="32"/>
          <w14:textFill>
            <w14:solidFill>
              <w14:schemeClr w14:val="tx1"/>
            </w14:solidFill>
          </w14:textFill>
        </w:rPr>
      </w:pPr>
      <w:r>
        <w:rPr>
          <w:rFonts w:hint="eastAsia" w:ascii="黑体" w:hAnsi="黑体" w:eastAsia="黑体" w:cs="仿宋_GB2312"/>
          <w:color w:val="000000" w:themeColor="text1"/>
          <w:sz w:val="32"/>
          <w:szCs w:val="32"/>
          <w:lang w:eastAsia="zh-CN"/>
          <w14:textFill>
            <w14:solidFill>
              <w14:schemeClr w14:val="tx1"/>
            </w14:solidFill>
          </w14:textFill>
        </w:rPr>
        <w:t>一、</w:t>
      </w:r>
      <w:r>
        <w:rPr>
          <w:rFonts w:hint="eastAsia" w:ascii="黑体" w:hAnsi="黑体" w:eastAsia="黑体" w:cs="仿宋_GB2312"/>
          <w:color w:val="000000" w:themeColor="text1"/>
          <w:sz w:val="32"/>
          <w:szCs w:val="32"/>
          <w14:textFill>
            <w14:solidFill>
              <w14:schemeClr w14:val="tx1"/>
            </w14:solidFill>
          </w14:textFill>
        </w:rPr>
        <w:t>主要职能</w:t>
      </w:r>
    </w:p>
    <w:p w14:paraId="09EBACFC">
      <w:pPr>
        <w:pStyle w:val="5"/>
        <w:numPr>
          <w:ilvl w:val="-1"/>
          <w:numId w:val="0"/>
        </w:numPr>
        <w:spacing w:line="578" w:lineRule="exact"/>
        <w:ind w:left="0" w:firstLine="640" w:firstLineChars="200"/>
        <w:jc w:val="lef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实施小学义务教育，促进基础教育发展</w:t>
      </w:r>
    </w:p>
    <w:p w14:paraId="1B3F70D4">
      <w:pPr>
        <w:numPr>
          <w:ilvl w:val="0"/>
          <w:numId w:val="0"/>
        </w:numPr>
        <w:spacing w:line="578" w:lineRule="exact"/>
        <w:ind w:leftChars="0" w:firstLine="640" w:firstLineChars="200"/>
        <w:jc w:val="left"/>
        <w:rPr>
          <w:rFonts w:ascii="黑体" w:hAnsi="黑体" w:eastAsia="黑体" w:cs="仿宋_GB2312"/>
          <w:color w:val="000000" w:themeColor="text1"/>
          <w:sz w:val="32"/>
          <w:szCs w:val="32"/>
          <w14:textFill>
            <w14:solidFill>
              <w14:schemeClr w14:val="tx1"/>
            </w14:solidFill>
          </w14:textFill>
        </w:rPr>
      </w:pPr>
      <w:r>
        <w:rPr>
          <w:rFonts w:hint="eastAsia" w:ascii="黑体" w:hAnsi="黑体" w:eastAsia="黑体" w:cs="仿宋_GB2312"/>
          <w:color w:val="000000" w:themeColor="text1"/>
          <w:sz w:val="32"/>
          <w:szCs w:val="32"/>
          <w:lang w:eastAsia="zh-CN"/>
          <w14:textFill>
            <w14:solidFill>
              <w14:schemeClr w14:val="tx1"/>
            </w14:solidFill>
          </w14:textFill>
        </w:rPr>
        <w:t>二、</w:t>
      </w:r>
      <w:r>
        <w:rPr>
          <w:rFonts w:hint="eastAsia" w:ascii="黑体" w:hAnsi="黑体" w:eastAsia="黑体" w:cs="仿宋_GB2312"/>
          <w:color w:val="000000" w:themeColor="text1"/>
          <w:sz w:val="32"/>
          <w:szCs w:val="32"/>
          <w14:textFill>
            <w14:solidFill>
              <w14:schemeClr w14:val="tx1"/>
            </w14:solidFill>
          </w14:textFill>
        </w:rPr>
        <w:t>部门预算单位构成</w:t>
      </w:r>
    </w:p>
    <w:p w14:paraId="3ADCEA03">
      <w:pPr>
        <w:spacing w:line="578" w:lineRule="exact"/>
        <w:ind w:firstLine="800" w:firstLineChars="250"/>
        <w:jc w:val="lef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纳入</w:t>
      </w:r>
      <w:r>
        <w:rPr>
          <w:rFonts w:hint="eastAsia" w:ascii="黑体" w:hAnsi="黑体" w:eastAsia="黑体"/>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lang w:eastAsia="zh-CN"/>
          <w14:textFill>
            <w14:solidFill>
              <w14:schemeClr w14:val="tx1"/>
            </w14:solidFill>
          </w14:textFill>
        </w:rPr>
        <w:t>儋州市木棠镇中心学校</w:t>
      </w:r>
      <w:r>
        <w:rPr>
          <w:rFonts w:hint="eastAsia" w:ascii="仿宋_GB2312" w:hAnsi="黑体" w:eastAsia="仿宋_GB2312"/>
          <w:color w:val="000000" w:themeColor="text1"/>
          <w:sz w:val="32"/>
          <w:szCs w:val="32"/>
          <w:lang w:val="en-US" w:eastAsia="zh-CN"/>
          <w14:textFill>
            <w14:solidFill>
              <w14:schemeClr w14:val="tx1"/>
            </w14:solidFill>
          </w14:textFill>
        </w:rPr>
        <w:t>2026</w:t>
      </w:r>
      <w:r>
        <w:rPr>
          <w:rFonts w:hint="eastAsia" w:ascii="仿宋" w:hAnsi="仿宋" w:eastAsia="仿宋" w:cs="仿宋"/>
          <w:color w:val="000000" w:themeColor="text1"/>
          <w:sz w:val="32"/>
          <w:szCs w:val="32"/>
          <w14:textFill>
            <w14:solidFill>
              <w14:schemeClr w14:val="tx1"/>
            </w14:solidFill>
          </w14:textFill>
        </w:rPr>
        <w:t>年部门预算编制范围</w:t>
      </w:r>
    </w:p>
    <w:p w14:paraId="023E48A7">
      <w:pPr>
        <w:pStyle w:val="5"/>
        <w:numPr>
          <w:ilvl w:val="0"/>
          <w:numId w:val="5"/>
        </w:numPr>
        <w:spacing w:line="578" w:lineRule="exact"/>
        <w:ind w:firstLineChars="0"/>
        <w:jc w:val="lef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儋州市木棠镇中心学校本部</w:t>
      </w:r>
    </w:p>
    <w:p w14:paraId="2982C208">
      <w:pPr>
        <w:pStyle w:val="5"/>
        <w:numPr>
          <w:ilvl w:val="0"/>
          <w:numId w:val="5"/>
        </w:numPr>
        <w:spacing w:line="578" w:lineRule="exact"/>
        <w:ind w:firstLineChars="0"/>
        <w:jc w:val="lef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木棠镇高堂小学及附属幼儿园</w:t>
      </w:r>
    </w:p>
    <w:p w14:paraId="681FE458">
      <w:pPr>
        <w:pStyle w:val="5"/>
        <w:numPr>
          <w:ilvl w:val="0"/>
          <w:numId w:val="5"/>
        </w:numPr>
        <w:spacing w:line="578" w:lineRule="exact"/>
        <w:ind w:firstLineChars="0"/>
        <w:jc w:val="lef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木棠镇荣谋小学及附属幼儿园</w:t>
      </w:r>
    </w:p>
    <w:p w14:paraId="025F9FD8">
      <w:pPr>
        <w:spacing w:line="578" w:lineRule="exact"/>
        <w:ind w:firstLine="0"/>
        <w:jc w:val="center"/>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 xml:space="preserve">第二部分 </w:t>
      </w:r>
      <w:r>
        <w:rPr>
          <w:rFonts w:hint="eastAsia" w:ascii="仿宋_GB2312" w:hAnsi="黑体" w:eastAsia="仿宋_GB2312" w:cs="仿宋_GB2312"/>
          <w:color w:val="000000" w:themeColor="text1"/>
          <w:sz w:val="32"/>
          <w:szCs w:val="32"/>
          <w14:textFill>
            <w14:solidFill>
              <w14:schemeClr w14:val="tx1"/>
            </w14:solidFill>
          </w14:textFill>
        </w:rPr>
        <w:t xml:space="preserve"> </w:t>
      </w:r>
      <w:r>
        <w:rPr>
          <w:rFonts w:hint="eastAsia" w:ascii="黑体" w:hAnsi="黑体" w:eastAsia="黑体"/>
          <w:color w:val="000000" w:themeColor="text1"/>
          <w:sz w:val="32"/>
          <w:szCs w:val="32"/>
          <w14:textFill>
            <w14:solidFill>
              <w14:schemeClr w14:val="tx1"/>
            </w14:solidFill>
          </w14:textFill>
        </w:rPr>
        <w:t xml:space="preserve"> </w:t>
      </w:r>
      <w:r>
        <w:rPr>
          <w:rFonts w:hint="eastAsia" w:ascii="黑体" w:hAnsi="黑体" w:eastAsia="黑体" w:cs="黑体"/>
          <w:color w:val="000000" w:themeColor="text1"/>
          <w:sz w:val="32"/>
          <w:szCs w:val="32"/>
          <w:lang w:eastAsia="zh-CN"/>
          <w14:textFill>
            <w14:solidFill>
              <w14:schemeClr w14:val="tx1"/>
            </w14:solidFill>
          </w14:textFill>
        </w:rPr>
        <w:t>儋州市木棠镇中心学校</w:t>
      </w:r>
      <w:r>
        <w:rPr>
          <w:rFonts w:hint="eastAsia" w:ascii="黑体" w:hAnsi="黑体" w:eastAsia="黑体" w:cs="黑体"/>
          <w:color w:val="000000" w:themeColor="text1"/>
          <w:sz w:val="32"/>
          <w:szCs w:val="32"/>
          <w:lang w:val="en-US" w:eastAsia="zh-CN"/>
          <w14:textFill>
            <w14:solidFill>
              <w14:schemeClr w14:val="tx1"/>
            </w14:solidFill>
          </w14:textFill>
        </w:rPr>
        <w:t>2024</w:t>
      </w:r>
      <w:r>
        <w:rPr>
          <w:rFonts w:hint="eastAsia" w:ascii="黑体" w:hAnsi="黑体" w:eastAsia="黑体" w:cs="黑体"/>
          <w:color w:val="000000" w:themeColor="text1"/>
          <w:sz w:val="32"/>
          <w:szCs w:val="32"/>
          <w14:textFill>
            <w14:solidFill>
              <w14:schemeClr w14:val="tx1"/>
            </w14:solidFill>
          </w14:textFill>
        </w:rPr>
        <w:t>年部门（单位）预算表</w:t>
      </w:r>
    </w:p>
    <w:p w14:paraId="2562E1A4">
      <w:pPr>
        <w:spacing w:line="578" w:lineRule="exact"/>
        <w:ind w:left="800"/>
        <w:jc w:val="left"/>
        <w:rPr>
          <w:rFonts w:ascii="黑体" w:hAnsi="黑体" w:eastAsia="黑体"/>
          <w:color w:val="000000" w:themeColor="text1"/>
          <w:sz w:val="32"/>
          <w:szCs w:val="32"/>
          <w14:textFill>
            <w14:solidFill>
              <w14:schemeClr w14:val="tx1"/>
            </w14:solidFill>
          </w14:textFill>
        </w:rPr>
      </w:pPr>
    </w:p>
    <w:p w14:paraId="423D8C2F">
      <w:pPr>
        <w:spacing w:line="578" w:lineRule="exact"/>
        <w:ind w:left="800"/>
        <w:jc w:val="center"/>
        <w:rPr>
          <w:rFonts w:ascii="仿宋_GB2312" w:hAnsi="黑体" w:eastAsia="仿宋_GB2312"/>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（此部分内容即为部门或单位预算公开表）</w:t>
      </w:r>
    </w:p>
    <w:p w14:paraId="61F51330">
      <w:pPr>
        <w:spacing w:line="578" w:lineRule="exact"/>
        <w:rPr>
          <w:rFonts w:ascii="黑体" w:hAnsi="黑体" w:eastAsia="黑体"/>
          <w:color w:val="000000" w:themeColor="text1"/>
          <w:sz w:val="32"/>
          <w:szCs w:val="32"/>
          <w14:textFill>
            <w14:solidFill>
              <w14:schemeClr w14:val="tx1"/>
            </w14:solidFill>
          </w14:textFill>
        </w:rPr>
      </w:pPr>
    </w:p>
    <w:p w14:paraId="19D8AB64">
      <w:pPr>
        <w:spacing w:line="578" w:lineRule="exact"/>
        <w:ind w:left="0" w:firstLine="0"/>
        <w:jc w:val="center"/>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第</w:t>
      </w:r>
      <w:r>
        <w:rPr>
          <w:rFonts w:hint="eastAsia" w:ascii="黑体" w:hAnsi="黑体" w:eastAsia="黑体"/>
          <w:color w:val="000000" w:themeColor="text1"/>
          <w:sz w:val="32"/>
          <w:szCs w:val="32"/>
          <w:lang w:eastAsia="zh-CN"/>
          <w14:textFill>
            <w14:solidFill>
              <w14:schemeClr w14:val="tx1"/>
            </w14:solidFill>
          </w14:textFill>
        </w:rPr>
        <w:t>三</w:t>
      </w:r>
      <w:r>
        <w:rPr>
          <w:rFonts w:hint="eastAsia" w:ascii="黑体" w:hAnsi="黑体" w:eastAsia="黑体"/>
          <w:color w:val="000000" w:themeColor="text1"/>
          <w:sz w:val="32"/>
          <w:szCs w:val="32"/>
          <w14:textFill>
            <w14:solidFill>
              <w14:schemeClr w14:val="tx1"/>
            </w14:solidFill>
          </w14:textFill>
        </w:rPr>
        <w:t xml:space="preserve">部分  </w:t>
      </w:r>
      <w:r>
        <w:rPr>
          <w:rFonts w:hint="eastAsia" w:ascii="黑体" w:hAnsi="黑体" w:eastAsia="黑体" w:cs="黑体"/>
          <w:color w:val="000000" w:themeColor="text1"/>
          <w:sz w:val="32"/>
          <w:szCs w:val="32"/>
          <w:lang w:eastAsia="zh-CN"/>
          <w14:textFill>
            <w14:solidFill>
              <w14:schemeClr w14:val="tx1"/>
            </w14:solidFill>
          </w14:textFill>
        </w:rPr>
        <w:t>儋州市木棠镇中心学校</w:t>
      </w:r>
      <w:r>
        <w:rPr>
          <w:rFonts w:hint="eastAsia" w:ascii="黑体" w:hAnsi="黑体" w:eastAsia="黑体" w:cs="黑体"/>
          <w:color w:val="000000" w:themeColor="text1"/>
          <w:sz w:val="32"/>
          <w:szCs w:val="32"/>
          <w:lang w:val="en-US" w:eastAsia="zh-CN"/>
          <w14:textFill>
            <w14:solidFill>
              <w14:schemeClr w14:val="tx1"/>
            </w14:solidFill>
          </w14:textFill>
        </w:rPr>
        <w:t>2024</w:t>
      </w:r>
      <w:r>
        <w:rPr>
          <w:rFonts w:hint="eastAsia" w:ascii="黑体" w:hAnsi="黑体" w:eastAsia="黑体" w:cs="黑体"/>
          <w:color w:val="000000" w:themeColor="text1"/>
          <w:sz w:val="32"/>
          <w:szCs w:val="32"/>
          <w14:textFill>
            <w14:solidFill>
              <w14:schemeClr w14:val="tx1"/>
            </w14:solidFill>
          </w14:textFill>
        </w:rPr>
        <w:t>）</w:t>
      </w:r>
    </w:p>
    <w:p w14:paraId="37312EDB">
      <w:pPr>
        <w:spacing w:line="578" w:lineRule="exact"/>
        <w:ind w:left="0" w:firstLine="0"/>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预算情况说明</w:t>
      </w:r>
    </w:p>
    <w:p w14:paraId="66CAE649">
      <w:pPr>
        <w:spacing w:line="578" w:lineRule="exact"/>
        <w:jc w:val="center"/>
        <w:rPr>
          <w:rFonts w:ascii="黑体" w:hAnsi="黑体" w:eastAsia="黑体"/>
          <w:color w:val="000000" w:themeColor="text1"/>
          <w:sz w:val="32"/>
          <w:szCs w:val="32"/>
          <w14:textFill>
            <w14:solidFill>
              <w14:schemeClr w14:val="tx1"/>
            </w14:solidFill>
          </w14:textFill>
        </w:rPr>
      </w:pPr>
    </w:p>
    <w:p w14:paraId="30588940">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1D8C4549">
      <w:pPr>
        <w:spacing w:line="578" w:lineRule="exact"/>
        <w:ind w:firstLine="640" w:firstLineChars="200"/>
        <w:jc w:val="left"/>
        <w:rPr>
          <w:rFonts w:hint="eastAsia" w:ascii="仿宋" w:hAnsi="仿宋" w:eastAsia="仿宋" w:cs="仿宋"/>
          <w:color w:val="000000" w:themeColor="text1"/>
          <w:sz w:val="32"/>
          <w:szCs w:val="32"/>
          <w14:textFill>
            <w14:solidFill>
              <w14:schemeClr w14:val="tx1"/>
            </w14:solidFill>
          </w14:textFill>
        </w:rPr>
      </w:pPr>
      <w:r>
        <w:rPr>
          <w:rFonts w:hint="eastAsia" w:ascii="仿宋_GB2312" w:hAnsi="黑体" w:eastAsia="仿宋_GB2312"/>
          <w:sz w:val="32"/>
          <w:szCs w:val="32"/>
          <w:u w:val="none"/>
          <w:lang w:val="en-US" w:eastAsia="zh-CN"/>
        </w:rPr>
        <w:t>儋州市木棠镇中心学校2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w:t>
      </w:r>
      <w:r>
        <w:rPr>
          <w:rFonts w:hint="eastAsia" w:ascii="仿宋_GB2312" w:hAnsi="黑体" w:eastAsia="仿宋_GB2312"/>
          <w:sz w:val="32"/>
          <w:szCs w:val="32"/>
          <w:u w:val="none"/>
          <w:lang w:val="en-US" w:eastAsia="zh-CN"/>
        </w:rPr>
        <w:t>2534.63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w:t>
      </w:r>
      <w:r>
        <w:rPr>
          <w:rFonts w:hint="eastAsia" w:ascii="仿宋_GB2312" w:hAnsi="黑体" w:eastAsia="仿宋_GB2312" w:cs="仿宋_GB2312"/>
          <w:sz w:val="32"/>
          <w:szCs w:val="32"/>
          <w:u w:val="none"/>
          <w:lang w:val="en-US" w:eastAsia="zh-CN"/>
        </w:rPr>
        <w:t>29.68</w:t>
      </w:r>
      <w:r>
        <w:rPr>
          <w:rFonts w:hint="eastAsia" w:ascii="仿宋_GB2312" w:hAnsi="黑体" w:eastAsia="仿宋_GB2312"/>
          <w:sz w:val="32"/>
          <w:szCs w:val="32"/>
          <w:u w:val="none"/>
        </w:rPr>
        <w:t>万元主要</w:t>
      </w:r>
      <w:r>
        <w:rPr>
          <w:rFonts w:hint="eastAsia" w:ascii="仿宋_GB2312" w:hAnsi="黑体" w:eastAsia="仿宋_GB2312"/>
          <w:sz w:val="32"/>
          <w:szCs w:val="32"/>
          <w:u w:val="none"/>
          <w:lang w:val="en-US" w:eastAsia="zh-CN"/>
        </w:rPr>
        <w:t>是在编人员较少</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olor w:val="auto"/>
          <w:sz w:val="32"/>
          <w:szCs w:val="32"/>
          <w:highlight w:val="none"/>
          <w:u w:val="none"/>
          <w:lang w:val="en-US" w:eastAsia="zh-CN"/>
        </w:rPr>
        <w:t>2534.63</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olor w:val="auto"/>
          <w:sz w:val="32"/>
          <w:szCs w:val="32"/>
          <w:highlight w:val="none"/>
          <w:u w:val="none"/>
          <w:lang w:val="en-US" w:eastAsia="zh-CN"/>
        </w:rPr>
        <w:t>2532.79</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1.84</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p>
    <w:p w14:paraId="59864877">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5DAC9B9B">
      <w:pPr>
        <w:spacing w:line="578" w:lineRule="exact"/>
        <w:ind w:firstLine="640"/>
        <w:jc w:val="left"/>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（一）一般公共预算当年规模变化情况</w:t>
      </w:r>
    </w:p>
    <w:p w14:paraId="41199E64">
      <w:pPr>
        <w:spacing w:line="578"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儋州市木棠镇中心学校</w:t>
      </w:r>
      <w:r>
        <w:rPr>
          <w:rFonts w:hint="eastAsia" w:ascii="仿宋_GB2312" w:hAnsi="黑体" w:eastAsia="仿宋_GB2312"/>
          <w:color w:val="000000" w:themeColor="text1"/>
          <w:sz w:val="32"/>
          <w:szCs w:val="32"/>
          <w:lang w:val="en-US" w:eastAsia="zh-CN"/>
          <w14:textFill>
            <w14:solidFill>
              <w14:schemeClr w14:val="tx1"/>
            </w14:solidFill>
          </w14:textFill>
        </w:rPr>
        <w:t>2026</w:t>
      </w:r>
      <w:r>
        <w:rPr>
          <w:rFonts w:hint="eastAsia" w:ascii="仿宋" w:hAnsi="仿宋" w:eastAsia="仿宋" w:cs="仿宋"/>
          <w:color w:val="000000" w:themeColor="text1"/>
          <w:sz w:val="32"/>
          <w:szCs w:val="32"/>
          <w14:textFill>
            <w14:solidFill>
              <w14:schemeClr w14:val="tx1"/>
            </w14:solidFill>
          </w14:textFill>
        </w:rPr>
        <w:t>年一般公共预算当年拨款</w:t>
      </w:r>
      <w:r>
        <w:rPr>
          <w:rFonts w:hint="eastAsia" w:ascii="仿宋" w:hAnsi="仿宋" w:eastAsia="仿宋" w:cs="仿宋"/>
          <w:color w:val="000000" w:themeColor="text1"/>
          <w:sz w:val="32"/>
          <w:szCs w:val="32"/>
          <w:lang w:val="en-US" w:eastAsia="zh-CN"/>
          <w14:textFill>
            <w14:solidFill>
              <w14:schemeClr w14:val="tx1"/>
            </w14:solidFill>
          </w14:textFill>
        </w:rPr>
        <w:t>2532.79</w:t>
      </w:r>
      <w:r>
        <w:rPr>
          <w:rFonts w:hint="eastAsia" w:ascii="仿宋" w:hAnsi="仿宋" w:eastAsia="仿宋" w:cs="仿宋"/>
          <w:color w:val="000000" w:themeColor="text1"/>
          <w:sz w:val="32"/>
          <w:szCs w:val="32"/>
          <w14:textFill>
            <w14:solidFill>
              <w14:schemeClr w14:val="tx1"/>
            </w14:solidFill>
          </w14:textFill>
        </w:rPr>
        <w:t>万元，比上年预算</w:t>
      </w:r>
      <w:r>
        <w:rPr>
          <w:rFonts w:hint="eastAsia" w:ascii="仿宋" w:hAnsi="仿宋" w:eastAsia="仿宋" w:cs="仿宋"/>
          <w:color w:val="000000" w:themeColor="text1"/>
          <w:sz w:val="32"/>
          <w:szCs w:val="32"/>
          <w:lang w:eastAsia="zh-CN"/>
          <w14:textFill>
            <w14:solidFill>
              <w14:schemeClr w14:val="tx1"/>
            </w14:solidFill>
          </w14:textFill>
        </w:rPr>
        <w:t>减少</w:t>
      </w:r>
      <w:r>
        <w:rPr>
          <w:rFonts w:hint="eastAsia" w:ascii="仿宋" w:hAnsi="仿宋" w:eastAsia="仿宋" w:cs="仿宋"/>
          <w:color w:val="000000" w:themeColor="text1"/>
          <w:sz w:val="32"/>
          <w:szCs w:val="32"/>
          <w:lang w:val="en-US" w:eastAsia="zh-CN"/>
          <w14:textFill>
            <w14:solidFill>
              <w14:schemeClr w14:val="tx1"/>
            </w14:solidFill>
          </w14:textFill>
        </w:rPr>
        <w:t>30.15</w:t>
      </w:r>
      <w:r>
        <w:rPr>
          <w:rFonts w:hint="eastAsia" w:ascii="仿宋" w:hAnsi="仿宋" w:eastAsia="仿宋" w:cs="仿宋"/>
          <w:color w:val="000000" w:themeColor="text1"/>
          <w:sz w:val="32"/>
          <w:szCs w:val="32"/>
          <w14:textFill>
            <w14:solidFill>
              <w14:schemeClr w14:val="tx1"/>
            </w14:solidFill>
          </w14:textFill>
        </w:rPr>
        <w:t>万元，主要是</w:t>
      </w:r>
      <w:r>
        <w:rPr>
          <w:rFonts w:hint="eastAsia" w:ascii="仿宋" w:hAnsi="仿宋" w:eastAsia="仿宋" w:cs="仿宋"/>
          <w:color w:val="000000" w:themeColor="text1"/>
          <w:sz w:val="32"/>
          <w:szCs w:val="32"/>
          <w:lang w:eastAsia="zh-CN"/>
          <w14:textFill>
            <w14:solidFill>
              <w14:schemeClr w14:val="tx1"/>
            </w14:solidFill>
          </w14:textFill>
        </w:rPr>
        <w:t>人员退休及在编人员</w:t>
      </w:r>
      <w:r>
        <w:rPr>
          <w:rFonts w:hint="eastAsia" w:ascii="仿宋" w:hAnsi="仿宋" w:eastAsia="仿宋" w:cs="仿宋"/>
          <w:color w:val="000000" w:themeColor="text1"/>
          <w:sz w:val="32"/>
          <w:szCs w:val="32"/>
          <w:lang w:val="en-US" w:eastAsia="zh-CN"/>
          <w14:textFill>
            <w14:solidFill>
              <w14:schemeClr w14:val="tx1"/>
            </w14:solidFill>
          </w14:textFill>
        </w:rPr>
        <w:t>调出</w:t>
      </w:r>
      <w:r>
        <w:rPr>
          <w:rFonts w:hint="eastAsia" w:ascii="仿宋" w:hAnsi="仿宋" w:eastAsia="仿宋" w:cs="仿宋"/>
          <w:color w:val="000000" w:themeColor="text1"/>
          <w:sz w:val="32"/>
          <w:szCs w:val="32"/>
          <w:lang w:eastAsia="zh-CN"/>
          <w14:textFill>
            <w14:solidFill>
              <w14:schemeClr w14:val="tx1"/>
            </w14:solidFill>
          </w14:textFill>
        </w:rPr>
        <w:t>。</w:t>
      </w:r>
    </w:p>
    <w:p w14:paraId="4AF9E6F0">
      <w:pPr>
        <w:spacing w:line="578" w:lineRule="exact"/>
        <w:ind w:firstLine="640"/>
        <w:jc w:val="left"/>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（二）一般公共预算当年拨款结构情况</w:t>
      </w:r>
    </w:p>
    <w:p w14:paraId="57E37A0B">
      <w:pPr>
        <w:spacing w:line="578" w:lineRule="exact"/>
        <w:ind w:firstLine="800" w:firstLineChars="25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一般公共服务（类）支出</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万元，占</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%；外交（类）支出</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万元，占</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%；教育（类）支出</w:t>
      </w:r>
      <w:r>
        <w:rPr>
          <w:rFonts w:hint="eastAsia" w:ascii="仿宋" w:hAnsi="仿宋" w:eastAsia="仿宋" w:cs="仿宋"/>
          <w:color w:val="000000" w:themeColor="text1"/>
          <w:sz w:val="32"/>
          <w:szCs w:val="32"/>
          <w:lang w:val="en-US" w:eastAsia="zh-CN"/>
          <w14:textFill>
            <w14:solidFill>
              <w14:schemeClr w14:val="tx1"/>
            </w14:solidFill>
          </w14:textFill>
        </w:rPr>
        <w:t>1660.09</w:t>
      </w:r>
      <w:r>
        <w:rPr>
          <w:rFonts w:hint="eastAsia" w:ascii="仿宋" w:hAnsi="仿宋" w:eastAsia="仿宋" w:cs="仿宋"/>
          <w:color w:val="000000" w:themeColor="text1"/>
          <w:sz w:val="32"/>
          <w:szCs w:val="32"/>
          <w14:textFill>
            <w14:solidFill>
              <w14:schemeClr w14:val="tx1"/>
            </w14:solidFill>
          </w14:textFill>
        </w:rPr>
        <w:t>万元，占</w:t>
      </w:r>
      <w:r>
        <w:rPr>
          <w:rFonts w:hint="eastAsia" w:ascii="仿宋" w:hAnsi="仿宋" w:eastAsia="仿宋" w:cs="仿宋"/>
          <w:color w:val="000000" w:themeColor="text1"/>
          <w:sz w:val="32"/>
          <w:szCs w:val="32"/>
          <w:lang w:val="en-US" w:eastAsia="zh-CN"/>
          <w14:textFill>
            <w14:solidFill>
              <w14:schemeClr w14:val="tx1"/>
            </w14:solidFill>
          </w14:textFill>
        </w:rPr>
        <w:t>65.54</w:t>
      </w:r>
      <w:r>
        <w:rPr>
          <w:rFonts w:hint="eastAsia" w:ascii="仿宋" w:hAnsi="仿宋" w:eastAsia="仿宋" w:cs="仿宋"/>
          <w:color w:val="000000" w:themeColor="text1"/>
          <w:sz w:val="32"/>
          <w:szCs w:val="32"/>
          <w14:textFill>
            <w14:solidFill>
              <w14:schemeClr w14:val="tx1"/>
            </w14:solidFill>
          </w14:textFill>
        </w:rPr>
        <w:t>%； 社会保障和就业支出</w:t>
      </w:r>
      <w:r>
        <w:rPr>
          <w:rFonts w:hint="eastAsia" w:ascii="仿宋" w:hAnsi="仿宋" w:eastAsia="仿宋" w:cs="仿宋"/>
          <w:color w:val="000000" w:themeColor="text1"/>
          <w:sz w:val="32"/>
          <w:szCs w:val="32"/>
          <w:lang w:val="en-US" w:eastAsia="zh-CN"/>
          <w14:textFill>
            <w14:solidFill>
              <w14:schemeClr w14:val="tx1"/>
            </w14:solidFill>
          </w14:textFill>
        </w:rPr>
        <w:t>358.01万元。占14.14%； 卫生健康支出344.87万元，占13.62%； 住房保障支出171.66万元，占6.77%</w:t>
      </w:r>
      <w:r>
        <w:rPr>
          <w:rFonts w:hint="eastAsia" w:ascii="仿宋" w:hAnsi="仿宋" w:eastAsia="仿宋" w:cs="仿宋"/>
          <w:color w:val="000000" w:themeColor="text1"/>
          <w:sz w:val="32"/>
          <w:szCs w:val="32"/>
          <w14:textFill>
            <w14:solidFill>
              <w14:schemeClr w14:val="tx1"/>
            </w14:solidFill>
          </w14:textFill>
        </w:rPr>
        <w:t>科学技术（类）支出</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万元，占</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w:t>
      </w:r>
    </w:p>
    <w:p w14:paraId="033B61D5">
      <w:pPr>
        <w:spacing w:line="578" w:lineRule="exact"/>
        <w:ind w:firstLine="640"/>
        <w:jc w:val="left"/>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（三）一般公共预算当年拨款具体使用情况</w:t>
      </w:r>
    </w:p>
    <w:p w14:paraId="78482625">
      <w:pPr>
        <w:spacing w:line="578"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1.一般公共服务（类）人大事务（款）行政运行（项）</w:t>
      </w:r>
      <w:r>
        <w:rPr>
          <w:rFonts w:hint="eastAsia" w:ascii="仿宋" w:hAnsi="仿宋" w:eastAsia="仿宋" w:cs="仿宋"/>
          <w:color w:val="000000" w:themeColor="text1"/>
          <w:sz w:val="32"/>
          <w:szCs w:val="32"/>
          <w:lang w:val="en-US" w:eastAsia="zh-CN"/>
          <w14:textFill>
            <w14:solidFill>
              <w14:schemeClr w14:val="tx1"/>
            </w14:solidFill>
          </w14:textFill>
        </w:rPr>
        <w:t>2026</w:t>
      </w:r>
      <w:r>
        <w:rPr>
          <w:rFonts w:hint="eastAsia" w:ascii="仿宋" w:hAnsi="仿宋" w:eastAsia="仿宋" w:cs="仿宋"/>
          <w:color w:val="000000" w:themeColor="text1"/>
          <w:sz w:val="32"/>
          <w:szCs w:val="32"/>
          <w14:textFill>
            <w14:solidFill>
              <w14:schemeClr w14:val="tx1"/>
            </w14:solidFill>
          </w14:textFill>
        </w:rPr>
        <w:t>年预算数为</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万元，比上年预算数持平</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万元，主要是……</w:t>
      </w:r>
    </w:p>
    <w:p w14:paraId="7B2192F1">
      <w:pPr>
        <w:spacing w:line="578"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 一般公共服务（类）人大事务（款）一般行政管理事务（项）</w:t>
      </w:r>
      <w:r>
        <w:rPr>
          <w:rFonts w:hint="eastAsia" w:ascii="仿宋" w:hAnsi="仿宋" w:eastAsia="仿宋" w:cs="仿宋"/>
          <w:color w:val="000000" w:themeColor="text1"/>
          <w:sz w:val="32"/>
          <w:szCs w:val="32"/>
          <w:lang w:val="en-US" w:eastAsia="zh-CN"/>
          <w14:textFill>
            <w14:solidFill>
              <w14:schemeClr w14:val="tx1"/>
            </w14:solidFill>
          </w14:textFill>
        </w:rPr>
        <w:t>2026</w:t>
      </w:r>
      <w:r>
        <w:rPr>
          <w:rFonts w:hint="eastAsia" w:ascii="仿宋" w:hAnsi="仿宋" w:eastAsia="仿宋" w:cs="仿宋"/>
          <w:color w:val="000000" w:themeColor="text1"/>
          <w:sz w:val="32"/>
          <w:szCs w:val="32"/>
          <w14:textFill>
            <w14:solidFill>
              <w14:schemeClr w14:val="tx1"/>
            </w14:solidFill>
          </w14:textFill>
        </w:rPr>
        <w:t>年预算数为</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万元，比上年预算数增加持平</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万元，主要是</w:t>
      </w:r>
      <w:r>
        <w:rPr>
          <w:rFonts w:hint="eastAsia" w:ascii="仿宋" w:hAnsi="仿宋" w:eastAsia="仿宋" w:cs="仿宋"/>
          <w:color w:val="000000" w:themeColor="text1"/>
          <w:sz w:val="32"/>
          <w:szCs w:val="32"/>
          <w:lang w:eastAsia="zh-CN"/>
          <w14:textFill>
            <w14:solidFill>
              <w14:schemeClr w14:val="tx1"/>
            </w14:solidFill>
          </w14:textFill>
        </w:rPr>
        <w:t>没有此项目的预算收支。</w:t>
      </w:r>
    </w:p>
    <w:p w14:paraId="374F1EBC">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7EB4D007">
      <w:pPr>
        <w:spacing w:line="578"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儋州市木棠镇中心学校</w:t>
      </w:r>
      <w:r>
        <w:rPr>
          <w:rFonts w:hint="eastAsia" w:ascii="仿宋_GB2312" w:hAnsi="黑体" w:eastAsia="仿宋_GB2312"/>
          <w:color w:val="000000" w:themeColor="text1"/>
          <w:sz w:val="32"/>
          <w:szCs w:val="32"/>
          <w:lang w:val="en-US" w:eastAsia="zh-CN"/>
          <w14:textFill>
            <w14:solidFill>
              <w14:schemeClr w14:val="tx1"/>
            </w14:solidFill>
          </w14:textFill>
        </w:rPr>
        <w:t>2026</w:t>
      </w:r>
      <w:r>
        <w:rPr>
          <w:rFonts w:hint="eastAsia" w:ascii="仿宋" w:hAnsi="仿宋" w:eastAsia="仿宋" w:cs="仿宋"/>
          <w:color w:val="000000" w:themeColor="text1"/>
          <w:sz w:val="32"/>
          <w:szCs w:val="32"/>
          <w14:textFill>
            <w14:solidFill>
              <w14:schemeClr w14:val="tx1"/>
            </w14:solidFill>
          </w14:textFill>
        </w:rPr>
        <w:t>年一般公共预算基本支出为</w:t>
      </w:r>
      <w:r>
        <w:rPr>
          <w:rFonts w:hint="eastAsia" w:ascii="仿宋" w:hAnsi="仿宋" w:eastAsia="仿宋" w:cs="仿宋"/>
          <w:color w:val="000000" w:themeColor="text1"/>
          <w:sz w:val="32"/>
          <w:szCs w:val="32"/>
          <w:lang w:val="en-US" w:eastAsia="zh-CN"/>
          <w14:textFill>
            <w14:solidFill>
              <w14:schemeClr w14:val="tx1"/>
            </w14:solidFill>
          </w14:textFill>
        </w:rPr>
        <w:t>2469.36</w:t>
      </w:r>
      <w:r>
        <w:rPr>
          <w:rFonts w:hint="eastAsia" w:ascii="仿宋" w:hAnsi="仿宋" w:eastAsia="仿宋" w:cs="仿宋"/>
          <w:color w:val="000000" w:themeColor="text1"/>
          <w:sz w:val="32"/>
          <w:szCs w:val="32"/>
          <w14:textFill>
            <w14:solidFill>
              <w14:schemeClr w14:val="tx1"/>
            </w14:solidFill>
          </w14:textFill>
        </w:rPr>
        <w:t>万元，其中：人员经费</w:t>
      </w:r>
      <w:r>
        <w:rPr>
          <w:rFonts w:hint="eastAsia" w:ascii="仿宋" w:hAnsi="仿宋" w:eastAsia="仿宋" w:cs="仿宋"/>
          <w:color w:val="000000" w:themeColor="text1"/>
          <w:sz w:val="32"/>
          <w:szCs w:val="32"/>
          <w:lang w:val="en-US" w:eastAsia="zh-CN"/>
          <w14:textFill>
            <w14:solidFill>
              <w14:schemeClr w14:val="tx1"/>
            </w14:solidFill>
          </w14:textFill>
        </w:rPr>
        <w:t>2445.87</w:t>
      </w:r>
      <w:r>
        <w:rPr>
          <w:rFonts w:hint="eastAsia" w:ascii="仿宋" w:hAnsi="仿宋" w:eastAsia="仿宋" w:cs="仿宋"/>
          <w:color w:val="000000" w:themeColor="text1"/>
          <w:sz w:val="32"/>
          <w:szCs w:val="32"/>
          <w14:textFill>
            <w14:solidFill>
              <w14:schemeClr w14:val="tx1"/>
            </w14:solidFill>
          </w14:textFill>
        </w:rPr>
        <w:t>万元，主要包括：基本工资、津贴补贴、奖金、社会保障缴费、……;</w:t>
      </w:r>
    </w:p>
    <w:p w14:paraId="4220FD5D">
      <w:pPr>
        <w:spacing w:line="578"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公用经费23.49万元，主要包括：办公费、咨询费、手续费、水费、电费、……。</w:t>
      </w:r>
    </w:p>
    <w:p w14:paraId="1BE8B2FC">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44774546">
      <w:pPr>
        <w:spacing w:line="578" w:lineRule="exact"/>
        <w:ind w:firstLine="630"/>
        <w:rPr>
          <w:rFonts w:hint="eastAsia" w:ascii="仿宋" w:hAnsi="仿宋" w:eastAsia="仿宋" w:cs="仿宋"/>
          <w:color w:val="000000" w:themeColor="text1"/>
          <w:sz w:val="32"/>
          <w:shd w:val="clear" w:color="auto" w:fill="FFFFFF"/>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w:t>
      </w:r>
      <w:r>
        <w:rPr>
          <w:rFonts w:hint="eastAsia" w:ascii="仿宋" w:hAnsi="仿宋" w:eastAsia="仿宋" w:cs="仿宋"/>
          <w:color w:val="000000" w:themeColor="text1"/>
          <w:sz w:val="32"/>
          <w:szCs w:val="32"/>
          <w:lang w:eastAsia="zh-CN"/>
          <w14:textFill>
            <w14:solidFill>
              <w14:schemeClr w14:val="tx1"/>
            </w14:solidFill>
          </w14:textFill>
        </w:rPr>
        <w:t>儋州市木棠镇中心学校</w:t>
      </w:r>
      <w:r>
        <w:rPr>
          <w:rFonts w:hint="eastAsia" w:ascii="仿宋" w:hAnsi="仿宋" w:eastAsia="仿宋" w:cs="仿宋"/>
          <w:color w:val="000000" w:themeColor="text1"/>
          <w:sz w:val="32"/>
          <w:szCs w:val="32"/>
          <w:lang w:val="en-US" w:eastAsia="zh-CN"/>
          <w14:textFill>
            <w14:solidFill>
              <w14:schemeClr w14:val="tx1"/>
            </w14:solidFill>
          </w14:textFill>
        </w:rPr>
        <w:t>2026</w:t>
      </w:r>
      <w:r>
        <w:rPr>
          <w:rFonts w:hint="eastAsia" w:ascii="仿宋" w:hAnsi="仿宋" w:eastAsia="仿宋" w:cs="仿宋"/>
          <w:color w:val="000000" w:themeColor="text1"/>
          <w:sz w:val="32"/>
          <w:szCs w:val="32"/>
          <w14:textFill>
            <w14:solidFill>
              <w14:schemeClr w14:val="tx1"/>
            </w14:solidFill>
          </w14:textFill>
        </w:rPr>
        <w:t>年一般公共预算“三公”经费预算数为</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p>
    <w:p w14:paraId="795698C0">
      <w:pPr>
        <w:spacing w:line="578" w:lineRule="exact"/>
        <w:rPr>
          <w:rFonts w:hint="eastAsia" w:ascii="仿宋" w:hAnsi="仿宋" w:eastAsia="仿宋" w:cs="仿宋"/>
          <w:color w:val="000000" w:themeColor="text1"/>
          <w:sz w:val="32"/>
          <w:shd w:val="clear" w:color="auto" w:fill="FFFFFF"/>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w:t>
      </w:r>
      <w:r>
        <w:rPr>
          <w:rFonts w:hint="eastAsia" w:ascii="仿宋" w:hAnsi="仿宋" w:eastAsia="仿宋" w:cs="仿宋"/>
          <w:color w:val="000000" w:themeColor="text1"/>
          <w:sz w:val="32"/>
          <w:szCs w:val="32"/>
          <w:lang w:eastAsia="zh-CN"/>
          <w14:textFill>
            <w14:solidFill>
              <w14:schemeClr w14:val="tx1"/>
            </w14:solidFill>
          </w14:textFill>
        </w:rPr>
        <w:t>儋州市木棠镇中心学校</w:t>
      </w:r>
      <w:r>
        <w:rPr>
          <w:rFonts w:hint="eastAsia" w:ascii="仿宋" w:hAnsi="仿宋" w:eastAsia="仿宋" w:cs="仿宋"/>
          <w:color w:val="000000" w:themeColor="text1"/>
          <w:sz w:val="32"/>
          <w:szCs w:val="32"/>
          <w:lang w:val="en-US" w:eastAsia="zh-CN"/>
          <w14:textFill>
            <w14:solidFill>
              <w14:schemeClr w14:val="tx1"/>
            </w14:solidFill>
          </w14:textFill>
        </w:rPr>
        <w:t>2026</w:t>
      </w:r>
      <w:r>
        <w:rPr>
          <w:rFonts w:hint="eastAsia" w:ascii="仿宋" w:hAnsi="仿宋" w:eastAsia="仿宋" w:cs="仿宋"/>
          <w:color w:val="000000" w:themeColor="text1"/>
          <w:sz w:val="32"/>
          <w:szCs w:val="32"/>
          <w14:textFill>
            <w14:solidFill>
              <w14:schemeClr w14:val="tx1"/>
            </w14:solidFill>
          </w14:textFill>
        </w:rPr>
        <w:t>年政府性基金预算“三公”经费预算数为</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hd w:val="clear" w:color="auto" w:fill="FFFFFF"/>
          <w14:textFill>
            <w14:solidFill>
              <w14:schemeClr w14:val="tx1"/>
            </w14:solidFill>
          </w14:textFill>
        </w:rPr>
        <w:t>。</w:t>
      </w:r>
    </w:p>
    <w:p w14:paraId="0357ACDE">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10D4371E">
      <w:pPr>
        <w:spacing w:line="578" w:lineRule="exact"/>
        <w:ind w:firstLine="640"/>
        <w:jc w:val="left"/>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（一）政府性基金预算当年规模变化情况</w:t>
      </w:r>
    </w:p>
    <w:p w14:paraId="396723A9">
      <w:pPr>
        <w:spacing w:line="578"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儋州市木棠镇中心学校</w:t>
      </w:r>
      <w:r>
        <w:rPr>
          <w:rFonts w:hint="eastAsia" w:ascii="黑体" w:hAnsi="黑体" w:eastAsia="黑体" w:cs="Times New Roman"/>
          <w:color w:val="000000" w:themeColor="text1"/>
          <w:sz w:val="32"/>
          <w:shd w:val="clear" w:color="auto" w:fill="FFFFFF"/>
          <w:lang w:val="en-US" w:eastAsia="zh-CN"/>
          <w14:textFill>
            <w14:solidFill>
              <w14:schemeClr w14:val="tx1"/>
            </w14:solidFill>
          </w14:textFill>
        </w:rPr>
        <w:t>2026</w:t>
      </w:r>
      <w:r>
        <w:rPr>
          <w:rFonts w:hint="eastAsia" w:ascii="仿宋" w:hAnsi="仿宋" w:eastAsia="仿宋" w:cs="仿宋"/>
          <w:color w:val="000000" w:themeColor="text1"/>
          <w:sz w:val="32"/>
          <w:szCs w:val="32"/>
          <w14:textFill>
            <w14:solidFill>
              <w14:schemeClr w14:val="tx1"/>
            </w14:solidFill>
          </w14:textFill>
        </w:rPr>
        <w:t>年政府性基金预算当年拨款</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万元，比上年预算数持平</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主要是</w:t>
      </w:r>
      <w:r>
        <w:rPr>
          <w:rFonts w:hint="eastAsia" w:ascii="仿宋" w:hAnsi="仿宋" w:eastAsia="仿宋" w:cs="仿宋"/>
          <w:color w:val="000000" w:themeColor="text1"/>
          <w:sz w:val="32"/>
          <w:szCs w:val="32"/>
          <w:lang w:val="en-US" w:eastAsia="zh-CN"/>
          <w14:textFill>
            <w14:solidFill>
              <w14:schemeClr w14:val="tx1"/>
            </w14:solidFill>
          </w14:textFill>
        </w:rPr>
        <w:t>2024年及2025年均没有政府性预算</w:t>
      </w:r>
      <w:r>
        <w:rPr>
          <w:rFonts w:hint="eastAsia" w:ascii="仿宋" w:hAnsi="仿宋" w:eastAsia="仿宋" w:cs="仿宋"/>
          <w:color w:val="000000" w:themeColor="text1"/>
          <w:sz w:val="32"/>
          <w:szCs w:val="32"/>
          <w14:textFill>
            <w14:solidFill>
              <w14:schemeClr w14:val="tx1"/>
            </w14:solidFill>
          </w14:textFill>
        </w:rPr>
        <w:t>。</w:t>
      </w:r>
    </w:p>
    <w:p w14:paraId="6ED44537">
      <w:pPr>
        <w:spacing w:line="578" w:lineRule="exact"/>
        <w:ind w:firstLine="640"/>
        <w:jc w:val="left"/>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（二）政府性基金预算当年拨款结构情况</w:t>
      </w:r>
    </w:p>
    <w:p w14:paraId="0F645B2F">
      <w:pPr>
        <w:spacing w:line="578" w:lineRule="exact"/>
        <w:ind w:firstLine="800" w:firstLineChars="25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科学技术支出（类）支出</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万元，占</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%；文化体育与传媒支出（类）支出</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万元，占</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%；社会保障和就业支出（类）支出</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万元，占</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%；节能环保（类）支出</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万元，占</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w:t>
      </w:r>
    </w:p>
    <w:p w14:paraId="58E4300C">
      <w:pPr>
        <w:spacing w:line="578" w:lineRule="exact"/>
        <w:ind w:firstLine="640"/>
        <w:jc w:val="left"/>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（三）政府性基金预算当年拨款具体使用情况</w:t>
      </w:r>
    </w:p>
    <w:p w14:paraId="719F5FB8">
      <w:pPr>
        <w:spacing w:line="578"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 科学技术支出（类）核电站乏燃料处理处置基金支出（款）乏燃料运输（项）</w:t>
      </w:r>
      <w:r>
        <w:rPr>
          <w:rFonts w:hint="eastAsia" w:ascii="仿宋" w:hAnsi="仿宋" w:eastAsia="仿宋" w:cs="仿宋"/>
          <w:color w:val="000000" w:themeColor="text1"/>
          <w:sz w:val="32"/>
          <w:szCs w:val="32"/>
          <w:lang w:val="en-US" w:eastAsia="zh-CN"/>
          <w14:textFill>
            <w14:solidFill>
              <w14:schemeClr w14:val="tx1"/>
            </w14:solidFill>
          </w14:textFill>
        </w:rPr>
        <w:t>2026</w:t>
      </w:r>
      <w:r>
        <w:rPr>
          <w:rFonts w:hint="eastAsia" w:ascii="仿宋" w:hAnsi="仿宋" w:eastAsia="仿宋" w:cs="仿宋"/>
          <w:color w:val="000000" w:themeColor="text1"/>
          <w:sz w:val="32"/>
          <w:szCs w:val="32"/>
          <w14:textFill>
            <w14:solidFill>
              <w14:schemeClr w14:val="tx1"/>
            </w14:solidFill>
          </w14:textFill>
        </w:rPr>
        <w:t>年预算数为</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万元，比上年预算数持平</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万元，主要是</w:t>
      </w:r>
      <w:r>
        <w:rPr>
          <w:rFonts w:hint="eastAsia" w:ascii="仿宋" w:hAnsi="仿宋" w:eastAsia="仿宋" w:cs="仿宋"/>
          <w:color w:val="000000" w:themeColor="text1"/>
          <w:sz w:val="32"/>
          <w:szCs w:val="32"/>
          <w:lang w:val="en-US" w:eastAsia="zh-CN"/>
          <w14:textFill>
            <w14:solidFill>
              <w14:schemeClr w14:val="tx1"/>
            </w14:solidFill>
          </w14:textFill>
        </w:rPr>
        <w:t>2024年及2025年均没有政府性预算</w:t>
      </w:r>
      <w:r>
        <w:rPr>
          <w:rFonts w:hint="eastAsia" w:ascii="仿宋" w:hAnsi="仿宋" w:eastAsia="仿宋" w:cs="仿宋"/>
          <w:color w:val="000000" w:themeColor="text1"/>
          <w:sz w:val="32"/>
          <w:szCs w:val="32"/>
          <w14:textFill>
            <w14:solidFill>
              <w14:schemeClr w14:val="tx1"/>
            </w14:solidFill>
          </w14:textFill>
        </w:rPr>
        <w:t>。</w:t>
      </w:r>
    </w:p>
    <w:p w14:paraId="118074C3">
      <w:pPr>
        <w:spacing w:line="578"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 科学技术支出（类）核电站乏燃料处理处置基金支出（款）乏燃料离堆贮存（项）</w:t>
      </w:r>
      <w:r>
        <w:rPr>
          <w:rFonts w:hint="eastAsia" w:ascii="仿宋" w:hAnsi="仿宋" w:eastAsia="仿宋" w:cs="仿宋"/>
          <w:color w:val="000000" w:themeColor="text1"/>
          <w:sz w:val="32"/>
          <w:szCs w:val="32"/>
          <w:lang w:val="en-US" w:eastAsia="zh-CN"/>
          <w14:textFill>
            <w14:solidFill>
              <w14:schemeClr w14:val="tx1"/>
            </w14:solidFill>
          </w14:textFill>
        </w:rPr>
        <w:t>2026</w:t>
      </w:r>
      <w:r>
        <w:rPr>
          <w:rFonts w:hint="eastAsia" w:ascii="仿宋" w:hAnsi="仿宋" w:eastAsia="仿宋" w:cs="仿宋"/>
          <w:color w:val="000000" w:themeColor="text1"/>
          <w:sz w:val="32"/>
          <w:szCs w:val="32"/>
          <w14:textFill>
            <w14:solidFill>
              <w14:schemeClr w14:val="tx1"/>
            </w14:solidFill>
          </w14:textFill>
        </w:rPr>
        <w:t>年预算数为</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万元，比上年预算持平</w:t>
      </w:r>
      <w:r>
        <w:rPr>
          <w:rFonts w:hint="eastAsia" w:ascii="仿宋" w:hAnsi="仿宋" w:eastAsia="仿宋" w:cs="仿宋"/>
          <w:color w:val="000000" w:themeColor="text1"/>
          <w:sz w:val="32"/>
          <w:szCs w:val="32"/>
          <w:lang w:val="en-US" w:eastAsia="zh-CN"/>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万元，主要是</w:t>
      </w:r>
      <w:r>
        <w:rPr>
          <w:rFonts w:hint="eastAsia" w:ascii="仿宋" w:hAnsi="仿宋" w:eastAsia="仿宋" w:cs="仿宋"/>
          <w:color w:val="000000" w:themeColor="text1"/>
          <w:sz w:val="32"/>
          <w:szCs w:val="32"/>
          <w:lang w:val="en-US" w:eastAsia="zh-CN"/>
          <w14:textFill>
            <w14:solidFill>
              <w14:schemeClr w14:val="tx1"/>
            </w14:solidFill>
          </w14:textFill>
        </w:rPr>
        <w:t>2024年及2025年均没有政府性预算</w:t>
      </w:r>
      <w:r>
        <w:rPr>
          <w:rFonts w:hint="eastAsia" w:ascii="仿宋" w:hAnsi="仿宋" w:eastAsia="仿宋" w:cs="仿宋"/>
          <w:color w:val="000000" w:themeColor="text1"/>
          <w:sz w:val="32"/>
          <w:szCs w:val="32"/>
          <w14:textFill>
            <w14:solidFill>
              <w14:schemeClr w14:val="tx1"/>
            </w14:solidFill>
          </w14:textFill>
        </w:rPr>
        <w:t>。</w:t>
      </w:r>
    </w:p>
    <w:p w14:paraId="6384BCB0">
      <w:pPr>
        <w:spacing w:line="578"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p>
    <w:p w14:paraId="115F310F">
      <w:pPr>
        <w:numPr>
          <w:numId w:val="0"/>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val="en-US" w:eastAsia="zh-CN"/>
        </w:rPr>
        <w:t>六、</w:t>
      </w:r>
      <w:r>
        <w:rPr>
          <w:rFonts w:hint="eastAsia" w:ascii="黑体" w:hAnsi="黑体" w:eastAsia="黑体" w:cs="Times New Roman"/>
          <w:sz w:val="32"/>
          <w:u w:val="none"/>
          <w:shd w:val="clear" w:color="auto" w:fill="FFFFFF"/>
          <w:lang w:eastAsia="zh-CN"/>
        </w:rPr>
        <w:t>国有资本经营预算当年拨款情况说明</w:t>
      </w:r>
    </w:p>
    <w:p w14:paraId="6A749A43">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儋州市木棠镇中心学校2026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主要</w:t>
      </w:r>
      <w:r>
        <w:rPr>
          <w:rFonts w:hint="eastAsia" w:ascii="仿宋_GB2312" w:hAnsi="黑体" w:eastAsia="仿宋_GB2312"/>
          <w:sz w:val="32"/>
          <w:szCs w:val="32"/>
          <w:u w:val="none"/>
          <w:lang w:val="en-US" w:eastAsia="zh-CN"/>
        </w:rPr>
        <w:t>是此项目预算支出</w:t>
      </w:r>
      <w:r>
        <w:rPr>
          <w:rFonts w:hint="eastAsia" w:ascii="仿宋_GB2312" w:hAnsi="黑体" w:eastAsia="仿宋_GB2312"/>
          <w:sz w:val="32"/>
          <w:szCs w:val="32"/>
          <w:u w:val="none"/>
          <w:lang w:eastAsia="zh-CN"/>
        </w:rPr>
        <w:t>。</w:t>
      </w:r>
    </w:p>
    <w:p w14:paraId="0A41CC7C">
      <w:pPr>
        <w:numPr>
          <w:ilvl w:val="0"/>
          <w:numId w:val="6"/>
        </w:numPr>
        <w:spacing w:line="560" w:lineRule="exact"/>
        <w:ind w:firstLine="640" w:firstLineChars="200"/>
        <w:rPr>
          <w:rFonts w:hint="eastAsia"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收支预算总体情况说明</w:t>
      </w:r>
    </w:p>
    <w:p w14:paraId="7258F428">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val="en-US" w:eastAsia="zh-CN"/>
        </w:rPr>
        <w:t>儋州市木棠镇中心学校</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val="en-US" w:eastAsia="zh-CN"/>
        </w:rPr>
        <w:t>儋州市木棠镇中心学校2026</w:t>
      </w:r>
      <w:r>
        <w:rPr>
          <w:rFonts w:hint="eastAsia" w:ascii="仿宋_GB2312" w:hAnsi="黑体" w:eastAsia="仿宋_GB2312"/>
          <w:sz w:val="32"/>
          <w:szCs w:val="32"/>
          <w:u w:val="none"/>
        </w:rPr>
        <w:t>年收支总预算</w:t>
      </w:r>
      <w:r>
        <w:rPr>
          <w:rFonts w:hint="eastAsia" w:ascii="仿宋_GB2312" w:hAnsi="黑体" w:eastAsia="仿宋_GB2312"/>
          <w:sz w:val="32"/>
          <w:szCs w:val="32"/>
          <w:u w:val="none"/>
          <w:lang w:val="en-US" w:eastAsia="zh-CN"/>
        </w:rPr>
        <w:t>2534.63</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ascii="仿宋_GB2312" w:hAnsi="黑体" w:eastAsia="仿宋_GB2312"/>
          <w:sz w:val="32"/>
          <w:szCs w:val="32"/>
          <w:highlight w:val="none"/>
          <w:u w:val="none"/>
        </w:rPr>
        <w:t>……</w:t>
      </w:r>
      <w:r>
        <w:rPr>
          <w:rFonts w:hint="eastAsia" w:ascii="仿宋_GB2312" w:hAnsi="黑体" w:eastAsia="仿宋_GB2312"/>
          <w:sz w:val="32"/>
          <w:szCs w:val="32"/>
          <w:highlight w:val="none"/>
          <w:u w:val="none"/>
        </w:rPr>
        <w:t>；支出包括：一般公共服务支出、外交支出、国防支出、公共安全支出、教育支出、</w:t>
      </w:r>
      <w:r>
        <w:rPr>
          <w:rFonts w:ascii="仿宋_GB2312" w:hAnsi="黑体" w:eastAsia="仿宋_GB2312"/>
          <w:sz w:val="32"/>
          <w:szCs w:val="32"/>
          <w:highlight w:val="none"/>
          <w:u w:val="none"/>
        </w:rPr>
        <w:t>…</w:t>
      </w:r>
      <w:r>
        <w:rPr>
          <w:rFonts w:ascii="仿宋_GB2312" w:hAnsi="黑体" w:eastAsia="仿宋_GB2312"/>
          <w:sz w:val="32"/>
          <w:szCs w:val="32"/>
          <w:u w:val="none"/>
        </w:rPr>
        <w:t>…</w:t>
      </w:r>
      <w:r>
        <w:rPr>
          <w:rFonts w:hint="eastAsia" w:ascii="仿宋_GB2312" w:hAnsi="黑体" w:eastAsia="仿宋_GB2312"/>
          <w:sz w:val="32"/>
          <w:szCs w:val="32"/>
          <w:u w:val="none"/>
        </w:rPr>
        <w:t>。</w:t>
      </w:r>
    </w:p>
    <w:p w14:paraId="037A167D">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02723737">
      <w:pPr>
        <w:spacing w:line="578" w:lineRule="exact"/>
        <w:ind w:firstLine="640" w:firstLineChars="200"/>
        <w:rPr>
          <w:rFonts w:hint="eastAsia" w:ascii="黑体" w:hAnsi="黑体" w:eastAsia="黑体" w:cs="Times New Roman"/>
          <w:sz w:val="32"/>
          <w:u w:val="none"/>
          <w:shd w:val="clear" w:color="auto" w:fill="FFFFFF"/>
        </w:rPr>
      </w:pPr>
      <w:r>
        <w:rPr>
          <w:rFonts w:hint="eastAsia" w:ascii="仿宋_GB2312" w:hAnsi="黑体" w:eastAsia="仿宋_GB2312" w:cs="仿宋_GB2312"/>
          <w:sz w:val="32"/>
          <w:szCs w:val="32"/>
          <w:u w:val="none"/>
          <w:lang w:val="en-US" w:eastAsia="zh-CN"/>
        </w:rPr>
        <w:t>儋州市木棠镇中心学校2026</w:t>
      </w:r>
      <w:r>
        <w:rPr>
          <w:rFonts w:hint="eastAsia" w:ascii="仿宋_GB2312" w:hAnsi="黑体" w:eastAsia="仿宋_GB2312"/>
          <w:sz w:val="32"/>
          <w:szCs w:val="32"/>
          <w:u w:val="none"/>
        </w:rPr>
        <w:t>年收入预算</w:t>
      </w:r>
      <w:r>
        <w:rPr>
          <w:rFonts w:hint="eastAsia" w:ascii="仿宋_GB2312" w:hAnsi="黑体" w:eastAsia="仿宋_GB2312"/>
          <w:sz w:val="32"/>
          <w:szCs w:val="32"/>
          <w:u w:val="none"/>
          <w:lang w:val="en-US" w:eastAsia="zh-CN"/>
        </w:rPr>
        <w:t>2534.63</w:t>
      </w:r>
      <w:r>
        <w:rPr>
          <w:rFonts w:hint="eastAsia" w:ascii="仿宋_GB2312" w:hAnsi="黑体" w:eastAsia="仿宋_GB2312"/>
          <w:sz w:val="32"/>
          <w:szCs w:val="32"/>
          <w:u w:val="none"/>
        </w:rPr>
        <w:t>万元，其中：上年结转</w:t>
      </w:r>
      <w:r>
        <w:rPr>
          <w:rFonts w:hint="eastAsia" w:ascii="仿宋_GB2312" w:hAnsi="黑体" w:eastAsia="仿宋_GB2312"/>
          <w:sz w:val="32"/>
          <w:szCs w:val="32"/>
          <w:u w:val="none"/>
          <w:lang w:val="en-US" w:eastAsia="zh-CN"/>
        </w:rPr>
        <w:t>1.84</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0.07</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olor w:val="auto"/>
          <w:sz w:val="32"/>
          <w:szCs w:val="32"/>
          <w:highlight w:val="none"/>
          <w:u w:val="none"/>
          <w:lang w:val="en-US" w:eastAsia="zh-CN"/>
        </w:rPr>
        <w:t>2532.79</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99.93</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highlight w:val="none"/>
          <w:u w:val="none"/>
        </w:rPr>
        <w:t>×</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29.68</w:t>
      </w:r>
      <w:r>
        <w:rPr>
          <w:rFonts w:hint="eastAsia" w:ascii="仿宋_GB2312" w:hAnsi="黑体" w:eastAsia="仿宋_GB2312"/>
          <w:sz w:val="32"/>
          <w:szCs w:val="32"/>
          <w:u w:val="none"/>
        </w:rPr>
        <w:t>万元，</w:t>
      </w:r>
      <w:r>
        <w:rPr>
          <w:rFonts w:hint="eastAsia" w:ascii="仿宋" w:hAnsi="仿宋" w:eastAsia="仿宋" w:cs="仿宋"/>
          <w:color w:val="000000" w:themeColor="text1"/>
          <w:sz w:val="32"/>
          <w:szCs w:val="32"/>
          <w14:textFill>
            <w14:solidFill>
              <w14:schemeClr w14:val="tx1"/>
            </w14:solidFill>
          </w14:textFill>
        </w:rPr>
        <w:t>主要是</w:t>
      </w:r>
      <w:r>
        <w:rPr>
          <w:rFonts w:hint="eastAsia" w:ascii="仿宋" w:hAnsi="仿宋" w:eastAsia="仿宋" w:cs="仿宋"/>
          <w:color w:val="000000" w:themeColor="text1"/>
          <w:sz w:val="32"/>
          <w:szCs w:val="32"/>
          <w:lang w:eastAsia="zh-CN"/>
          <w14:textFill>
            <w14:solidFill>
              <w14:schemeClr w14:val="tx1"/>
            </w14:solidFill>
          </w14:textFill>
        </w:rPr>
        <w:t>人员退休及在编人员</w:t>
      </w:r>
      <w:r>
        <w:rPr>
          <w:rFonts w:hint="eastAsia" w:ascii="仿宋" w:hAnsi="仿宋" w:eastAsia="仿宋" w:cs="仿宋"/>
          <w:color w:val="000000" w:themeColor="text1"/>
          <w:sz w:val="32"/>
          <w:szCs w:val="32"/>
          <w:lang w:val="en-US" w:eastAsia="zh-CN"/>
          <w14:textFill>
            <w14:solidFill>
              <w14:schemeClr w14:val="tx1"/>
            </w14:solidFill>
          </w14:textFill>
        </w:rPr>
        <w:t>调出</w:t>
      </w:r>
      <w:r>
        <w:rPr>
          <w:rFonts w:hint="eastAsia" w:ascii="仿宋" w:hAnsi="仿宋" w:eastAsia="仿宋" w:cs="仿宋"/>
          <w:color w:val="000000" w:themeColor="text1"/>
          <w:sz w:val="32"/>
          <w:szCs w:val="32"/>
          <w:lang w:eastAsia="zh-CN"/>
          <w14:textFill>
            <w14:solidFill>
              <w14:schemeClr w14:val="tx1"/>
            </w14:solidFill>
          </w14:textFill>
        </w:rPr>
        <w:t>。</w:t>
      </w:r>
    </w:p>
    <w:p w14:paraId="399A4401">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4660E9E5">
      <w:pPr>
        <w:keepNext w:val="0"/>
        <w:keepLines w:val="0"/>
        <w:widowControl w:val="0"/>
        <w:suppressLineNumbers w:val="0"/>
        <w:spacing w:before="0" w:beforeAutospacing="0" w:after="0" w:afterAutospacing="0"/>
        <w:ind w:left="0" w:right="0"/>
        <w:jc w:val="both"/>
        <w:rPr>
          <w:rFonts w:hint="default" w:ascii="仿宋" w:hAnsi="仿宋" w:eastAsia="仿宋_GB2312" w:cs="仿宋"/>
          <w:color w:val="000000" w:themeColor="text1"/>
          <w:sz w:val="32"/>
          <w:szCs w:val="32"/>
          <w:lang w:val="en-US" w:eastAsia="zh-CN"/>
          <w14:textFill>
            <w14:solidFill>
              <w14:schemeClr w14:val="tx1"/>
            </w14:solidFill>
          </w14:textFill>
        </w:rPr>
      </w:pPr>
      <w:r>
        <w:rPr>
          <w:rFonts w:hint="eastAsia" w:ascii="仿宋_GB2312" w:hAnsi="黑体" w:eastAsia="仿宋_GB2312" w:cs="仿宋_GB2312"/>
          <w:sz w:val="32"/>
          <w:szCs w:val="32"/>
          <w:u w:val="none"/>
          <w:lang w:val="en-US" w:eastAsia="zh-CN"/>
        </w:rPr>
        <w:t>儋州市木棠镇中心学校2026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2534.63</w:t>
      </w:r>
      <w:r>
        <w:rPr>
          <w:rFonts w:hint="eastAsia" w:ascii="仿宋_GB2312" w:hAnsi="黑体" w:eastAsia="仿宋_GB2312"/>
          <w:sz w:val="32"/>
          <w:szCs w:val="32"/>
          <w:u w:val="none"/>
        </w:rPr>
        <w:t>万元，其中：基本支出</w:t>
      </w:r>
      <w:r>
        <w:rPr>
          <w:rFonts w:hint="eastAsia" w:ascii="仿宋" w:hAnsi="仿宋" w:eastAsia="仿宋" w:cs="仿宋"/>
          <w:color w:val="000000" w:themeColor="text1"/>
          <w:sz w:val="32"/>
          <w:szCs w:val="32"/>
          <w:lang w:val="en-US" w:eastAsia="zh-CN"/>
          <w14:textFill>
            <w14:solidFill>
              <w14:schemeClr w14:val="tx1"/>
            </w14:solidFill>
          </w14:textFill>
        </w:rPr>
        <w:t>2469.36</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97.42</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lang w:val="en-US" w:eastAsia="zh-CN"/>
        </w:rPr>
        <w:t>比上年预算减少20.29万元。</w:t>
      </w:r>
    </w:p>
    <w:p w14:paraId="03AE0DB2">
      <w:pPr>
        <w:spacing w:line="578" w:lineRule="exact"/>
        <w:ind w:firstLine="640" w:firstLineChars="200"/>
        <w:rPr>
          <w:rFonts w:ascii="黑体" w:hAnsi="黑体" w:eastAsia="黑体" w:cs="Times New Roman"/>
          <w:color w:val="000000" w:themeColor="text1"/>
          <w:sz w:val="32"/>
          <w:shd w:val="clear" w:color="auto" w:fill="FFFFFF"/>
          <w14:textFill>
            <w14:solidFill>
              <w14:schemeClr w14:val="tx1"/>
            </w14:solidFill>
          </w14:textFill>
        </w:rPr>
      </w:pPr>
      <w:r>
        <w:rPr>
          <w:rFonts w:hint="eastAsia" w:ascii="黑体" w:hAnsi="黑体" w:eastAsia="黑体" w:cs="Times New Roman"/>
          <w:color w:val="000000" w:themeColor="text1"/>
          <w:sz w:val="32"/>
          <w:shd w:val="clear" w:color="auto" w:fill="FFFFFF"/>
          <w14:textFill>
            <w14:solidFill>
              <w14:schemeClr w14:val="tx1"/>
            </w14:solidFill>
          </w14:textFill>
        </w:rPr>
        <w:t>九、其他重要事项的情况说明</w:t>
      </w:r>
    </w:p>
    <w:p w14:paraId="77EC383E">
      <w:pPr>
        <w:numPr>
          <w:ilvl w:val="0"/>
          <w:numId w:val="7"/>
        </w:numPr>
        <w:spacing w:line="578" w:lineRule="exact"/>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机关运行经费</w:t>
      </w:r>
    </w:p>
    <w:p w14:paraId="6F80126F">
      <w:pPr>
        <w:spacing w:line="578"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ascii="楷体" w:hAnsi="楷体" w:eastAsia="楷体"/>
          <w:color w:val="000000" w:themeColor="text1"/>
          <w:sz w:val="32"/>
          <w:szCs w:val="32"/>
          <w:lang w:val="en-US" w:eastAsia="zh-CN"/>
          <w14:textFill>
            <w14:solidFill>
              <w14:schemeClr w14:val="tx1"/>
            </w14:solidFill>
          </w14:textFill>
        </w:rPr>
        <w:t>本单位无机关运行经费</w:t>
      </w:r>
    </w:p>
    <w:p w14:paraId="6B77DC63">
      <w:pPr>
        <w:spacing w:line="578" w:lineRule="exact"/>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（二）政府采购情况</w:t>
      </w:r>
    </w:p>
    <w:p w14:paraId="747E9C9E">
      <w:pPr>
        <w:spacing w:line="578"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2026</w:t>
      </w:r>
      <w:r>
        <w:rPr>
          <w:rFonts w:hint="eastAsia" w:ascii="仿宋" w:hAnsi="仿宋" w:eastAsia="仿宋" w:cs="仿宋"/>
          <w:color w:val="000000" w:themeColor="text1"/>
          <w:sz w:val="32"/>
          <w:szCs w:val="32"/>
          <w14:textFill>
            <w14:solidFill>
              <w14:schemeClr w14:val="tx1"/>
            </w14:solidFill>
          </w14:textFill>
        </w:rPr>
        <w:t>年</w:t>
      </w:r>
      <w:r>
        <w:rPr>
          <w:rFonts w:ascii="仿宋" w:hAnsi="仿宋" w:eastAsia="仿宋" w:cs="仿宋"/>
          <w:color w:val="000000" w:themeColor="text1"/>
          <w:sz w:val="32"/>
          <w:szCs w:val="32"/>
          <w14:textFill>
            <w14:solidFill>
              <w14:schemeClr w14:val="tx1"/>
            </w14:solidFill>
          </w14:textFill>
        </w:rPr>
        <w:t>儋州市木棠镇中心学校</w:t>
      </w:r>
      <w:r>
        <w:rPr>
          <w:rFonts w:hint="eastAsia" w:ascii="仿宋" w:hAnsi="仿宋" w:eastAsia="仿宋" w:cs="仿宋"/>
          <w:color w:val="000000" w:themeColor="text1"/>
          <w:sz w:val="32"/>
          <w:szCs w:val="32"/>
          <w14:textFill>
            <w14:solidFill>
              <w14:schemeClr w14:val="tx1"/>
            </w14:solidFill>
          </w14:textFill>
        </w:rPr>
        <w:t>政府采购预算总额</w:t>
      </w:r>
      <w:r>
        <w:rPr>
          <w:rFonts w:ascii="仿宋" w:hAnsi="仿宋" w:eastAsia="仿宋" w:cs="仿宋"/>
          <w:color w:val="000000" w:themeColor="text1"/>
          <w:sz w:val="32"/>
          <w:szCs w:val="32"/>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万元，其中：政府采购货物预算</w:t>
      </w:r>
      <w:r>
        <w:rPr>
          <w:rFonts w:ascii="仿宋" w:hAnsi="仿宋" w:eastAsia="仿宋" w:cs="仿宋"/>
          <w:color w:val="000000" w:themeColor="text1"/>
          <w:sz w:val="32"/>
          <w:szCs w:val="32"/>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万元，政府采购工程预算</w:t>
      </w:r>
      <w:r>
        <w:rPr>
          <w:rFonts w:ascii="仿宋" w:hAnsi="仿宋" w:eastAsia="仿宋" w:cs="仿宋"/>
          <w:color w:val="000000" w:themeColor="text1"/>
          <w:sz w:val="32"/>
          <w:szCs w:val="32"/>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万元，政府采购服务预算</w:t>
      </w:r>
      <w:r>
        <w:rPr>
          <w:rFonts w:ascii="仿宋" w:hAnsi="仿宋" w:eastAsia="仿宋" w:cs="仿宋"/>
          <w:color w:val="000000" w:themeColor="text1"/>
          <w:sz w:val="32"/>
          <w:szCs w:val="32"/>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w:t>
      </w:r>
    </w:p>
    <w:p w14:paraId="12FAABA1">
      <w:pPr>
        <w:spacing w:line="578" w:lineRule="exact"/>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（三）国有资产占有使用情况</w:t>
      </w:r>
    </w:p>
    <w:p w14:paraId="6CBD8BED">
      <w:pPr>
        <w:spacing w:line="578"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截至</w:t>
      </w:r>
      <w:r>
        <w:rPr>
          <w:rFonts w:ascii="仿宋" w:hAnsi="仿宋" w:eastAsia="仿宋" w:cs="仿宋"/>
          <w:color w:val="000000" w:themeColor="text1"/>
          <w:sz w:val="32"/>
          <w:szCs w:val="32"/>
          <w14:textFill>
            <w14:solidFill>
              <w14:schemeClr w14:val="tx1"/>
            </w14:solidFill>
          </w14:textFill>
        </w:rPr>
        <w:t>202</w:t>
      </w: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年12月31日，</w:t>
      </w:r>
      <w:r>
        <w:rPr>
          <w:rFonts w:ascii="仿宋" w:hAnsi="仿宋" w:eastAsia="仿宋" w:cs="仿宋"/>
          <w:color w:val="000000" w:themeColor="text1"/>
          <w:sz w:val="32"/>
          <w:szCs w:val="32"/>
          <w14:textFill>
            <w14:solidFill>
              <w14:schemeClr w14:val="tx1"/>
            </w14:solidFill>
          </w14:textFill>
        </w:rPr>
        <w:t>儋州市木棠镇中心学校</w:t>
      </w:r>
      <w:r>
        <w:rPr>
          <w:rFonts w:hint="eastAsia" w:ascii="仿宋" w:hAnsi="仿宋" w:eastAsia="仿宋" w:cs="仿宋"/>
          <w:color w:val="000000" w:themeColor="text1"/>
          <w:sz w:val="32"/>
          <w:szCs w:val="32"/>
          <w14:textFill>
            <w14:solidFill>
              <w14:schemeClr w14:val="tx1"/>
            </w14:solidFill>
          </w14:textFill>
        </w:rPr>
        <w:t>本级及下属各预算单位共有车辆</w:t>
      </w:r>
      <w:r>
        <w:rPr>
          <w:rFonts w:ascii="仿宋" w:hAnsi="仿宋" w:eastAsia="仿宋" w:cs="仿宋"/>
          <w:color w:val="000000" w:themeColor="text1"/>
          <w:sz w:val="32"/>
          <w:szCs w:val="32"/>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辆，其中，领导干部用车</w:t>
      </w:r>
      <w:r>
        <w:rPr>
          <w:rFonts w:ascii="仿宋" w:hAnsi="仿宋" w:eastAsia="仿宋" w:cs="仿宋"/>
          <w:color w:val="000000" w:themeColor="text1"/>
          <w:sz w:val="32"/>
          <w:szCs w:val="32"/>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辆，机要通信应急用车</w:t>
      </w:r>
      <w:r>
        <w:rPr>
          <w:rFonts w:ascii="仿宋" w:hAnsi="仿宋" w:eastAsia="仿宋" w:cs="仿宋"/>
          <w:color w:val="000000" w:themeColor="text1"/>
          <w:sz w:val="32"/>
          <w:szCs w:val="32"/>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辆、一般执法执勤用车</w:t>
      </w:r>
      <w:r>
        <w:rPr>
          <w:rFonts w:ascii="仿宋" w:hAnsi="仿宋" w:eastAsia="仿宋" w:cs="仿宋"/>
          <w:color w:val="000000" w:themeColor="text1"/>
          <w:sz w:val="32"/>
          <w:szCs w:val="32"/>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辆、特种专业技术用车</w:t>
      </w:r>
      <w:r>
        <w:rPr>
          <w:rFonts w:ascii="仿宋" w:hAnsi="仿宋" w:eastAsia="仿宋" w:cs="仿宋"/>
          <w:color w:val="000000" w:themeColor="text1"/>
          <w:sz w:val="32"/>
          <w:szCs w:val="32"/>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辆、其他用车</w:t>
      </w:r>
      <w:r>
        <w:rPr>
          <w:rFonts w:ascii="仿宋" w:hAnsi="仿宋" w:eastAsia="仿宋" w:cs="仿宋"/>
          <w:color w:val="000000" w:themeColor="text1"/>
          <w:sz w:val="32"/>
          <w:szCs w:val="32"/>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辆。单位价值100万元以上设备</w:t>
      </w:r>
      <w:r>
        <w:rPr>
          <w:rFonts w:ascii="仿宋" w:hAnsi="仿宋" w:eastAsia="仿宋" w:cs="仿宋"/>
          <w:color w:val="000000" w:themeColor="text1"/>
          <w:sz w:val="32"/>
          <w:szCs w:val="32"/>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台（套）。</w:t>
      </w:r>
    </w:p>
    <w:p w14:paraId="240D8098">
      <w:pPr>
        <w:spacing w:line="578" w:lineRule="exact"/>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（四）绩效目标设置情况</w:t>
      </w:r>
    </w:p>
    <w:p w14:paraId="76DD3202">
      <w:pPr>
        <w:spacing w:line="578"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2026</w:t>
      </w:r>
      <w:r>
        <w:rPr>
          <w:rFonts w:hint="eastAsia" w:ascii="仿宋" w:hAnsi="仿宋" w:eastAsia="仿宋" w:cs="仿宋"/>
          <w:color w:val="000000" w:themeColor="text1"/>
          <w:sz w:val="32"/>
          <w:szCs w:val="32"/>
          <w14:textFill>
            <w14:solidFill>
              <w14:schemeClr w14:val="tx1"/>
            </w14:solidFill>
          </w14:textFill>
        </w:rPr>
        <w:t>年</w:t>
      </w:r>
      <w:r>
        <w:rPr>
          <w:rFonts w:ascii="仿宋" w:hAnsi="仿宋" w:eastAsia="仿宋" w:cs="仿宋"/>
          <w:color w:val="000000" w:themeColor="text1"/>
          <w:sz w:val="32"/>
          <w:szCs w:val="32"/>
          <w14:textFill>
            <w14:solidFill>
              <w14:schemeClr w14:val="tx1"/>
            </w14:solidFill>
          </w14:textFill>
        </w:rPr>
        <w:t>儋州市木棠镇中心学校</w:t>
      </w:r>
      <w:r>
        <w:rPr>
          <w:rFonts w:hint="eastAsia" w:ascii="仿宋" w:hAnsi="仿宋" w:eastAsia="仿宋" w:cs="仿宋"/>
          <w:color w:val="000000" w:themeColor="text1"/>
          <w:sz w:val="32"/>
          <w:szCs w:val="32"/>
          <w:lang w:val="en-US" w:eastAsia="zh-CN"/>
          <w14:textFill>
            <w14:solidFill>
              <w14:schemeClr w14:val="tx1"/>
            </w14:solidFill>
          </w14:textFill>
        </w:rPr>
        <w:t>13</w:t>
      </w:r>
      <w:bookmarkStart w:id="0" w:name="_GoBack"/>
      <w:bookmarkEnd w:id="0"/>
      <w:r>
        <w:rPr>
          <w:rFonts w:hint="eastAsia" w:ascii="仿宋" w:hAnsi="仿宋" w:eastAsia="仿宋" w:cs="仿宋"/>
          <w:color w:val="000000" w:themeColor="text1"/>
          <w:sz w:val="32"/>
          <w:szCs w:val="32"/>
          <w14:textFill>
            <w14:solidFill>
              <w14:schemeClr w14:val="tx1"/>
            </w14:solidFill>
          </w14:textFill>
        </w:rPr>
        <w:t>个项目实行绩效目标管理，涉及一般公共预算</w:t>
      </w:r>
      <w:r>
        <w:rPr>
          <w:rFonts w:hint="eastAsia" w:ascii="仿宋" w:hAnsi="仿宋" w:eastAsia="仿宋" w:cs="仿宋"/>
          <w:color w:val="000000" w:themeColor="text1"/>
          <w:sz w:val="32"/>
          <w:szCs w:val="32"/>
          <w:lang w:val="en-US" w:eastAsia="zh-CN"/>
          <w14:textFill>
            <w14:solidFill>
              <w14:schemeClr w14:val="tx1"/>
            </w14:solidFill>
          </w14:textFill>
        </w:rPr>
        <w:t>2534.63</w:t>
      </w:r>
      <w:r>
        <w:rPr>
          <w:rFonts w:hint="eastAsia" w:ascii="仿宋" w:hAnsi="仿宋" w:eastAsia="仿宋" w:cs="仿宋"/>
          <w:color w:val="000000" w:themeColor="text1"/>
          <w:sz w:val="32"/>
          <w:szCs w:val="32"/>
          <w14:textFill>
            <w14:solidFill>
              <w14:schemeClr w14:val="tx1"/>
            </w14:solidFill>
          </w14:textFill>
        </w:rPr>
        <w:t>万元、政府性基金</w:t>
      </w:r>
      <w:r>
        <w:rPr>
          <w:rFonts w:ascii="仿宋" w:hAnsi="仿宋" w:eastAsia="仿宋" w:cs="仿宋"/>
          <w:color w:val="000000" w:themeColor="text1"/>
          <w:sz w:val="32"/>
          <w:szCs w:val="32"/>
          <w14:textFill>
            <w14:solidFill>
              <w14:schemeClr w14:val="tx1"/>
            </w14:solidFill>
          </w14:textFill>
        </w:rPr>
        <w:t>0</w:t>
      </w:r>
      <w:r>
        <w:rPr>
          <w:rFonts w:hint="eastAsia" w:ascii="仿宋" w:hAnsi="仿宋" w:eastAsia="仿宋" w:cs="仿宋"/>
          <w:color w:val="000000" w:themeColor="text1"/>
          <w:sz w:val="32"/>
          <w:szCs w:val="32"/>
          <w14:textFill>
            <w14:solidFill>
              <w14:schemeClr w14:val="tx1"/>
            </w14:solidFill>
          </w14:textFill>
        </w:rPr>
        <w:t>万元。</w:t>
      </w:r>
    </w:p>
    <w:p w14:paraId="3C65FF90">
      <w:pPr>
        <w:spacing w:line="578" w:lineRule="exact"/>
        <w:jc w:val="center"/>
        <w:rPr>
          <w:rFonts w:hint="eastAsia" w:ascii="仿宋" w:hAnsi="仿宋" w:eastAsia="仿宋" w:cs="仿宋"/>
          <w:color w:val="000000" w:themeColor="text1"/>
          <w:sz w:val="32"/>
          <w:szCs w:val="32"/>
          <w14:textFill>
            <w14:solidFill>
              <w14:schemeClr w14:val="tx1"/>
            </w14:solidFill>
          </w14:textFill>
        </w:rPr>
      </w:pPr>
    </w:p>
    <w:p w14:paraId="71DF9E18">
      <w:pPr>
        <w:spacing w:line="578" w:lineRule="exact"/>
        <w:jc w:val="left"/>
        <w:rPr>
          <w:rFonts w:hint="eastAsia" w:ascii="仿宋" w:hAnsi="仿宋" w:eastAsia="仿宋" w:cs="仿宋"/>
          <w:color w:val="000000" w:themeColor="text1"/>
          <w:kern w:val="0"/>
          <w:sz w:val="32"/>
          <w:szCs w:val="30"/>
          <w14:textFill>
            <w14:solidFill>
              <w14:schemeClr w14:val="tx1"/>
            </w14:solidFill>
          </w14:textFill>
        </w:rPr>
      </w:pPr>
    </w:p>
    <w:p w14:paraId="3252BEF4">
      <w:pPr>
        <w:spacing w:line="578" w:lineRule="exact"/>
        <w:jc w:val="center"/>
        <w:rPr>
          <w:rFonts w:ascii="黑体" w:hAnsi="黑体" w:eastAsia="黑体"/>
          <w:b w:val="0"/>
          <w:bCs/>
          <w:color w:val="000000" w:themeColor="text1"/>
          <w:sz w:val="32"/>
          <w:szCs w:val="32"/>
          <w14:textFill>
            <w14:solidFill>
              <w14:schemeClr w14:val="tx1"/>
            </w14:solidFill>
          </w14:textFill>
        </w:rPr>
      </w:pPr>
      <w:r>
        <w:rPr>
          <w:rFonts w:hint="eastAsia" w:ascii="黑体" w:hAnsi="黑体" w:eastAsia="黑体"/>
          <w:b w:val="0"/>
          <w:bCs/>
          <w:color w:val="000000" w:themeColor="text1"/>
          <w:sz w:val="32"/>
          <w:szCs w:val="32"/>
          <w14:textFill>
            <w14:solidFill>
              <w14:schemeClr w14:val="tx1"/>
            </w14:solidFill>
          </w14:textFill>
        </w:rPr>
        <w:t>第四部分  名词解释</w:t>
      </w:r>
    </w:p>
    <w:p w14:paraId="63DE00B1">
      <w:pPr>
        <w:spacing w:line="578" w:lineRule="exact"/>
        <w:ind w:firstLine="640" w:firstLineChars="200"/>
        <w:jc w:val="left"/>
        <w:rPr>
          <w:rFonts w:ascii="仿宋_GB2312" w:eastAsia="仿宋_GB2312" w:cs="宋体"/>
          <w:bCs/>
          <w:color w:val="000000" w:themeColor="text1"/>
          <w:kern w:val="0"/>
          <w:sz w:val="32"/>
          <w:szCs w:val="32"/>
          <w:lang w:val="zh-CN"/>
          <w14:textFill>
            <w14:solidFill>
              <w14:schemeClr w14:val="tx1"/>
            </w14:solidFill>
          </w14:textFill>
        </w:rPr>
      </w:pPr>
    </w:p>
    <w:p w14:paraId="55C44497">
      <w:pPr>
        <w:spacing w:line="578" w:lineRule="exact"/>
        <w:ind w:firstLine="640" w:firstLineChars="200"/>
        <w:jc w:val="left"/>
        <w:rPr>
          <w:rFonts w:hint="eastAsia" w:ascii="仿宋" w:hAnsi="仿宋" w:eastAsia="仿宋" w:cs="仿宋"/>
          <w:color w:val="000000" w:themeColor="text1"/>
          <w:kern w:val="0"/>
          <w:sz w:val="32"/>
          <w:szCs w:val="30"/>
          <w14:textFill>
            <w14:solidFill>
              <w14:schemeClr w14:val="tx1"/>
            </w14:solidFill>
          </w14:textFill>
        </w:rPr>
      </w:pPr>
      <w:r>
        <w:rPr>
          <w:rFonts w:hint="eastAsia" w:ascii="仿宋" w:hAnsi="仿宋" w:eastAsia="仿宋" w:cs="仿宋"/>
          <w:color w:val="000000" w:themeColor="text1"/>
          <w:kern w:val="0"/>
          <w:sz w:val="32"/>
          <w:szCs w:val="30"/>
          <w14:textFill>
            <w14:solidFill>
              <w14:schemeClr w14:val="tx1"/>
            </w14:solidFill>
          </w14:textFill>
        </w:rPr>
        <w:t>一、财政拨款收入：指本级财政当年拨付的资金。</w:t>
      </w:r>
    </w:p>
    <w:p w14:paraId="112AFF19">
      <w:pPr>
        <w:spacing w:line="578" w:lineRule="exact"/>
        <w:ind w:firstLine="640" w:firstLineChars="200"/>
        <w:jc w:val="left"/>
        <w:rPr>
          <w:rFonts w:hint="eastAsia" w:ascii="仿宋" w:hAnsi="仿宋" w:eastAsia="仿宋" w:cs="仿宋"/>
          <w:color w:val="000000" w:themeColor="text1"/>
          <w:kern w:val="0"/>
          <w:sz w:val="32"/>
          <w:szCs w:val="30"/>
          <w14:textFill>
            <w14:solidFill>
              <w14:schemeClr w14:val="tx1"/>
            </w14:solidFill>
          </w14:textFill>
        </w:rPr>
      </w:pPr>
      <w:r>
        <w:rPr>
          <w:rFonts w:hint="eastAsia" w:ascii="仿宋" w:hAnsi="仿宋" w:eastAsia="仿宋" w:cs="仿宋"/>
          <w:color w:val="000000" w:themeColor="text1"/>
          <w:kern w:val="0"/>
          <w:sz w:val="32"/>
          <w:szCs w:val="30"/>
          <w14:textFill>
            <w14:solidFill>
              <w14:schemeClr w14:val="tx1"/>
            </w14:solidFill>
          </w14:textFill>
        </w:rPr>
        <w:t>二、事业收入：指事业单位开展专业业务活动及辅助活动取得的收入。</w:t>
      </w:r>
    </w:p>
    <w:p w14:paraId="19AF8F0A">
      <w:pPr>
        <w:spacing w:line="578" w:lineRule="exact"/>
        <w:ind w:firstLine="640" w:firstLineChars="200"/>
        <w:jc w:val="left"/>
        <w:rPr>
          <w:rFonts w:hint="eastAsia" w:ascii="仿宋" w:hAnsi="仿宋" w:eastAsia="仿宋" w:cs="仿宋"/>
          <w:color w:val="000000" w:themeColor="text1"/>
          <w:kern w:val="0"/>
          <w:sz w:val="32"/>
          <w:szCs w:val="30"/>
          <w14:textFill>
            <w14:solidFill>
              <w14:schemeClr w14:val="tx1"/>
            </w14:solidFill>
          </w14:textFill>
        </w:rPr>
      </w:pPr>
      <w:r>
        <w:rPr>
          <w:rFonts w:hint="eastAsia" w:ascii="仿宋" w:hAnsi="仿宋" w:eastAsia="仿宋" w:cs="仿宋"/>
          <w:color w:val="000000" w:themeColor="text1"/>
          <w:kern w:val="0"/>
          <w:sz w:val="32"/>
          <w:szCs w:val="30"/>
          <w14:textFill>
            <w14:solidFill>
              <w14:schemeClr w14:val="tx1"/>
            </w14:solidFill>
          </w14:textFill>
        </w:rPr>
        <w:t>三、经营收入：指事业单位在专业业务活动及其辅助活动之外开展非独立核算经营活动取得的收入。</w:t>
      </w:r>
    </w:p>
    <w:p w14:paraId="59F0DD1E">
      <w:pPr>
        <w:spacing w:line="578" w:lineRule="exact"/>
        <w:ind w:firstLine="640" w:firstLineChars="200"/>
        <w:jc w:val="left"/>
        <w:rPr>
          <w:rFonts w:hint="eastAsia" w:ascii="仿宋" w:hAnsi="仿宋" w:eastAsia="仿宋" w:cs="仿宋"/>
          <w:color w:val="000000" w:themeColor="text1"/>
          <w:kern w:val="0"/>
          <w:sz w:val="32"/>
          <w:szCs w:val="30"/>
          <w14:textFill>
            <w14:solidFill>
              <w14:schemeClr w14:val="tx1"/>
            </w14:solidFill>
          </w14:textFill>
        </w:rPr>
      </w:pPr>
      <w:r>
        <w:rPr>
          <w:rFonts w:hint="eastAsia" w:ascii="仿宋" w:hAnsi="仿宋" w:eastAsia="仿宋" w:cs="仿宋"/>
          <w:color w:val="000000" w:themeColor="text1"/>
          <w:kern w:val="0"/>
          <w:sz w:val="32"/>
          <w:szCs w:val="30"/>
          <w14:textFill>
            <w14:solidFill>
              <w14:schemeClr w14:val="tx1"/>
            </w14:solidFill>
          </w14:textFill>
        </w:rPr>
        <w:t>四、其他收入：指除上述“财政拨款收入”“事业收入”“经营收入”等以外的收入。</w:t>
      </w:r>
    </w:p>
    <w:p w14:paraId="7B41351B">
      <w:pPr>
        <w:spacing w:line="578" w:lineRule="exact"/>
        <w:ind w:firstLine="640" w:firstLineChars="200"/>
        <w:jc w:val="left"/>
        <w:rPr>
          <w:rFonts w:hint="eastAsia" w:ascii="仿宋" w:hAnsi="仿宋" w:eastAsia="仿宋" w:cs="仿宋"/>
          <w:color w:val="000000" w:themeColor="text1"/>
          <w:kern w:val="0"/>
          <w:sz w:val="32"/>
          <w:szCs w:val="30"/>
          <w14:textFill>
            <w14:solidFill>
              <w14:schemeClr w14:val="tx1"/>
            </w14:solidFill>
          </w14:textFill>
        </w:rPr>
      </w:pPr>
      <w:r>
        <w:rPr>
          <w:rFonts w:hint="eastAsia" w:ascii="仿宋" w:hAnsi="仿宋" w:eastAsia="仿宋" w:cs="仿宋"/>
          <w:color w:val="000000" w:themeColor="text1"/>
          <w:kern w:val="0"/>
          <w:sz w:val="32"/>
          <w:szCs w:val="30"/>
          <w14:textFill>
            <w14:solidFill>
              <w14:schemeClr w14:val="tx1"/>
            </w14:solidFill>
          </w14:textFill>
        </w:rPr>
        <w:t>五、年初结转和结余：指以前年度尚未完成、结转到本年按有关规定继续使用的资金。</w:t>
      </w:r>
    </w:p>
    <w:p w14:paraId="62C29A85">
      <w:pPr>
        <w:spacing w:line="578" w:lineRule="exact"/>
        <w:ind w:firstLine="640" w:firstLineChars="200"/>
        <w:jc w:val="left"/>
        <w:rPr>
          <w:rFonts w:hint="eastAsia" w:ascii="仿宋" w:hAnsi="仿宋" w:eastAsia="仿宋" w:cs="仿宋"/>
          <w:color w:val="000000" w:themeColor="text1"/>
          <w:kern w:val="0"/>
          <w:sz w:val="32"/>
          <w:szCs w:val="30"/>
          <w14:textFill>
            <w14:solidFill>
              <w14:schemeClr w14:val="tx1"/>
            </w14:solidFill>
          </w14:textFill>
        </w:rPr>
      </w:pPr>
      <w:r>
        <w:rPr>
          <w:rFonts w:hint="eastAsia" w:ascii="仿宋" w:hAnsi="仿宋" w:eastAsia="仿宋" w:cs="仿宋"/>
          <w:color w:val="000000" w:themeColor="text1"/>
          <w:kern w:val="0"/>
          <w:sz w:val="32"/>
          <w:szCs w:val="30"/>
          <w14:textFill>
            <w14:solidFill>
              <w14:schemeClr w14:val="tx1"/>
            </w14:solidFill>
          </w14:textFill>
        </w:rPr>
        <w:t xml:space="preserve">六、基本支出：指行政事业单位用于为保障其机构正常运转、完成日常工作任务而发生的人员支出和公用支出。   </w:t>
      </w:r>
    </w:p>
    <w:p w14:paraId="36655C96">
      <w:pPr>
        <w:spacing w:line="578" w:lineRule="exact"/>
        <w:ind w:firstLine="640" w:firstLineChars="200"/>
        <w:jc w:val="left"/>
        <w:rPr>
          <w:rFonts w:hint="eastAsia" w:ascii="仿宋" w:hAnsi="仿宋" w:eastAsia="仿宋" w:cs="仿宋"/>
          <w:color w:val="000000" w:themeColor="text1"/>
          <w:kern w:val="0"/>
          <w:sz w:val="32"/>
          <w:szCs w:val="30"/>
          <w14:textFill>
            <w14:solidFill>
              <w14:schemeClr w14:val="tx1"/>
            </w14:solidFill>
          </w14:textFill>
        </w:rPr>
      </w:pPr>
      <w:r>
        <w:rPr>
          <w:rFonts w:hint="eastAsia" w:ascii="仿宋" w:hAnsi="仿宋" w:eastAsia="仿宋" w:cs="仿宋"/>
          <w:color w:val="000000" w:themeColor="text1"/>
          <w:kern w:val="0"/>
          <w:sz w:val="32"/>
          <w:szCs w:val="30"/>
          <w14:textFill>
            <w14:solidFill>
              <w14:schemeClr w14:val="tx1"/>
            </w14:solidFill>
          </w14:textFill>
        </w:rPr>
        <w:t>七、工资福利支出：反映单位开支的在职职工和编制外长期聘用人员的各类劳动报酬，以及为上述人员缴纳的各项社会保险费等。</w:t>
      </w:r>
    </w:p>
    <w:p w14:paraId="2E7680F6">
      <w:pPr>
        <w:spacing w:line="578" w:lineRule="exact"/>
        <w:ind w:firstLine="640" w:firstLineChars="200"/>
        <w:jc w:val="left"/>
        <w:rPr>
          <w:rFonts w:hint="eastAsia" w:ascii="仿宋" w:hAnsi="仿宋" w:eastAsia="仿宋" w:cs="仿宋"/>
          <w:color w:val="000000" w:themeColor="text1"/>
          <w:kern w:val="0"/>
          <w:sz w:val="32"/>
          <w:szCs w:val="30"/>
          <w14:textFill>
            <w14:solidFill>
              <w14:schemeClr w14:val="tx1"/>
            </w14:solidFill>
          </w14:textFill>
        </w:rPr>
      </w:pPr>
      <w:r>
        <w:rPr>
          <w:rFonts w:hint="eastAsia" w:ascii="仿宋" w:hAnsi="仿宋" w:eastAsia="仿宋" w:cs="仿宋"/>
          <w:color w:val="000000" w:themeColor="text1"/>
          <w:kern w:val="0"/>
          <w:sz w:val="32"/>
          <w:szCs w:val="30"/>
          <w14:textFill>
            <w14:solidFill>
              <w14:schemeClr w14:val="tx1"/>
            </w14:solidFill>
          </w14:textFill>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themeColor="text1"/>
          <w:kern w:val="0"/>
          <w:sz w:val="32"/>
          <w:szCs w:val="30"/>
          <w:lang w:eastAsia="zh-CN"/>
          <w14:textFill>
            <w14:solidFill>
              <w14:schemeClr w14:val="tx1"/>
            </w14:solidFill>
          </w14:textFill>
        </w:rPr>
        <w:t>个人农业生产补贴、代缴社会保险费、</w:t>
      </w:r>
      <w:r>
        <w:rPr>
          <w:rFonts w:hint="eastAsia" w:ascii="仿宋" w:hAnsi="仿宋" w:eastAsia="仿宋" w:cs="仿宋"/>
          <w:color w:val="000000" w:themeColor="text1"/>
          <w:kern w:val="0"/>
          <w:sz w:val="32"/>
          <w:szCs w:val="30"/>
          <w14:textFill>
            <w14:solidFill>
              <w14:schemeClr w14:val="tx1"/>
            </w14:solidFill>
          </w14:textFill>
        </w:rPr>
        <w:t>其他等。</w:t>
      </w:r>
    </w:p>
    <w:p w14:paraId="4937660B">
      <w:pPr>
        <w:spacing w:line="578" w:lineRule="exact"/>
        <w:ind w:firstLine="640" w:firstLineChars="200"/>
        <w:jc w:val="left"/>
        <w:rPr>
          <w:rFonts w:hint="eastAsia" w:ascii="仿宋" w:hAnsi="仿宋" w:eastAsia="仿宋" w:cs="仿宋"/>
          <w:color w:val="000000" w:themeColor="text1"/>
          <w:kern w:val="0"/>
          <w:sz w:val="32"/>
          <w:szCs w:val="30"/>
          <w14:textFill>
            <w14:solidFill>
              <w14:schemeClr w14:val="tx1"/>
            </w14:solidFill>
          </w14:textFill>
        </w:rPr>
      </w:pPr>
      <w:r>
        <w:rPr>
          <w:rFonts w:hint="eastAsia" w:ascii="仿宋" w:hAnsi="仿宋" w:eastAsia="仿宋" w:cs="仿宋"/>
          <w:color w:val="000000" w:themeColor="text1"/>
          <w:kern w:val="0"/>
          <w:sz w:val="32"/>
          <w:szCs w:val="30"/>
          <w14:textFill>
            <w14:solidFill>
              <w14:schemeClr w14:val="tx1"/>
            </w14:solidFill>
          </w14:textFill>
        </w:rPr>
        <w:t>九、商品和服务支出：反映单位购买商品和服务的支出，包括办公费、</w:t>
      </w:r>
      <w:r>
        <w:rPr>
          <w:rFonts w:hint="eastAsia" w:ascii="仿宋" w:hAnsi="仿宋" w:eastAsia="仿宋" w:cs="仿宋"/>
          <w:color w:val="000000" w:themeColor="text1"/>
          <w:kern w:val="0"/>
          <w:sz w:val="32"/>
          <w:szCs w:val="30"/>
          <w:lang w:eastAsia="zh-CN"/>
          <w14:textFill>
            <w14:solidFill>
              <w14:schemeClr w14:val="tx1"/>
            </w14:solidFill>
          </w14:textFill>
        </w:rPr>
        <w:t>印刷费、咨询费、手续费、</w:t>
      </w:r>
      <w:r>
        <w:rPr>
          <w:rFonts w:hint="eastAsia" w:ascii="仿宋" w:hAnsi="仿宋" w:eastAsia="仿宋" w:cs="仿宋"/>
          <w:color w:val="000000" w:themeColor="text1"/>
          <w:kern w:val="0"/>
          <w:sz w:val="32"/>
          <w:szCs w:val="30"/>
          <w14:textFill>
            <w14:solidFill>
              <w14:schemeClr w14:val="tx1"/>
            </w14:solidFill>
          </w14:textFill>
        </w:rPr>
        <w:t>水费、电费、邮电费、</w:t>
      </w:r>
      <w:r>
        <w:rPr>
          <w:rFonts w:hint="eastAsia" w:ascii="仿宋" w:hAnsi="仿宋" w:eastAsia="仿宋" w:cs="仿宋"/>
          <w:color w:val="000000" w:themeColor="text1"/>
          <w:kern w:val="0"/>
          <w:sz w:val="32"/>
          <w:szCs w:val="30"/>
          <w:lang w:eastAsia="zh-CN"/>
          <w14:textFill>
            <w14:solidFill>
              <w14:schemeClr w14:val="tx1"/>
            </w14:solidFill>
          </w14:textFill>
        </w:rPr>
        <w:t>取暖费、物业管理费、</w:t>
      </w:r>
      <w:r>
        <w:rPr>
          <w:rFonts w:hint="eastAsia" w:ascii="仿宋" w:hAnsi="仿宋" w:eastAsia="仿宋" w:cs="仿宋"/>
          <w:color w:val="000000" w:themeColor="text1"/>
          <w:kern w:val="0"/>
          <w:sz w:val="32"/>
          <w:szCs w:val="30"/>
          <w14:textFill>
            <w14:solidFill>
              <w14:schemeClr w14:val="tx1"/>
            </w14:solidFill>
          </w14:textFill>
        </w:rPr>
        <w:t>差旅费</w:t>
      </w:r>
      <w:r>
        <w:rPr>
          <w:rFonts w:hint="eastAsia" w:ascii="仿宋" w:hAnsi="仿宋" w:eastAsia="仿宋" w:cs="仿宋"/>
          <w:color w:val="000000" w:themeColor="text1"/>
          <w:kern w:val="0"/>
          <w:sz w:val="32"/>
          <w:szCs w:val="30"/>
          <w:lang w:eastAsia="zh-CN"/>
          <w14:textFill>
            <w14:solidFill>
              <w14:schemeClr w14:val="tx1"/>
            </w14:solidFill>
          </w14:textFill>
        </w:rPr>
        <w:t>、</w:t>
      </w:r>
      <w:r>
        <w:rPr>
          <w:rFonts w:hint="eastAsia" w:ascii="仿宋" w:hAnsi="仿宋" w:eastAsia="仿宋" w:cs="仿宋"/>
          <w:color w:val="000000" w:themeColor="text1"/>
          <w:kern w:val="0"/>
          <w:sz w:val="32"/>
          <w:szCs w:val="30"/>
          <w14:textFill>
            <w14:solidFill>
              <w14:schemeClr w14:val="tx1"/>
            </w14:solidFill>
          </w14:textFill>
        </w:rPr>
        <w:t>因公出国（境）费用</w:t>
      </w:r>
      <w:r>
        <w:rPr>
          <w:rFonts w:hint="eastAsia" w:ascii="仿宋" w:hAnsi="仿宋" w:eastAsia="仿宋" w:cs="仿宋"/>
          <w:color w:val="000000" w:themeColor="text1"/>
          <w:kern w:val="0"/>
          <w:sz w:val="32"/>
          <w:szCs w:val="30"/>
          <w:lang w:eastAsia="zh-CN"/>
          <w14:textFill>
            <w14:solidFill>
              <w14:schemeClr w14:val="tx1"/>
            </w14:solidFill>
          </w14:textFill>
        </w:rPr>
        <w:t>、</w:t>
      </w:r>
      <w:r>
        <w:rPr>
          <w:rFonts w:hint="eastAsia" w:ascii="仿宋" w:hAnsi="仿宋" w:eastAsia="仿宋" w:cs="仿宋"/>
          <w:color w:val="000000" w:themeColor="text1"/>
          <w:kern w:val="0"/>
          <w:sz w:val="32"/>
          <w:szCs w:val="30"/>
          <w14:textFill>
            <w14:solidFill>
              <w14:schemeClr w14:val="tx1"/>
            </w14:solidFill>
          </w14:textFill>
        </w:rPr>
        <w:t>维修（护）费、</w:t>
      </w:r>
      <w:r>
        <w:rPr>
          <w:rFonts w:hint="eastAsia" w:ascii="仿宋" w:hAnsi="仿宋" w:eastAsia="仿宋" w:cs="仿宋"/>
          <w:color w:val="000000" w:themeColor="text1"/>
          <w:kern w:val="0"/>
          <w:sz w:val="32"/>
          <w:szCs w:val="30"/>
          <w:lang w:eastAsia="zh-CN"/>
          <w14:textFill>
            <w14:solidFill>
              <w14:schemeClr w14:val="tx1"/>
            </w14:solidFill>
          </w14:textFill>
        </w:rPr>
        <w:t>租赁费、</w:t>
      </w:r>
      <w:r>
        <w:rPr>
          <w:rFonts w:hint="eastAsia" w:ascii="仿宋" w:hAnsi="仿宋" w:eastAsia="仿宋" w:cs="仿宋"/>
          <w:color w:val="000000" w:themeColor="text1"/>
          <w:kern w:val="0"/>
          <w:sz w:val="32"/>
          <w:szCs w:val="30"/>
          <w14:textFill>
            <w14:solidFill>
              <w14:schemeClr w14:val="tx1"/>
            </w14:solidFill>
          </w14:textFill>
        </w:rPr>
        <w:t>会议费、培训费、公务接待费、</w:t>
      </w:r>
      <w:r>
        <w:rPr>
          <w:rFonts w:hint="eastAsia" w:ascii="仿宋" w:hAnsi="仿宋" w:eastAsia="仿宋" w:cs="仿宋"/>
          <w:color w:val="000000" w:themeColor="text1"/>
          <w:kern w:val="0"/>
          <w:sz w:val="32"/>
          <w:szCs w:val="30"/>
          <w:lang w:eastAsia="zh-CN"/>
          <w14:textFill>
            <w14:solidFill>
              <w14:schemeClr w14:val="tx1"/>
            </w14:solidFill>
          </w14:textFill>
        </w:rPr>
        <w:t>专用材料费、被装购置费、专用燃料费、劳务费、委托业务费</w:t>
      </w:r>
      <w:r>
        <w:rPr>
          <w:rFonts w:hint="eastAsia" w:ascii="仿宋" w:hAnsi="仿宋" w:eastAsia="仿宋" w:cs="仿宋"/>
          <w:color w:val="000000" w:themeColor="text1"/>
          <w:kern w:val="0"/>
          <w:sz w:val="32"/>
          <w:szCs w:val="30"/>
          <w14:textFill>
            <w14:solidFill>
              <w14:schemeClr w14:val="tx1"/>
            </w14:solidFill>
          </w14:textFill>
        </w:rPr>
        <w:t>、工会经费</w:t>
      </w:r>
      <w:r>
        <w:rPr>
          <w:rFonts w:hint="eastAsia" w:ascii="仿宋" w:hAnsi="仿宋" w:eastAsia="仿宋" w:cs="仿宋"/>
          <w:color w:val="000000" w:themeColor="text1"/>
          <w:kern w:val="0"/>
          <w:sz w:val="32"/>
          <w:szCs w:val="30"/>
          <w:lang w:eastAsia="zh-CN"/>
          <w14:textFill>
            <w14:solidFill>
              <w14:schemeClr w14:val="tx1"/>
            </w14:solidFill>
          </w14:textFill>
        </w:rPr>
        <w:t>、</w:t>
      </w:r>
      <w:r>
        <w:rPr>
          <w:rFonts w:hint="eastAsia" w:ascii="仿宋" w:hAnsi="仿宋" w:eastAsia="仿宋" w:cs="仿宋"/>
          <w:color w:val="000000" w:themeColor="text1"/>
          <w:kern w:val="0"/>
          <w:sz w:val="32"/>
          <w:szCs w:val="30"/>
          <w14:textFill>
            <w14:solidFill>
              <w14:schemeClr w14:val="tx1"/>
            </w14:solidFill>
          </w14:textFill>
        </w:rPr>
        <w:t>福利费、公务用车运行维护费、</w:t>
      </w:r>
      <w:r>
        <w:rPr>
          <w:rFonts w:hint="eastAsia" w:ascii="仿宋" w:hAnsi="仿宋" w:eastAsia="仿宋" w:cs="仿宋"/>
          <w:color w:val="000000" w:themeColor="text1"/>
          <w:kern w:val="0"/>
          <w:sz w:val="32"/>
          <w:szCs w:val="30"/>
          <w:lang w:eastAsia="zh-CN"/>
          <w14:textFill>
            <w14:solidFill>
              <w14:schemeClr w14:val="tx1"/>
            </w14:solidFill>
          </w14:textFill>
        </w:rPr>
        <w:t>其他交通费用、税金及附加费用、</w:t>
      </w:r>
      <w:r>
        <w:rPr>
          <w:rFonts w:hint="eastAsia" w:ascii="仿宋" w:hAnsi="仿宋" w:eastAsia="仿宋" w:cs="仿宋"/>
          <w:color w:val="000000" w:themeColor="text1"/>
          <w:kern w:val="0"/>
          <w:sz w:val="32"/>
          <w:szCs w:val="30"/>
          <w14:textFill>
            <w14:solidFill>
              <w14:schemeClr w14:val="tx1"/>
            </w14:solidFill>
          </w14:textFill>
        </w:rPr>
        <w:t>其他</w:t>
      </w:r>
      <w:r>
        <w:rPr>
          <w:rFonts w:hint="eastAsia" w:ascii="仿宋" w:hAnsi="仿宋" w:eastAsia="仿宋" w:cs="仿宋"/>
          <w:color w:val="000000" w:themeColor="text1"/>
          <w:kern w:val="0"/>
          <w:sz w:val="32"/>
          <w:szCs w:val="30"/>
          <w:lang w:eastAsia="zh-CN"/>
          <w14:textFill>
            <w14:solidFill>
              <w14:schemeClr w14:val="tx1"/>
            </w14:solidFill>
          </w14:textFill>
        </w:rPr>
        <w:t>商品和服务支出</w:t>
      </w:r>
      <w:r>
        <w:rPr>
          <w:rFonts w:hint="eastAsia" w:ascii="仿宋" w:hAnsi="仿宋" w:eastAsia="仿宋" w:cs="仿宋"/>
          <w:color w:val="000000" w:themeColor="text1"/>
          <w:kern w:val="0"/>
          <w:sz w:val="32"/>
          <w:szCs w:val="30"/>
          <w14:textFill>
            <w14:solidFill>
              <w14:schemeClr w14:val="tx1"/>
            </w14:solidFill>
          </w14:textFill>
        </w:rPr>
        <w:t>等。</w:t>
      </w:r>
    </w:p>
    <w:p w14:paraId="30234B9A">
      <w:pPr>
        <w:spacing w:line="578" w:lineRule="exact"/>
        <w:ind w:firstLine="640" w:firstLineChars="200"/>
        <w:jc w:val="left"/>
        <w:rPr>
          <w:rFonts w:hint="eastAsia" w:ascii="仿宋" w:hAnsi="仿宋" w:eastAsia="仿宋" w:cs="仿宋"/>
          <w:color w:val="000000" w:themeColor="text1"/>
          <w:kern w:val="0"/>
          <w:sz w:val="32"/>
          <w:szCs w:val="30"/>
          <w14:textFill>
            <w14:solidFill>
              <w14:schemeClr w14:val="tx1"/>
            </w14:solidFill>
          </w14:textFill>
        </w:rPr>
      </w:pPr>
      <w:r>
        <w:rPr>
          <w:rFonts w:hint="eastAsia" w:ascii="仿宋" w:hAnsi="仿宋" w:eastAsia="仿宋" w:cs="仿宋"/>
          <w:color w:val="000000" w:themeColor="text1"/>
          <w:kern w:val="0"/>
          <w:sz w:val="32"/>
          <w:szCs w:val="30"/>
          <w14:textFill>
            <w14:solidFill>
              <w14:schemeClr w14:val="tx1"/>
            </w14:solidFill>
          </w14:textFill>
        </w:rPr>
        <w:t>十、项目支出：指各部门、各单位为完成其特定的工作任务和事业发展目标所发生的支出。</w:t>
      </w:r>
    </w:p>
    <w:p w14:paraId="53EA051B">
      <w:pPr>
        <w:spacing w:line="578" w:lineRule="exact"/>
        <w:ind w:firstLine="640" w:firstLineChars="200"/>
        <w:jc w:val="left"/>
        <w:rPr>
          <w:rFonts w:hint="eastAsia" w:ascii="仿宋" w:hAnsi="仿宋" w:eastAsia="仿宋" w:cs="仿宋"/>
          <w:color w:val="000000" w:themeColor="text1"/>
          <w:kern w:val="0"/>
          <w:sz w:val="32"/>
          <w:szCs w:val="30"/>
          <w14:textFill>
            <w14:solidFill>
              <w14:schemeClr w14:val="tx1"/>
            </w14:solidFill>
          </w14:textFill>
        </w:rPr>
      </w:pPr>
      <w:r>
        <w:rPr>
          <w:rFonts w:hint="eastAsia" w:ascii="仿宋" w:hAnsi="仿宋" w:eastAsia="仿宋" w:cs="仿宋"/>
          <w:color w:val="000000" w:themeColor="text1"/>
          <w:kern w:val="0"/>
          <w:sz w:val="32"/>
          <w:szCs w:val="30"/>
          <w14:textFill>
            <w14:solidFill>
              <w14:schemeClr w14:val="tx1"/>
            </w14:solidFill>
          </w14:textFill>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themeColor="text1"/>
          <w:kern w:val="0"/>
          <w:sz w:val="32"/>
          <w:szCs w:val="30"/>
          <w:lang w:eastAsia="zh-CN"/>
          <w14:textFill>
            <w14:solidFill>
              <w14:schemeClr w14:val="tx1"/>
            </w14:solidFill>
          </w14:textFill>
        </w:rPr>
        <w:t>、牌照费</w:t>
      </w:r>
      <w:r>
        <w:rPr>
          <w:rFonts w:hint="eastAsia" w:ascii="仿宋" w:hAnsi="仿宋" w:eastAsia="仿宋" w:cs="仿宋"/>
          <w:color w:val="000000" w:themeColor="text1"/>
          <w:kern w:val="0"/>
          <w:sz w:val="32"/>
          <w:szCs w:val="30"/>
          <w14:textFill>
            <w14:solidFill>
              <w14:schemeClr w14:val="tx1"/>
            </w14:solidFill>
          </w14:textFill>
        </w:rPr>
        <w:t>）及燃料费、维修费、过路过桥费、保险费、安全奖励费用等支出；公务接待费指单位按规定开支的各类公务接待（含外宾接待）</w:t>
      </w:r>
      <w:r>
        <w:rPr>
          <w:rFonts w:hint="eastAsia" w:ascii="仿宋" w:hAnsi="仿宋" w:eastAsia="仿宋" w:cs="仿宋"/>
          <w:color w:val="000000" w:themeColor="text1"/>
          <w:kern w:val="0"/>
          <w:sz w:val="32"/>
          <w:szCs w:val="30"/>
          <w:lang w:eastAsia="zh-CN"/>
          <w14:textFill>
            <w14:solidFill>
              <w14:schemeClr w14:val="tx1"/>
            </w14:solidFill>
          </w14:textFill>
        </w:rPr>
        <w:t>费用等支出</w:t>
      </w:r>
      <w:r>
        <w:rPr>
          <w:rFonts w:hint="eastAsia" w:ascii="仿宋" w:hAnsi="仿宋" w:eastAsia="仿宋" w:cs="仿宋"/>
          <w:color w:val="000000" w:themeColor="text1"/>
          <w:kern w:val="0"/>
          <w:sz w:val="32"/>
          <w:szCs w:val="30"/>
          <w14:textFill>
            <w14:solidFill>
              <w14:schemeClr w14:val="tx1"/>
            </w14:solidFill>
          </w14:textFill>
        </w:rPr>
        <w:t>。</w:t>
      </w:r>
    </w:p>
    <w:p w14:paraId="1D1C1882">
      <w:pPr>
        <w:spacing w:line="578" w:lineRule="exact"/>
        <w:ind w:firstLine="640" w:firstLineChars="200"/>
        <w:jc w:val="left"/>
        <w:rPr>
          <w:rFonts w:ascii="仿宋_GB2312" w:hAnsi="黑体" w:eastAsia="仿宋_GB2312" w:cs="仿宋_GB2312"/>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0"/>
          <w14:textFill>
            <w14:solidFill>
              <w14:schemeClr w14:val="tx1"/>
            </w14:solidFill>
          </w14:textFill>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529D30BD"/>
    <w:sectPr>
      <w:footerReference r:id="rId4" w:type="default"/>
      <w:pgSz w:w="11906" w:h="16838"/>
      <w:pgMar w:top="2098" w:right="1474" w:bottom="1984" w:left="1587" w:header="851" w:footer="1587" w:gutter="0"/>
      <w:pgNumType w:start="1"/>
      <w:cols w:space="0"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A6CB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28317">
    <w:pPr>
      <w:pStyle w:val="2"/>
    </w:pPr>
    <w:r>
      <w:rPr>
        <w:sz w:val="18"/>
      </w:rP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438785" cy="260350"/>
              <wp:effectExtent l="0" t="0" r="0" b="0"/>
              <wp:wrapNone/>
              <wp:docPr id="1" name="文本框 3"/>
              <wp:cNvGraphicFramePr/>
              <a:graphic xmlns:a="http://schemas.openxmlformats.org/drawingml/2006/main">
                <a:graphicData uri="http://schemas.microsoft.com/office/word/2010/wordprocessingShape">
                  <wps:wsp>
                    <wps:cNvSpPr/>
                    <wps:spPr>
                      <a:xfrm>
                        <a:off x="0" y="0"/>
                        <a:ext cx="438988" cy="260350"/>
                      </a:xfrm>
                      <a:prstGeom prst="rect">
                        <a:avLst/>
                      </a:prstGeom>
                      <a:noFill/>
                      <a:ln w="6350" cap="flat" cmpd="sng">
                        <a:noFill/>
                        <a:prstDash val="solid"/>
                        <a:round/>
                      </a:ln>
                    </wps:spPr>
                    <wps:txbx>
                      <w:txbxContent>
                        <w:p w14:paraId="69ACB7A8">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vert="horz" wrap="none" lIns="0" tIns="0" rIns="0" bIns="0" anchor="t" anchorCtr="0" upright="0">
                      <a:spAutoFit/>
                    </wps:bodyPr>
                  </wps:wsp>
                </a:graphicData>
              </a:graphic>
            </wp:anchor>
          </w:drawing>
        </mc:Choice>
        <mc:Fallback>
          <w:pict>
            <v:rect id="文本框 3" o:spid="_x0000_s1026" o:spt="1" style="position:absolute;left:0pt;margin-top:0pt;height:20.5pt;width:34.55pt;mso-position-horizontal:outside;mso-position-horizontal-relative:margin;mso-wrap-style:none;z-index:251659264;mso-width-relative:page;mso-height-relative:page;" filled="f" stroked="f" coordsize="21600,21600" o:gfxdata="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PR8ejdYAAAADAQAADwAAAAAAAAABACAAAAAiAAAAZHJzL2Rv&#10;d25yZXYueG1sUEsBAhQAFAAAAAgAh07iQDiqLzQDAgAA9AMAAA4AAAAAAAAAAQAgAAAAJQEAAGRy&#10;cy9lMm9Eb2MueG1sUEsFBgAAAAAGAAYAWQEAAJoFAAAAAA==&#10;">
              <v:fill on="f" focussize="0,0"/>
              <v:stroke on="f" weight="0.5pt" joinstyle="round"/>
              <v:imagedata o:title=""/>
              <o:lock v:ext="edit" aspectratio="f"/>
              <v:textbox inset="0mm,0mm,0mm,0mm" style="mso-fit-shape-to-text:t;">
                <w:txbxContent>
                  <w:p w14:paraId="69ACB7A8">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BDDE4"/>
    <w:multiLevelType w:val="multilevel"/>
    <w:tmpl w:val="FFEBDDE4"/>
    <w:lvl w:ilvl="0" w:tentative="0">
      <w:start w:val="1"/>
      <w:numFmt w:val="chineseCountingThousand"/>
      <w:lvlText w:val="（%1）"/>
      <w:lvlJc w:val="left"/>
      <w:pPr>
        <w:ind w:left="1600" w:hanging="96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2FB54A5"/>
    <w:multiLevelType w:val="singleLevel"/>
    <w:tmpl w:val="22FB54A5"/>
    <w:lvl w:ilvl="0" w:tentative="0">
      <w:start w:val="7"/>
      <w:numFmt w:val="chineseCounting"/>
      <w:suff w:val="nothing"/>
      <w:lvlText w:val="%1、"/>
      <w:lvlJc w:val="left"/>
      <w:rPr>
        <w:rFonts w:hint="eastAsia"/>
      </w:rPr>
    </w:lvl>
  </w:abstractNum>
  <w:abstractNum w:abstractNumId="3">
    <w:nsid w:val="2E0F23F2"/>
    <w:multiLevelType w:val="multilevel"/>
    <w:tmpl w:val="2E0F23F2"/>
    <w:lvl w:ilvl="0" w:tentative="0">
      <w:start w:val="1"/>
      <w:numFmt w:val="decimal"/>
      <w:lvlText w:val="%1."/>
      <w:lvlJc w:val="left"/>
      <w:pPr>
        <w:ind w:left="1200" w:hanging="360"/>
      </w:pPr>
      <w:rPr>
        <w:rFonts w:hint="default"/>
      </w:rPr>
    </w:lvl>
    <w:lvl w:ilvl="1" w:tentative="0">
      <w:start w:val="1"/>
      <w:numFmt w:val="lowerLetter"/>
      <w:lvlText w:val="%2)"/>
      <w:lvlJc w:val="left"/>
      <w:pPr>
        <w:ind w:left="1640" w:hanging="420"/>
      </w:pPr>
    </w:lvl>
    <w:lvl w:ilvl="2" w:tentative="0">
      <w:start w:val="1"/>
      <w:numFmt w:val="lowerRoman"/>
      <w:lvlText w:val="%3."/>
      <w:lvlJc w:val="right"/>
      <w:pPr>
        <w:ind w:left="2060" w:hanging="420"/>
      </w:pPr>
    </w:lvl>
    <w:lvl w:ilvl="3" w:tentative="0">
      <w:start w:val="1"/>
      <w:numFmt w:val="decimal"/>
      <w:lvlText w:val="%4."/>
      <w:lvlJc w:val="left"/>
      <w:pPr>
        <w:ind w:left="2480" w:hanging="420"/>
      </w:pPr>
    </w:lvl>
    <w:lvl w:ilvl="4" w:tentative="0">
      <w:start w:val="1"/>
      <w:numFmt w:val="lowerLetter"/>
      <w:lvlText w:val="%5)"/>
      <w:lvlJc w:val="left"/>
      <w:pPr>
        <w:ind w:left="2900" w:hanging="420"/>
      </w:pPr>
    </w:lvl>
    <w:lvl w:ilvl="5" w:tentative="0">
      <w:start w:val="1"/>
      <w:numFmt w:val="lowerRoman"/>
      <w:lvlText w:val="%6."/>
      <w:lvlJc w:val="right"/>
      <w:pPr>
        <w:ind w:left="3320" w:hanging="420"/>
      </w:pPr>
    </w:lvl>
    <w:lvl w:ilvl="6" w:tentative="0">
      <w:start w:val="1"/>
      <w:numFmt w:val="decimal"/>
      <w:lvlText w:val="%7."/>
      <w:lvlJc w:val="left"/>
      <w:pPr>
        <w:ind w:left="3740" w:hanging="420"/>
      </w:pPr>
    </w:lvl>
    <w:lvl w:ilvl="7" w:tentative="0">
      <w:start w:val="1"/>
      <w:numFmt w:val="lowerLetter"/>
      <w:lvlText w:val="%8)"/>
      <w:lvlJc w:val="left"/>
      <w:pPr>
        <w:ind w:left="4160" w:hanging="420"/>
      </w:pPr>
    </w:lvl>
    <w:lvl w:ilvl="8" w:tentative="0">
      <w:start w:val="1"/>
      <w:numFmt w:val="lowerRoman"/>
      <w:lvlText w:val="%9."/>
      <w:lvlJc w:val="right"/>
      <w:pPr>
        <w:ind w:left="4580" w:hanging="420"/>
      </w:pPr>
    </w:lvl>
  </w:abstractNum>
  <w:abstractNum w:abstractNumId="4">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5"/>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6C12F2"/>
    <w:rsid w:val="08640973"/>
    <w:rsid w:val="09102BEE"/>
    <w:rsid w:val="0EC63459"/>
    <w:rsid w:val="12944A3C"/>
    <w:rsid w:val="236C12F2"/>
    <w:rsid w:val="3D2A57AB"/>
    <w:rsid w:val="76F20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customStyle="1" w:styleId="5">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10</TotalTime>
  <ScaleCrop>false</ScaleCrop>
  <LinksUpToDate>false</LinksUpToDate>
  <CharactersWithSpaces>0</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2024-03-11T04:40:00Z</dcterms:created>
  <dc:creator>Administrator</dc:creator>
  <cp:lastModifiedBy>李兆奇</cp:lastModifiedBy>
  <dcterms:modified xsi:type="dcterms:W3CDTF">2026-03-02T03:53:16Z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F8E50360114E4CDCB9CFE8322543161B_13</vt:lpwstr>
  </property>
</Properties>
</file>