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A22F">
      <w:pPr>
        <w:rPr>
          <w:color w:val="auto"/>
          <w:sz w:val="84"/>
          <w:szCs w:val="84"/>
          <w:u w:val="single"/>
        </w:rPr>
      </w:pPr>
    </w:p>
    <w:p w14:paraId="5A21AEC8">
      <w:pPr>
        <w:rPr>
          <w:color w:val="auto"/>
          <w:sz w:val="84"/>
          <w:szCs w:val="84"/>
          <w:u w:val="single"/>
        </w:rPr>
      </w:pPr>
    </w:p>
    <w:p w14:paraId="529C249B">
      <w:pPr>
        <w:rPr>
          <w:color w:val="auto"/>
          <w:sz w:val="84"/>
          <w:szCs w:val="84"/>
          <w:u w:val="single"/>
        </w:rPr>
      </w:pPr>
    </w:p>
    <w:p w14:paraId="121F18A4">
      <w:pPr>
        <w:rPr>
          <w:color w:val="auto"/>
          <w:sz w:val="84"/>
          <w:szCs w:val="84"/>
          <w:u w:val="single"/>
        </w:rPr>
      </w:pPr>
    </w:p>
    <w:p w14:paraId="4C783E80">
      <w:pPr>
        <w:spacing w:line="560" w:lineRule="exact"/>
        <w:jc w:val="center"/>
        <w:rPr>
          <w:rFonts w:hint="eastAsia"/>
          <w:sz w:val="52"/>
          <w:szCs w:val="52"/>
          <w:u w:val="none"/>
          <w:lang w:val="en-US" w:eastAsia="zh-CN"/>
        </w:rPr>
      </w:pPr>
      <w:r>
        <w:rPr>
          <w:rFonts w:hint="eastAsia"/>
          <w:sz w:val="52"/>
          <w:szCs w:val="52"/>
          <w:u w:val="none"/>
          <w:lang w:val="en-US" w:eastAsia="zh-CN"/>
        </w:rPr>
        <w:t>2026年儋州市南丰镇中心学校单位预算</w:t>
      </w:r>
    </w:p>
    <w:p w14:paraId="1B24D398">
      <w:pPr>
        <w:ind w:firstLine="1680"/>
        <w:jc w:val="center"/>
        <w:rPr>
          <w:color w:val="auto"/>
          <w:sz w:val="84"/>
          <w:szCs w:val="84"/>
        </w:rPr>
      </w:pPr>
    </w:p>
    <w:p w14:paraId="63E49A1A">
      <w:pPr>
        <w:ind w:firstLine="1680"/>
        <w:jc w:val="center"/>
        <w:rPr>
          <w:color w:val="auto"/>
          <w:sz w:val="84"/>
          <w:szCs w:val="84"/>
        </w:rPr>
      </w:pPr>
    </w:p>
    <w:p w14:paraId="69CEC673">
      <w:pPr>
        <w:jc w:val="both"/>
        <w:rPr>
          <w:rFonts w:hint="eastAsia" w:ascii="黑体" w:hAnsi="黑体" w:eastAsia="黑体"/>
          <w:color w:val="auto"/>
          <w:sz w:val="52"/>
          <w:szCs w:val="52"/>
        </w:rPr>
        <w:sectPr>
          <w:footerReference r:id="rId3" w:type="default"/>
          <w:pgSz w:w="11906" w:h="16838"/>
          <w:pgMar w:top="1440" w:right="1800" w:bottom="1440" w:left="1800" w:header="851" w:footer="992" w:gutter="0"/>
          <w:cols w:space="720" w:num="1"/>
          <w:docGrid w:type="lines" w:linePitch="312" w:charSpace="0"/>
        </w:sectPr>
      </w:pPr>
    </w:p>
    <w:p w14:paraId="1A3F0A34">
      <w:pPr>
        <w:spacing w:line="578" w:lineRule="exact"/>
        <w:jc w:val="both"/>
        <w:rPr>
          <w:rFonts w:hint="eastAsia" w:ascii="方正小标宋简体" w:hAnsi="方正小标宋简体" w:eastAsia="方正小标宋简体" w:cs="方正小标宋简体"/>
          <w:color w:val="auto"/>
          <w:sz w:val="44"/>
          <w:szCs w:val="44"/>
        </w:rPr>
      </w:pPr>
    </w:p>
    <w:p w14:paraId="06E1880A">
      <w:pPr>
        <w:spacing w:line="578"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目</w:t>
      </w: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录</w:t>
      </w:r>
    </w:p>
    <w:p w14:paraId="235ECDB1">
      <w:pPr>
        <w:spacing w:line="578" w:lineRule="exact"/>
        <w:jc w:val="center"/>
        <w:rPr>
          <w:rFonts w:hint="eastAsia" w:ascii="黑体" w:hAnsi="黑体" w:eastAsia="黑体"/>
          <w:color w:val="auto"/>
          <w:sz w:val="52"/>
          <w:szCs w:val="52"/>
        </w:rPr>
      </w:pPr>
    </w:p>
    <w:p w14:paraId="25E35E48">
      <w:pPr>
        <w:pStyle w:val="8"/>
        <w:numPr>
          <w:ilvl w:val="0"/>
          <w:numId w:val="1"/>
        </w:numPr>
        <w:spacing w:line="240" w:lineRule="auto"/>
        <w:ind w:firstLineChars="0"/>
        <w:jc w:val="left"/>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 xml:space="preserve">  儋州市南丰镇中心学校概况</w:t>
      </w:r>
    </w:p>
    <w:p w14:paraId="009F54E4">
      <w:pPr>
        <w:pStyle w:val="8"/>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eastAsia="zh-CN"/>
        </w:rPr>
        <w:t>一、主要职能</w:t>
      </w:r>
    </w:p>
    <w:p w14:paraId="0DFBA1BD">
      <w:pPr>
        <w:pStyle w:val="8"/>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eastAsia="zh-CN"/>
        </w:rPr>
        <w:t>二、机构设置</w:t>
      </w:r>
    </w:p>
    <w:p w14:paraId="350E0B6E">
      <w:pPr>
        <w:pStyle w:val="8"/>
        <w:numPr>
          <w:ilvl w:val="0"/>
          <w:numId w:val="1"/>
        </w:numPr>
        <w:spacing w:line="240" w:lineRule="auto"/>
        <w:ind w:firstLineChars="0"/>
        <w:rPr>
          <w:rFonts w:hint="eastAsia" w:ascii="黑体" w:hAnsi="黑体" w:eastAsia="黑体"/>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u w:val="none"/>
          <w:lang w:eastAsia="zh-CN"/>
        </w:rPr>
        <w:t>2026</w:t>
      </w:r>
      <w:r>
        <w:rPr>
          <w:rFonts w:hint="eastAsia" w:ascii="黑体" w:hAnsi="黑体" w:eastAsia="黑体"/>
          <w:sz w:val="32"/>
          <w:szCs w:val="32"/>
          <w:u w:val="none"/>
        </w:rPr>
        <w:t>年</w:t>
      </w:r>
      <w:r>
        <w:rPr>
          <w:rFonts w:hint="eastAsia" w:ascii="黑体" w:hAnsi="黑体" w:eastAsia="黑体"/>
          <w:sz w:val="32"/>
          <w:szCs w:val="32"/>
          <w:u w:val="none"/>
          <w:lang w:val="en-US" w:eastAsia="zh-CN"/>
        </w:rPr>
        <w:t>单位</w:t>
      </w:r>
      <w:r>
        <w:rPr>
          <w:rFonts w:hint="eastAsia" w:ascii="黑体" w:hAnsi="黑体" w:eastAsia="黑体"/>
          <w:sz w:val="32"/>
          <w:szCs w:val="32"/>
          <w:u w:val="none"/>
        </w:rPr>
        <w:t>预算表</w:t>
      </w:r>
    </w:p>
    <w:p w14:paraId="67AE49AB">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80A289B">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3627492">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B8C4DD3">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1CFAF13">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47F0104">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4785474">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76DEDCA1">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AF4747D">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D5FD680">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6589BEAE">
      <w:pPr>
        <w:pStyle w:val="8"/>
        <w:numPr>
          <w:ilvl w:val="0"/>
          <w:numId w:val="2"/>
        </w:numPr>
        <w:spacing w:line="240" w:lineRule="auto"/>
        <w:ind w:firstLineChars="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项目支出绩效信息表</w:t>
      </w:r>
    </w:p>
    <w:p w14:paraId="5BAF5D74">
      <w:pPr>
        <w:pStyle w:val="8"/>
        <w:numPr>
          <w:ilvl w:val="0"/>
          <w:numId w:val="1"/>
        </w:numPr>
        <w:spacing w:line="240" w:lineRule="auto"/>
        <w:ind w:firstLineChars="0"/>
        <w:jc w:val="left"/>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 xml:space="preserve">  2026年单位预算情况说明</w:t>
      </w:r>
    </w:p>
    <w:p w14:paraId="41DB21A6">
      <w:pPr>
        <w:pStyle w:val="8"/>
        <w:numPr>
          <w:ilvl w:val="0"/>
          <w:numId w:val="1"/>
        </w:numPr>
        <w:spacing w:line="240" w:lineRule="auto"/>
        <w:ind w:firstLineChars="0"/>
        <w:jc w:val="left"/>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 xml:space="preserve">  名词解释</w:t>
      </w:r>
    </w:p>
    <w:p w14:paraId="7889FBAF">
      <w:pPr>
        <w:spacing w:line="578" w:lineRule="exact"/>
        <w:jc w:val="left"/>
        <w:rPr>
          <w:rFonts w:ascii="黑体" w:hAnsi="黑体" w:eastAsia="黑体"/>
          <w:color w:val="auto"/>
          <w:sz w:val="32"/>
          <w:szCs w:val="32"/>
        </w:rPr>
      </w:pPr>
    </w:p>
    <w:p w14:paraId="3B36C9F8">
      <w:pPr>
        <w:pStyle w:val="8"/>
        <w:numPr>
          <w:ilvl w:val="0"/>
          <w:numId w:val="3"/>
        </w:numPr>
        <w:spacing w:line="578" w:lineRule="exact"/>
        <w:ind w:firstLineChars="0"/>
        <w:jc w:val="center"/>
        <w:rPr>
          <w:rFonts w:ascii="仿宋_GB2312" w:hAnsi="仿宋_GB2312" w:eastAsia="仿宋_GB2312" w:cs="仿宋_GB2312"/>
          <w:color w:val="auto"/>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5E7F05F3">
      <w:pPr>
        <w:pStyle w:val="8"/>
        <w:numPr>
          <w:ilvl w:val="0"/>
          <w:numId w:val="3"/>
        </w:numPr>
        <w:spacing w:line="560" w:lineRule="exact"/>
        <w:ind w:firstLineChars="0"/>
        <w:jc w:val="center"/>
        <w:rPr>
          <w:rFonts w:hint="eastAsia" w:ascii="方正黑体_GBK" w:hAnsi="方正黑体_GBK" w:eastAsia="方正黑体_GBK" w:cs="方正黑体_GBK"/>
          <w:sz w:val="32"/>
          <w:szCs w:val="32"/>
          <w:u w:val="none"/>
          <w:lang w:val="en-US" w:eastAsia="zh-CN"/>
        </w:rPr>
      </w:pPr>
      <w:r>
        <w:rPr>
          <w:rFonts w:hint="eastAsia" w:ascii="方正黑体_GBK" w:hAnsi="方正黑体_GBK" w:eastAsia="方正黑体_GBK" w:cs="方正黑体_GBK"/>
          <w:sz w:val="32"/>
          <w:szCs w:val="32"/>
          <w:u w:val="none"/>
          <w:lang w:val="en-US" w:eastAsia="zh-CN"/>
        </w:rPr>
        <w:t xml:space="preserve">  儋州市南丰镇中心学校概况</w:t>
      </w:r>
    </w:p>
    <w:p w14:paraId="066EB414">
      <w:pPr>
        <w:spacing w:line="578" w:lineRule="exact"/>
        <w:jc w:val="left"/>
        <w:rPr>
          <w:rFonts w:ascii="仿宋_GB2312" w:hAnsi="仿宋_GB2312" w:eastAsia="仿宋_GB2312" w:cs="仿宋_GB2312"/>
          <w:color w:val="auto"/>
          <w:sz w:val="32"/>
          <w:szCs w:val="32"/>
        </w:rPr>
      </w:pPr>
    </w:p>
    <w:p w14:paraId="1BC3C541">
      <w:pPr>
        <w:pStyle w:val="8"/>
        <w:numPr>
          <w:ilvl w:val="-1"/>
          <w:numId w:val="0"/>
        </w:numPr>
        <w:spacing w:line="560" w:lineRule="exact"/>
        <w:ind w:left="0" w:firstLine="640" w:firstLineChars="200"/>
        <w:jc w:val="left"/>
        <w:rPr>
          <w:rFonts w:hint="eastAsia" w:ascii="黑体" w:hAnsi="黑体" w:eastAsia="黑体" w:cs="仿宋_GB2312"/>
          <w:sz w:val="32"/>
          <w:szCs w:val="32"/>
          <w:u w:val="none"/>
          <w:lang w:eastAsia="zh-CN"/>
        </w:rPr>
      </w:pPr>
      <w:r>
        <w:rPr>
          <w:rFonts w:hint="eastAsia" w:ascii="黑体" w:hAnsi="黑体" w:eastAsia="黑体" w:cs="仿宋_GB2312"/>
          <w:sz w:val="32"/>
          <w:szCs w:val="32"/>
          <w:u w:val="none"/>
          <w:lang w:val="en-US" w:eastAsia="zh-CN"/>
        </w:rPr>
        <w:t>一、</w:t>
      </w:r>
      <w:r>
        <w:rPr>
          <w:rFonts w:hint="eastAsia" w:ascii="黑体" w:hAnsi="黑体" w:eastAsia="黑体" w:cs="仿宋_GB2312"/>
          <w:sz w:val="32"/>
          <w:szCs w:val="32"/>
          <w:u w:val="none"/>
          <w:lang w:eastAsia="zh-CN"/>
        </w:rPr>
        <w:t>主要职能</w:t>
      </w:r>
    </w:p>
    <w:p w14:paraId="1368ABFC">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全面贯彻执行党和国家的教育方针、政策、法律法规等，坚持依法治教、依法治学。</w:t>
      </w:r>
    </w:p>
    <w:p w14:paraId="08959D51">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配合市、镇人民政府制定符合党的教育方针和国家教育法律法规以及本校实际的教育发展规划和学校布局调整规划，并抓好组织实施和落实工作。</w:t>
      </w:r>
    </w:p>
    <w:p w14:paraId="5ADEAF61">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配合各级人民政府依法动员、组织适龄儿童入学，严格控制掇学。</w:t>
      </w:r>
    </w:p>
    <w:p w14:paraId="477798A4">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组织开展本校的教育教学科研和教育教学改革，科研兴教，科研兴校。负责对本校教育教学业务的具体管理，负责教育教学管理及教研教改工作，全力推进素质教育实施。</w:t>
      </w:r>
    </w:p>
    <w:p w14:paraId="7EA1ED0A">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按照干部和教师的职数、编制和管理权限，负责本校教师人事管理、继续教育、考核考评等工作。</w:t>
      </w:r>
    </w:p>
    <w:p w14:paraId="54EA7B35">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指导学校认真搞好学校财产、经费的管理和使用工作，严格执行财务管理制度。</w:t>
      </w:r>
    </w:p>
    <w:p w14:paraId="0B7AB280">
      <w:pPr>
        <w:pStyle w:val="8"/>
        <w:numPr>
          <w:ilvl w:val="0"/>
          <w:numId w:val="4"/>
        </w:numPr>
        <w:spacing w:line="560" w:lineRule="exact"/>
        <w:ind w:left="0" w:leftChars="0"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按照义务教育课程计划，开齐课程，开足课时，认真实施中小学的教育教学管理，全面推进素质教育，全面提高教育教学质量。</w:t>
      </w:r>
    </w:p>
    <w:p w14:paraId="09292873">
      <w:pPr>
        <w:spacing w:line="578" w:lineRule="exact"/>
        <w:ind w:firstLine="640" w:firstLineChars="200"/>
        <w:rPr>
          <w:rFonts w:hint="eastAsia" w:ascii="黑体" w:hAnsi="黑体" w:eastAsia="黑体" w:cs="黑体"/>
          <w:sz w:val="32"/>
          <w:szCs w:val="32"/>
          <w:highlight w:val="none"/>
        </w:rPr>
      </w:pPr>
      <w:bookmarkStart w:id="0" w:name="_Toc24059_WPSOffice_Level2"/>
      <w:bookmarkStart w:id="1" w:name="_Toc4833_WPSOffice_Level2"/>
      <w:bookmarkStart w:id="2" w:name="_Toc17796_WPSOffice_Level2"/>
      <w:bookmarkStart w:id="3" w:name="_Toc24474_WPSOffice_Level2"/>
      <w:bookmarkStart w:id="4" w:name="_Toc6572_WPSOffice_Level2"/>
      <w:r>
        <w:rPr>
          <w:rFonts w:hint="eastAsia" w:ascii="黑体" w:hAnsi="黑体" w:eastAsia="黑体" w:cs="黑体"/>
          <w:sz w:val="32"/>
          <w:szCs w:val="32"/>
          <w:highlight w:val="none"/>
        </w:rPr>
        <w:t>二、机构设置</w:t>
      </w:r>
      <w:bookmarkEnd w:id="0"/>
      <w:bookmarkEnd w:id="1"/>
      <w:bookmarkEnd w:id="2"/>
      <w:bookmarkEnd w:id="3"/>
      <w:bookmarkEnd w:id="4"/>
    </w:p>
    <w:p w14:paraId="3A593C01">
      <w:pPr>
        <w:numPr>
          <w:ilvl w:val="-1"/>
          <w:numId w:val="0"/>
        </w:numPr>
        <w:spacing w:line="560" w:lineRule="exact"/>
        <w:ind w:left="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儋州市南丰镇中心学校内设 7 个处室（科室），包括党政</w:t>
      </w:r>
      <w:r>
        <w:rPr>
          <w:rFonts w:hint="eastAsia" w:ascii="仿宋_GB2312" w:hAnsi="黑体" w:eastAsia="仿宋_GB2312" w:cs="仿宋_GB2312"/>
          <w:sz w:val="32"/>
          <w:szCs w:val="32"/>
          <w:u w:val="none"/>
        </w:rPr>
        <w:t>办公室、教研</w:t>
      </w:r>
      <w:r>
        <w:rPr>
          <w:rFonts w:hint="eastAsia" w:ascii="仿宋_GB2312" w:hAnsi="黑体" w:eastAsia="仿宋_GB2312" w:cs="仿宋_GB2312"/>
          <w:sz w:val="32"/>
          <w:szCs w:val="32"/>
          <w:u w:val="none"/>
          <w:lang w:val="en-US" w:eastAsia="zh-CN"/>
        </w:rPr>
        <w:t>中心、</w:t>
      </w:r>
      <w:r>
        <w:rPr>
          <w:rFonts w:hint="eastAsia" w:ascii="仿宋_GB2312" w:hAnsi="黑体" w:eastAsia="仿宋_GB2312" w:cs="仿宋_GB2312"/>
          <w:sz w:val="32"/>
          <w:szCs w:val="32"/>
          <w:u w:val="none"/>
        </w:rPr>
        <w:t>教务处、德育处、总务处、</w:t>
      </w:r>
      <w:r>
        <w:rPr>
          <w:rFonts w:hint="eastAsia" w:ascii="仿宋_GB2312" w:hAnsi="黑体" w:eastAsia="仿宋_GB2312" w:cs="仿宋_GB2312"/>
          <w:sz w:val="32"/>
          <w:szCs w:val="32"/>
          <w:u w:val="none"/>
          <w:lang w:val="en-US" w:eastAsia="zh-CN"/>
        </w:rPr>
        <w:t>信息中心、少先队部</w:t>
      </w:r>
      <w:r>
        <w:rPr>
          <w:rFonts w:hint="eastAsia" w:ascii="仿宋_GB2312" w:hAnsi="黑体" w:eastAsia="仿宋_GB2312" w:cs="仿宋_GB2312"/>
          <w:sz w:val="32"/>
          <w:szCs w:val="32"/>
          <w:u w:val="none"/>
        </w:rPr>
        <w:t>。</w:t>
      </w:r>
    </w:p>
    <w:p w14:paraId="336F753F">
      <w:pPr>
        <w:spacing w:line="560" w:lineRule="exact"/>
        <w:ind w:firstLine="620" w:firstLineChars="200"/>
        <w:rPr>
          <w:rFonts w:hint="eastAsia" w:ascii="仿宋" w:hAnsi="仿宋" w:eastAsia="仿宋" w:cs="仿宋_GB2312"/>
          <w:color w:val="auto"/>
          <w:sz w:val="31"/>
          <w:szCs w:val="31"/>
          <w:lang w:val="en-US" w:eastAsia="zh-CN"/>
        </w:rPr>
      </w:pPr>
    </w:p>
    <w:p w14:paraId="1411AECC">
      <w:pPr>
        <w:pStyle w:val="8"/>
        <w:numPr>
          <w:ilvl w:val="0"/>
          <w:numId w:val="0"/>
        </w:numPr>
        <w:spacing w:line="560" w:lineRule="exact"/>
        <w:jc w:val="center"/>
        <w:rPr>
          <w:rFonts w:hint="eastAsia" w:ascii="方正黑体_GBK" w:hAnsi="方正黑体_GBK" w:eastAsia="方正黑体_GBK" w:cs="方正黑体_GBK"/>
          <w:b w:val="0"/>
          <w:bCs/>
          <w:sz w:val="32"/>
          <w:szCs w:val="32"/>
          <w:u w:val="none"/>
          <w:lang w:eastAsia="zh-CN"/>
        </w:rPr>
      </w:pPr>
      <w:r>
        <w:rPr>
          <w:rFonts w:hint="eastAsia" w:ascii="方正黑体_GBK" w:hAnsi="方正黑体_GBK" w:eastAsia="方正黑体_GBK" w:cs="方正黑体_GBK"/>
          <w:b w:val="0"/>
          <w:bCs/>
          <w:sz w:val="32"/>
          <w:szCs w:val="32"/>
          <w:u w:val="none"/>
          <w:lang w:eastAsia="zh-CN"/>
        </w:rPr>
        <w:t>第二部分  2026年</w:t>
      </w:r>
      <w:r>
        <w:rPr>
          <w:rFonts w:hint="eastAsia" w:ascii="方正黑体_GBK" w:hAnsi="方正黑体_GBK" w:eastAsia="方正黑体_GBK" w:cs="方正黑体_GBK"/>
          <w:b w:val="0"/>
          <w:bCs/>
          <w:sz w:val="32"/>
          <w:szCs w:val="32"/>
          <w:u w:val="none"/>
          <w:lang w:val="en-US" w:eastAsia="zh-CN"/>
        </w:rPr>
        <w:t>单位</w:t>
      </w:r>
      <w:r>
        <w:rPr>
          <w:rFonts w:hint="eastAsia" w:ascii="方正黑体_GBK" w:hAnsi="方正黑体_GBK" w:eastAsia="方正黑体_GBK" w:cs="方正黑体_GBK"/>
          <w:b w:val="0"/>
          <w:bCs/>
          <w:sz w:val="32"/>
          <w:szCs w:val="32"/>
          <w:u w:val="none"/>
          <w:lang w:eastAsia="zh-CN"/>
        </w:rPr>
        <w:t>预算表</w:t>
      </w:r>
    </w:p>
    <w:p w14:paraId="719542C2">
      <w:pPr>
        <w:pStyle w:val="8"/>
        <w:numPr>
          <w:ilvl w:val="0"/>
          <w:numId w:val="0"/>
        </w:numPr>
        <w:spacing w:line="560" w:lineRule="exact"/>
        <w:ind w:left="0" w:firstLine="1280" w:firstLineChars="400"/>
        <w:jc w:val="left"/>
        <w:rPr>
          <w:rFonts w:hint="eastAsia" w:ascii="方正黑体_GBK" w:hAnsi="方正黑体_GBK" w:eastAsia="方正黑体_GBK" w:cs="方正黑体_GBK"/>
          <w:b w:val="0"/>
          <w:bCs/>
          <w:sz w:val="32"/>
          <w:szCs w:val="32"/>
          <w:u w:val="none"/>
          <w:lang w:eastAsia="zh-CN"/>
        </w:rPr>
      </w:pPr>
    </w:p>
    <w:p w14:paraId="5D3F03A0">
      <w:pPr>
        <w:pStyle w:val="8"/>
        <w:numPr>
          <w:ilvl w:val="0"/>
          <w:numId w:val="0"/>
        </w:numPr>
        <w:spacing w:line="560" w:lineRule="exact"/>
        <w:jc w:val="center"/>
        <w:rPr>
          <w:rFonts w:hint="eastAsia" w:ascii="方正黑体_GBK" w:hAnsi="方正黑体_GBK" w:eastAsia="方正黑体_GBK" w:cs="方正黑体_GBK"/>
          <w:b w:val="0"/>
          <w:bCs/>
          <w:sz w:val="32"/>
          <w:szCs w:val="32"/>
          <w:u w:val="none"/>
          <w:lang w:eastAsia="zh-CN"/>
        </w:rPr>
      </w:pPr>
      <w:r>
        <w:rPr>
          <w:rFonts w:hint="eastAsia" w:ascii="方正黑体_GBK" w:hAnsi="方正黑体_GBK" w:eastAsia="方正黑体_GBK" w:cs="方正黑体_GBK"/>
          <w:b w:val="0"/>
          <w:bCs/>
          <w:sz w:val="32"/>
          <w:szCs w:val="32"/>
          <w:u w:val="none"/>
          <w:lang w:eastAsia="zh-CN"/>
        </w:rPr>
        <w:t>（此部分内容即为部门或单位预算公开表）</w:t>
      </w:r>
    </w:p>
    <w:p w14:paraId="1AA33B83">
      <w:pPr>
        <w:spacing w:line="578" w:lineRule="exact"/>
        <w:rPr>
          <w:rFonts w:ascii="黑体" w:hAnsi="黑体" w:eastAsia="黑体"/>
          <w:color w:val="auto"/>
          <w:sz w:val="32"/>
          <w:szCs w:val="32"/>
        </w:rPr>
      </w:pPr>
    </w:p>
    <w:p w14:paraId="10957E34">
      <w:pPr>
        <w:spacing w:line="560" w:lineRule="exact"/>
        <w:ind w:firstLine="0" w:firstLineChars="0"/>
        <w:jc w:val="center"/>
        <w:rPr>
          <w:rFonts w:hint="eastAsia" w:ascii="黑体" w:hAnsi="黑体" w:eastAsia="黑体"/>
          <w:sz w:val="32"/>
          <w:szCs w:val="32"/>
          <w:u w:val="none"/>
          <w:lang w:eastAsia="zh-CN"/>
        </w:rPr>
      </w:pPr>
      <w:r>
        <w:rPr>
          <w:rFonts w:hint="eastAsia" w:ascii="黑体" w:hAnsi="黑体" w:eastAsia="黑体"/>
          <w:sz w:val="32"/>
          <w:szCs w:val="32"/>
          <w:u w:val="none"/>
          <w:lang w:eastAsia="zh-CN"/>
        </w:rPr>
        <w:t>第三部分  2026年</w:t>
      </w:r>
      <w:r>
        <w:rPr>
          <w:rFonts w:hint="eastAsia" w:ascii="黑体" w:hAnsi="黑体" w:eastAsia="黑体"/>
          <w:sz w:val="32"/>
          <w:szCs w:val="32"/>
          <w:u w:val="none"/>
          <w:lang w:val="en-US" w:eastAsia="zh-CN"/>
        </w:rPr>
        <w:t>单位</w:t>
      </w:r>
      <w:r>
        <w:rPr>
          <w:rFonts w:hint="eastAsia" w:ascii="黑体" w:hAnsi="黑体" w:eastAsia="黑体"/>
          <w:sz w:val="32"/>
          <w:szCs w:val="32"/>
          <w:u w:val="none"/>
          <w:lang w:eastAsia="zh-CN"/>
        </w:rPr>
        <w:t>预算情况说明</w:t>
      </w:r>
    </w:p>
    <w:p w14:paraId="34E56DA3">
      <w:pPr>
        <w:spacing w:line="578" w:lineRule="exact"/>
        <w:jc w:val="center"/>
        <w:rPr>
          <w:rFonts w:ascii="黑体" w:hAnsi="黑体" w:eastAsia="黑体"/>
          <w:color w:val="auto"/>
          <w:sz w:val="32"/>
          <w:szCs w:val="32"/>
        </w:rPr>
      </w:pPr>
    </w:p>
    <w:p w14:paraId="7D117264">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一、财政拨款收支预算总体</w:t>
      </w:r>
      <w:r>
        <w:rPr>
          <w:rFonts w:hint="eastAsia" w:ascii="方正黑体_GBK" w:hAnsi="方正黑体_GBK" w:eastAsia="方正黑体_GBK" w:cs="方正黑体_GBK"/>
          <w:sz w:val="32"/>
          <w:szCs w:val="32"/>
          <w:u w:val="none"/>
          <w:lang w:val="en-US" w:eastAsia="zh-CN"/>
        </w:rPr>
        <w:t>情况</w:t>
      </w:r>
      <w:r>
        <w:rPr>
          <w:rFonts w:hint="eastAsia" w:ascii="方正黑体_GBK" w:hAnsi="方正黑体_GBK" w:eastAsia="方正黑体_GBK" w:cs="方正黑体_GBK"/>
          <w:sz w:val="32"/>
          <w:szCs w:val="32"/>
          <w:u w:val="none"/>
        </w:rPr>
        <w:t>说明</w:t>
      </w:r>
    </w:p>
    <w:p w14:paraId="645AA863">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儋州市南丰镇中心学校</w:t>
      </w:r>
      <w:r>
        <w:rPr>
          <w:rFonts w:hint="eastAsia" w:ascii="仿宋_GB2312" w:hAnsi="黑体" w:eastAsia="仿宋_GB2312"/>
          <w:sz w:val="32"/>
          <w:szCs w:val="32"/>
          <w:u w:val="none"/>
          <w:lang w:eastAsia="zh-CN"/>
        </w:rPr>
        <w:t>2026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2320.53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比上年预算数增加</w:t>
      </w:r>
      <w:r>
        <w:rPr>
          <w:rFonts w:hint="eastAsia" w:ascii="仿宋_GB2312" w:hAnsi="黑体" w:eastAsia="仿宋_GB2312"/>
          <w:sz w:val="32"/>
          <w:szCs w:val="32"/>
          <w:u w:val="none"/>
          <w:lang w:val="en-US" w:eastAsia="zh-CN"/>
        </w:rPr>
        <w:t>35.65</w:t>
      </w:r>
      <w:r>
        <w:rPr>
          <w:rFonts w:hint="eastAsia" w:ascii="仿宋_GB2312" w:hAnsi="黑体" w:eastAsia="仿宋_GB2312"/>
          <w:sz w:val="32"/>
          <w:szCs w:val="32"/>
          <w:u w:val="none"/>
        </w:rPr>
        <w:t>万元，主要是一般公共预算资金</w:t>
      </w:r>
      <w:r>
        <w:rPr>
          <w:rFonts w:hint="eastAsia" w:ascii="仿宋_GB2312" w:hAnsi="黑体" w:eastAsia="仿宋_GB2312"/>
          <w:sz w:val="32"/>
          <w:szCs w:val="32"/>
          <w:u w:val="none"/>
          <w:lang w:val="en-US" w:eastAsia="zh-CN"/>
        </w:rPr>
        <w:t>收入和上年结转比去年有所增加</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2320.53</w:t>
      </w:r>
      <w:r>
        <w:rPr>
          <w:rFonts w:hint="eastAsia" w:ascii="仿宋_GB2312" w:hAnsi="黑体" w:eastAsia="仿宋_GB2312"/>
          <w:sz w:val="32"/>
          <w:szCs w:val="32"/>
          <w:u w:val="none"/>
        </w:rPr>
        <w:t>万元，包括一般公共预算本年收入</w:t>
      </w:r>
      <w:r>
        <w:rPr>
          <w:rFonts w:hint="eastAsia" w:ascii="仿宋_GB2312" w:hAnsi="黑体" w:eastAsia="仿宋_GB2312"/>
          <w:sz w:val="32"/>
          <w:szCs w:val="32"/>
          <w:u w:val="none"/>
          <w:lang w:val="en-US" w:eastAsia="zh-CN"/>
        </w:rPr>
        <w:t>2313.08</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7.44</w:t>
      </w:r>
      <w:r>
        <w:rPr>
          <w:rFonts w:hint="eastAsia" w:ascii="仿宋_GB2312" w:hAnsi="黑体" w:eastAsia="仿宋_GB2312"/>
          <w:sz w:val="32"/>
          <w:szCs w:val="32"/>
          <w:u w:val="none"/>
        </w:rPr>
        <w:t>万元，政府性基金预算本年收入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，国有资本经营预算本年收入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2320.53</w:t>
      </w:r>
      <w:r>
        <w:rPr>
          <w:rFonts w:hint="eastAsia" w:ascii="仿宋_GB2312" w:hAnsi="黑体" w:eastAsia="仿宋_GB2312"/>
          <w:sz w:val="32"/>
          <w:szCs w:val="32"/>
          <w:u w:val="none"/>
        </w:rPr>
        <w:t>万元，包括</w:t>
      </w:r>
      <w:r>
        <w:rPr>
          <w:rFonts w:hint="eastAsia" w:ascii="仿宋_GB2312" w:hAnsi="黑体" w:eastAsia="仿宋_GB2312"/>
          <w:sz w:val="32"/>
          <w:szCs w:val="32"/>
          <w:u w:val="none"/>
          <w:lang w:val="en-US" w:eastAsia="zh-CN"/>
        </w:rPr>
        <w:t>教育</w:t>
      </w:r>
      <w:r>
        <w:rPr>
          <w:rFonts w:hint="eastAsia" w:ascii="仿宋_GB2312" w:hAnsi="黑体" w:eastAsia="仿宋_GB2312"/>
          <w:sz w:val="32"/>
          <w:szCs w:val="32"/>
          <w:u w:val="none"/>
        </w:rPr>
        <w:t>支出</w:t>
      </w:r>
      <w:r>
        <w:rPr>
          <w:rFonts w:hint="eastAsia" w:ascii="仿宋_GB2312" w:hAnsi="黑体" w:eastAsia="仿宋_GB2312"/>
          <w:sz w:val="32"/>
          <w:szCs w:val="32"/>
          <w:u w:val="none"/>
          <w:lang w:val="en-US" w:eastAsia="zh-CN"/>
        </w:rPr>
        <w:t>1542.12</w:t>
      </w:r>
      <w:r>
        <w:rPr>
          <w:rFonts w:hint="eastAsia" w:ascii="仿宋_GB2312" w:hAnsi="黑体" w:eastAsia="仿宋_GB2312"/>
          <w:sz w:val="32"/>
          <w:szCs w:val="32"/>
          <w:u w:val="none"/>
        </w:rPr>
        <w:t>万元、社会保障和就业支出</w:t>
      </w:r>
      <w:r>
        <w:rPr>
          <w:rFonts w:hint="eastAsia" w:ascii="仿宋_GB2312" w:hAnsi="黑体" w:eastAsia="仿宋_GB2312"/>
          <w:sz w:val="32"/>
          <w:szCs w:val="32"/>
          <w:u w:val="none"/>
          <w:lang w:val="en-US" w:eastAsia="zh-CN"/>
        </w:rPr>
        <w:t>319.85</w:t>
      </w:r>
      <w:r>
        <w:rPr>
          <w:rFonts w:hint="eastAsia" w:ascii="仿宋_GB2312" w:hAnsi="黑体" w:eastAsia="仿宋_GB2312"/>
          <w:sz w:val="32"/>
          <w:szCs w:val="32"/>
          <w:u w:val="none"/>
        </w:rPr>
        <w:t>万元、卫生健康支出</w:t>
      </w:r>
      <w:r>
        <w:rPr>
          <w:rFonts w:hint="eastAsia" w:ascii="仿宋_GB2312" w:hAnsi="黑体" w:eastAsia="仿宋_GB2312"/>
          <w:sz w:val="32"/>
          <w:szCs w:val="32"/>
          <w:u w:val="none"/>
          <w:lang w:val="en-US" w:eastAsia="zh-CN"/>
        </w:rPr>
        <w:t>297.99万元，住房保障支出160.56万元</w:t>
      </w:r>
      <w:r>
        <w:rPr>
          <w:rFonts w:hint="eastAsia" w:ascii="仿宋_GB2312" w:hAnsi="黑体" w:eastAsia="仿宋_GB2312"/>
          <w:sz w:val="32"/>
          <w:szCs w:val="32"/>
          <w:u w:val="none"/>
        </w:rPr>
        <w:t>，结转下年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735B24CA">
      <w:pPr>
        <w:spacing w:line="578" w:lineRule="exact"/>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14:paraId="2A408CF1">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14:paraId="63E93B3D">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儋州市南丰镇中心学校2026年一般公共预算当年拨款2320.53万元（含上年结转7.44万元），</w:t>
      </w:r>
      <w:r>
        <w:rPr>
          <w:rFonts w:hint="eastAsia" w:ascii="仿宋_GB2312" w:hAnsi="黑体" w:eastAsia="仿宋_GB2312"/>
          <w:sz w:val="32"/>
          <w:szCs w:val="32"/>
          <w:u w:val="none"/>
        </w:rPr>
        <w:t>比上年预算数增加</w:t>
      </w:r>
      <w:r>
        <w:rPr>
          <w:rFonts w:hint="eastAsia" w:ascii="仿宋_GB2312" w:hAnsi="黑体" w:eastAsia="仿宋_GB2312"/>
          <w:sz w:val="32"/>
          <w:szCs w:val="32"/>
          <w:u w:val="none"/>
          <w:lang w:val="en-US" w:eastAsia="zh-CN"/>
        </w:rPr>
        <w:t>35.65</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主要是</w:t>
      </w:r>
      <w:r>
        <w:rPr>
          <w:rFonts w:hint="eastAsia" w:ascii="仿宋_GB2312" w:hAnsi="黑体" w:eastAsia="仿宋_GB2312"/>
          <w:sz w:val="32"/>
          <w:szCs w:val="32"/>
          <w:u w:val="none"/>
        </w:rPr>
        <w:t>文化旅游体育与传媒</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卫生健康、住房保障等项目</w:t>
      </w:r>
      <w:r>
        <w:rPr>
          <w:rFonts w:hint="eastAsia" w:ascii="仿宋_GB2312" w:hAnsi="黑体" w:eastAsia="仿宋_GB2312"/>
          <w:sz w:val="32"/>
          <w:szCs w:val="32"/>
          <w:u w:val="none"/>
        </w:rPr>
        <w:t>支出</w:t>
      </w:r>
      <w:r>
        <w:rPr>
          <w:rFonts w:hint="eastAsia" w:ascii="仿宋_GB2312" w:hAnsi="黑体" w:eastAsia="仿宋_GB2312"/>
          <w:sz w:val="32"/>
          <w:szCs w:val="32"/>
          <w:u w:val="none"/>
          <w:lang w:val="en-US" w:eastAsia="zh-CN"/>
        </w:rPr>
        <w:t>预算比去年略少，但上年结转收入、教育</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社会保障和就业</w:t>
      </w:r>
      <w:r>
        <w:rPr>
          <w:rFonts w:hint="eastAsia" w:ascii="仿宋_GB2312" w:hAnsi="黑体" w:eastAsia="仿宋_GB2312"/>
          <w:sz w:val="32"/>
          <w:szCs w:val="32"/>
          <w:u w:val="none"/>
          <w:lang w:val="en-US" w:eastAsia="zh-CN"/>
        </w:rPr>
        <w:t>等项目</w:t>
      </w:r>
      <w:r>
        <w:rPr>
          <w:rFonts w:hint="eastAsia" w:ascii="仿宋_GB2312" w:hAnsi="黑体" w:eastAsia="仿宋_GB2312"/>
          <w:sz w:val="32"/>
          <w:szCs w:val="32"/>
          <w:u w:val="none"/>
        </w:rPr>
        <w:t>支出</w:t>
      </w:r>
      <w:r>
        <w:rPr>
          <w:rFonts w:hint="eastAsia" w:ascii="仿宋_GB2312" w:hAnsi="黑体" w:eastAsia="仿宋_GB2312"/>
          <w:sz w:val="32"/>
          <w:szCs w:val="32"/>
          <w:u w:val="none"/>
          <w:lang w:val="en-US" w:eastAsia="zh-CN"/>
        </w:rPr>
        <w:t>预算比去年增加。</w:t>
      </w:r>
    </w:p>
    <w:p w14:paraId="07165B08">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14:paraId="213FA9C9">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教育支出1542.12万元，占66.46%；社会保障和就业支出319.85万元，占13.78%；卫生健康支出297.99万元，占12.84%；住房保障支出160.56万元，占6.92%。</w:t>
      </w:r>
    </w:p>
    <w:p w14:paraId="0D6577F0">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14:paraId="1A65DECD">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w:t>
      </w:r>
      <w:r>
        <w:rPr>
          <w:rFonts w:hint="default" w:ascii="仿宋_GB2312" w:hAnsi="黑体" w:eastAsia="仿宋_GB2312"/>
          <w:sz w:val="32"/>
          <w:szCs w:val="32"/>
          <w:u w:val="none"/>
          <w:lang w:val="en-US" w:eastAsia="zh-CN"/>
        </w:rPr>
        <w:t>教育支出（类）普通教育（</w:t>
      </w:r>
      <w:r>
        <w:rPr>
          <w:rFonts w:hint="eastAsia" w:ascii="仿宋_GB2312" w:hAnsi="黑体" w:eastAsia="仿宋_GB2312"/>
          <w:sz w:val="32"/>
          <w:szCs w:val="32"/>
          <w:u w:val="none"/>
          <w:lang w:val="en-US" w:eastAsia="zh-CN"/>
        </w:rPr>
        <w:t>款</w:t>
      </w:r>
      <w:r>
        <w:rPr>
          <w:rFonts w:hint="default" w:ascii="仿宋_GB2312" w:hAnsi="黑体" w:eastAsia="仿宋_GB2312"/>
          <w:sz w:val="32"/>
          <w:szCs w:val="32"/>
          <w:u w:val="none"/>
          <w:lang w:val="en-US" w:eastAsia="zh-CN"/>
        </w:rPr>
        <w:t>）小学教育（项）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1537.07</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增加29.02</w:t>
      </w:r>
      <w:r>
        <w:rPr>
          <w:rFonts w:hint="default" w:ascii="仿宋_GB2312" w:hAnsi="黑体" w:eastAsia="仿宋_GB2312"/>
          <w:sz w:val="32"/>
          <w:szCs w:val="32"/>
          <w:u w:val="none"/>
          <w:lang w:val="en-US" w:eastAsia="zh-CN"/>
        </w:rPr>
        <w:t>万元，主要是</w:t>
      </w:r>
      <w:r>
        <w:rPr>
          <w:rFonts w:hint="eastAsia" w:ascii="仿宋_GB2312" w:hAnsi="黑体" w:eastAsia="仿宋_GB2312"/>
          <w:sz w:val="32"/>
          <w:szCs w:val="32"/>
          <w:u w:val="none"/>
          <w:lang w:val="en-US" w:eastAsia="zh-CN"/>
        </w:rPr>
        <w:t>项目支出投入比去年略减但基本支出有所增加</w:t>
      </w:r>
      <w:r>
        <w:rPr>
          <w:rFonts w:hint="default" w:ascii="仿宋_GB2312" w:hAnsi="黑体" w:eastAsia="仿宋_GB2312"/>
          <w:sz w:val="32"/>
          <w:szCs w:val="32"/>
          <w:u w:val="none"/>
          <w:lang w:val="en-US" w:eastAsia="zh-CN"/>
        </w:rPr>
        <w:t>。</w:t>
      </w:r>
    </w:p>
    <w:p w14:paraId="495298EE">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w:t>
      </w:r>
      <w:r>
        <w:rPr>
          <w:rFonts w:hint="default" w:ascii="仿宋_GB2312" w:hAnsi="黑体" w:eastAsia="仿宋_GB2312"/>
          <w:sz w:val="32"/>
          <w:szCs w:val="32"/>
          <w:u w:val="none"/>
          <w:lang w:val="en-US" w:eastAsia="zh-CN"/>
        </w:rPr>
        <w:t>教育支出（类）</w:t>
      </w:r>
      <w:r>
        <w:rPr>
          <w:rFonts w:hint="eastAsia" w:ascii="仿宋_GB2312" w:hAnsi="黑体" w:eastAsia="仿宋_GB2312"/>
          <w:sz w:val="32"/>
          <w:szCs w:val="32"/>
          <w:u w:val="none"/>
          <w:lang w:val="en-US" w:eastAsia="zh-CN"/>
        </w:rPr>
        <w:t>特殊</w:t>
      </w:r>
      <w:r>
        <w:rPr>
          <w:rFonts w:hint="default" w:ascii="仿宋_GB2312" w:hAnsi="黑体" w:eastAsia="仿宋_GB2312"/>
          <w:sz w:val="32"/>
          <w:szCs w:val="32"/>
          <w:u w:val="none"/>
          <w:lang w:val="en-US" w:eastAsia="zh-CN"/>
        </w:rPr>
        <w:t>教育（</w:t>
      </w:r>
      <w:r>
        <w:rPr>
          <w:rFonts w:hint="eastAsia" w:ascii="仿宋_GB2312" w:hAnsi="黑体" w:eastAsia="仿宋_GB2312"/>
          <w:sz w:val="32"/>
          <w:szCs w:val="32"/>
          <w:u w:val="none"/>
          <w:lang w:val="en-US" w:eastAsia="zh-CN"/>
        </w:rPr>
        <w:t>款</w:t>
      </w:r>
      <w:r>
        <w:rPr>
          <w:rFonts w:hint="default" w:ascii="仿宋_GB2312" w:hAnsi="黑体" w:eastAsia="仿宋_GB2312"/>
          <w:sz w:val="32"/>
          <w:szCs w:val="32"/>
          <w:u w:val="none"/>
          <w:lang w:val="en-US" w:eastAsia="zh-CN"/>
        </w:rPr>
        <w:t>）特殊学校教育（项）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5.06</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增加4.42</w:t>
      </w:r>
      <w:r>
        <w:rPr>
          <w:rFonts w:hint="default" w:ascii="仿宋_GB2312" w:hAnsi="黑体" w:eastAsia="仿宋_GB2312"/>
          <w:sz w:val="32"/>
          <w:szCs w:val="32"/>
          <w:u w:val="none"/>
          <w:lang w:val="en-US" w:eastAsia="zh-CN"/>
        </w:rPr>
        <w:t>万元，主要是</w:t>
      </w:r>
      <w:r>
        <w:rPr>
          <w:rFonts w:hint="eastAsia" w:ascii="仿宋_GB2312" w:hAnsi="黑体" w:eastAsia="仿宋_GB2312"/>
          <w:sz w:val="32"/>
          <w:szCs w:val="32"/>
          <w:u w:val="none"/>
          <w:lang w:val="en-US" w:eastAsia="zh-CN"/>
        </w:rPr>
        <w:t>上年结转收入较多</w:t>
      </w:r>
      <w:r>
        <w:rPr>
          <w:rFonts w:hint="default" w:ascii="仿宋_GB2312" w:hAnsi="黑体" w:eastAsia="仿宋_GB2312"/>
          <w:sz w:val="32"/>
          <w:szCs w:val="32"/>
          <w:u w:val="none"/>
          <w:lang w:val="en-US" w:eastAsia="zh-CN"/>
        </w:rPr>
        <w:t>。</w:t>
      </w:r>
    </w:p>
    <w:p w14:paraId="37F2C7FF">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w:t>
      </w:r>
      <w:r>
        <w:rPr>
          <w:rFonts w:hint="default" w:ascii="仿宋_GB2312" w:hAnsi="黑体" w:eastAsia="仿宋_GB2312"/>
          <w:sz w:val="32"/>
          <w:szCs w:val="32"/>
          <w:u w:val="none"/>
          <w:lang w:val="en-US" w:eastAsia="zh-CN"/>
        </w:rPr>
        <w:t>社会保障和就业支出（类）行政事业单位养老支出（款）机关事业单位基本养老保险缴费支出（项）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194.9</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增加7.91</w:t>
      </w:r>
      <w:r>
        <w:rPr>
          <w:rFonts w:hint="default" w:ascii="仿宋_GB2312" w:hAnsi="黑体" w:eastAsia="仿宋_GB2312"/>
          <w:sz w:val="32"/>
          <w:szCs w:val="32"/>
          <w:u w:val="none"/>
          <w:lang w:val="en-US" w:eastAsia="zh-CN"/>
        </w:rPr>
        <w:t>万元，主要是</w:t>
      </w:r>
      <w:r>
        <w:rPr>
          <w:rFonts w:hint="eastAsia" w:ascii="仿宋_GB2312" w:hAnsi="黑体" w:eastAsia="仿宋_GB2312"/>
          <w:sz w:val="32"/>
          <w:szCs w:val="32"/>
          <w:u w:val="none"/>
          <w:lang w:val="en-US" w:eastAsia="zh-CN"/>
        </w:rPr>
        <w:t>人员减少但缴费基数增加，造成</w:t>
      </w:r>
      <w:r>
        <w:rPr>
          <w:rFonts w:hint="default" w:ascii="仿宋_GB2312" w:hAnsi="黑体" w:eastAsia="仿宋_GB2312"/>
          <w:sz w:val="32"/>
          <w:szCs w:val="32"/>
          <w:u w:val="none"/>
          <w:lang w:val="en-US" w:eastAsia="zh-CN"/>
        </w:rPr>
        <w:t>养老保险</w:t>
      </w:r>
      <w:r>
        <w:rPr>
          <w:rFonts w:hint="eastAsia" w:ascii="仿宋_GB2312" w:hAnsi="黑体" w:eastAsia="仿宋_GB2312"/>
          <w:sz w:val="32"/>
          <w:szCs w:val="32"/>
          <w:u w:val="none"/>
          <w:lang w:val="en-US" w:eastAsia="zh-CN"/>
        </w:rPr>
        <w:t>缴费也增加。</w:t>
      </w:r>
    </w:p>
    <w:p w14:paraId="3A3A2DF2">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4.</w:t>
      </w:r>
      <w:r>
        <w:rPr>
          <w:rFonts w:hint="default" w:ascii="仿宋_GB2312" w:hAnsi="黑体" w:eastAsia="仿宋_GB2312"/>
          <w:sz w:val="32"/>
          <w:szCs w:val="32"/>
          <w:u w:val="none"/>
          <w:lang w:val="en-US" w:eastAsia="zh-CN"/>
        </w:rPr>
        <w:t>社会保障和就业支出（类）行政事业单位养老支出（款）机关事业单位职业年金缴费支出（项）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97.45</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增加3.96</w:t>
      </w:r>
      <w:r>
        <w:rPr>
          <w:rFonts w:hint="default" w:ascii="仿宋_GB2312" w:hAnsi="黑体" w:eastAsia="仿宋_GB2312"/>
          <w:sz w:val="32"/>
          <w:szCs w:val="32"/>
          <w:u w:val="none"/>
          <w:lang w:val="en-US" w:eastAsia="zh-CN"/>
        </w:rPr>
        <w:t>万元，主要是</w:t>
      </w:r>
      <w:r>
        <w:rPr>
          <w:rFonts w:hint="eastAsia" w:ascii="仿宋_GB2312" w:hAnsi="黑体" w:eastAsia="仿宋_GB2312"/>
          <w:sz w:val="32"/>
          <w:szCs w:val="32"/>
          <w:u w:val="none"/>
          <w:lang w:val="en-US" w:eastAsia="zh-CN"/>
        </w:rPr>
        <w:t>人员减少但缴费基数增加，造成</w:t>
      </w:r>
      <w:r>
        <w:rPr>
          <w:rFonts w:hint="default" w:ascii="仿宋_GB2312" w:hAnsi="黑体" w:eastAsia="仿宋_GB2312"/>
          <w:sz w:val="32"/>
          <w:szCs w:val="32"/>
          <w:u w:val="none"/>
          <w:lang w:val="en-US" w:eastAsia="zh-CN"/>
        </w:rPr>
        <w:t>职业年金缴费</w:t>
      </w:r>
      <w:r>
        <w:rPr>
          <w:rFonts w:hint="eastAsia" w:ascii="仿宋_GB2312" w:hAnsi="黑体" w:eastAsia="仿宋_GB2312"/>
          <w:sz w:val="32"/>
          <w:szCs w:val="32"/>
          <w:u w:val="none"/>
          <w:lang w:val="en-US" w:eastAsia="zh-CN"/>
        </w:rPr>
        <w:t>基数也增加</w:t>
      </w:r>
      <w:r>
        <w:rPr>
          <w:rFonts w:hint="default" w:ascii="仿宋_GB2312" w:hAnsi="黑体" w:eastAsia="仿宋_GB2312"/>
          <w:sz w:val="32"/>
          <w:szCs w:val="32"/>
          <w:u w:val="none"/>
          <w:lang w:val="en-US" w:eastAsia="zh-CN"/>
        </w:rPr>
        <w:t>。</w:t>
      </w:r>
    </w:p>
    <w:p w14:paraId="3259B19B">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5.</w:t>
      </w:r>
      <w:r>
        <w:rPr>
          <w:rFonts w:hint="default" w:ascii="仿宋_GB2312" w:hAnsi="黑体" w:eastAsia="仿宋_GB2312"/>
          <w:sz w:val="32"/>
          <w:szCs w:val="32"/>
          <w:u w:val="none"/>
          <w:lang w:val="en-US" w:eastAsia="zh-CN"/>
        </w:rPr>
        <w:t>社会保障和就业支出（类）抚恤（款）其他优抚支出（项）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27.5</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增加1.56</w:t>
      </w:r>
      <w:r>
        <w:rPr>
          <w:rFonts w:hint="default" w:ascii="仿宋_GB2312" w:hAnsi="黑体" w:eastAsia="仿宋_GB2312"/>
          <w:sz w:val="32"/>
          <w:szCs w:val="32"/>
          <w:u w:val="none"/>
          <w:lang w:val="en-US" w:eastAsia="zh-CN"/>
        </w:rPr>
        <w:t>万元，主要是人员</w:t>
      </w:r>
      <w:r>
        <w:rPr>
          <w:rFonts w:hint="eastAsia" w:ascii="仿宋_GB2312" w:hAnsi="黑体" w:eastAsia="仿宋_GB2312"/>
          <w:sz w:val="32"/>
          <w:szCs w:val="32"/>
          <w:u w:val="none"/>
          <w:lang w:val="en-US" w:eastAsia="zh-CN"/>
        </w:rPr>
        <w:t>增加</w:t>
      </w:r>
      <w:r>
        <w:rPr>
          <w:rFonts w:hint="default" w:ascii="仿宋_GB2312" w:hAnsi="黑体" w:eastAsia="仿宋_GB2312"/>
          <w:sz w:val="32"/>
          <w:szCs w:val="32"/>
          <w:u w:val="none"/>
          <w:lang w:val="en-US" w:eastAsia="zh-CN"/>
        </w:rPr>
        <w:t>。</w:t>
      </w:r>
    </w:p>
    <w:p w14:paraId="73A8DC61">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6.</w:t>
      </w:r>
      <w:r>
        <w:rPr>
          <w:rFonts w:hint="default" w:ascii="仿宋_GB2312" w:hAnsi="黑体" w:eastAsia="仿宋_GB2312"/>
          <w:sz w:val="32"/>
          <w:szCs w:val="32"/>
          <w:u w:val="none"/>
          <w:lang w:val="en-US" w:eastAsia="zh-CN"/>
        </w:rPr>
        <w:t>卫生健康支出（类）行政事业单位医疗（款）事业单位医疗（项）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67.35</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减少18.31</w:t>
      </w:r>
      <w:r>
        <w:rPr>
          <w:rFonts w:hint="default" w:ascii="仿宋_GB2312" w:hAnsi="黑体" w:eastAsia="仿宋_GB2312"/>
          <w:sz w:val="32"/>
          <w:szCs w:val="32"/>
          <w:u w:val="none"/>
          <w:lang w:val="en-US" w:eastAsia="zh-CN"/>
        </w:rPr>
        <w:t>万元，</w:t>
      </w:r>
      <w:r>
        <w:rPr>
          <w:rFonts w:hint="eastAsia" w:ascii="仿宋_GB2312" w:hAnsi="黑体" w:eastAsia="仿宋_GB2312"/>
          <w:sz w:val="32"/>
          <w:szCs w:val="32"/>
          <w:u w:val="none"/>
          <w:lang w:val="en-US" w:eastAsia="zh-CN"/>
        </w:rPr>
        <w:t>主要是人员减少。</w:t>
      </w:r>
    </w:p>
    <w:p w14:paraId="06A72010">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7.</w:t>
      </w:r>
      <w:r>
        <w:rPr>
          <w:rFonts w:hint="default" w:ascii="仿宋_GB2312" w:hAnsi="黑体" w:eastAsia="仿宋_GB2312"/>
          <w:sz w:val="32"/>
          <w:szCs w:val="32"/>
          <w:u w:val="none"/>
          <w:lang w:val="en-US" w:eastAsia="zh-CN"/>
        </w:rPr>
        <w:t>卫生健康支出（类）行政事业单位医疗（款）公务员医疗补助（项）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230.64</w:t>
      </w:r>
      <w:r>
        <w:rPr>
          <w:rFonts w:hint="default" w:ascii="仿宋_GB2312" w:hAnsi="黑体" w:eastAsia="仿宋_GB2312"/>
          <w:sz w:val="32"/>
          <w:szCs w:val="32"/>
          <w:u w:val="none"/>
          <w:lang w:val="en-US" w:eastAsia="zh-CN"/>
        </w:rPr>
        <w:t>万元，比上年预算数增加</w:t>
      </w:r>
      <w:r>
        <w:rPr>
          <w:rFonts w:hint="eastAsia" w:ascii="仿宋_GB2312" w:hAnsi="黑体" w:eastAsia="仿宋_GB2312"/>
          <w:sz w:val="32"/>
          <w:szCs w:val="32"/>
          <w:u w:val="none"/>
          <w:lang w:val="en-US" w:eastAsia="zh-CN"/>
        </w:rPr>
        <w:t>2.04</w:t>
      </w:r>
      <w:r>
        <w:rPr>
          <w:rFonts w:hint="default" w:ascii="仿宋_GB2312" w:hAnsi="黑体" w:eastAsia="仿宋_GB2312"/>
          <w:sz w:val="32"/>
          <w:szCs w:val="32"/>
          <w:u w:val="none"/>
          <w:lang w:val="en-US" w:eastAsia="zh-CN"/>
        </w:rPr>
        <w:t>万元，主要</w:t>
      </w:r>
      <w:r>
        <w:rPr>
          <w:rFonts w:hint="eastAsia" w:ascii="仿宋_GB2312" w:hAnsi="黑体" w:eastAsia="仿宋_GB2312"/>
          <w:sz w:val="32"/>
          <w:szCs w:val="32"/>
          <w:u w:val="none"/>
          <w:lang w:val="en-US" w:eastAsia="zh-CN"/>
        </w:rPr>
        <w:t>是人员减少但缴费基数增加，造成公务员医疗补助缴费也增加。</w:t>
      </w:r>
    </w:p>
    <w:p w14:paraId="3570C1CD">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8.</w:t>
      </w:r>
      <w:r>
        <w:rPr>
          <w:rFonts w:hint="default" w:ascii="仿宋_GB2312" w:hAnsi="黑体" w:eastAsia="仿宋_GB2312"/>
          <w:sz w:val="32"/>
          <w:szCs w:val="32"/>
          <w:u w:val="none"/>
          <w:lang w:val="en-US" w:eastAsia="zh-CN"/>
        </w:rPr>
        <w:t>住房保障支出（类）住房改革支出（款）住房公积金（项）</w:t>
      </w:r>
      <w:r>
        <w:rPr>
          <w:rFonts w:hint="eastAsia" w:ascii="仿宋_GB2312" w:hAnsi="黑体" w:eastAsia="仿宋_GB2312"/>
          <w:sz w:val="32"/>
          <w:szCs w:val="32"/>
          <w:u w:val="none"/>
          <w:lang w:val="en-US" w:eastAsia="zh-CN"/>
        </w:rPr>
        <w:t>2026</w:t>
      </w:r>
      <w:r>
        <w:rPr>
          <w:rFonts w:hint="default" w:ascii="仿宋_GB2312" w:hAnsi="黑体" w:eastAsia="仿宋_GB2312"/>
          <w:sz w:val="32"/>
          <w:szCs w:val="32"/>
          <w:u w:val="none"/>
          <w:lang w:val="en-US" w:eastAsia="zh-CN"/>
        </w:rPr>
        <w:t>年预算数为</w:t>
      </w:r>
      <w:r>
        <w:rPr>
          <w:rFonts w:hint="eastAsia" w:ascii="仿宋_GB2312" w:hAnsi="黑体" w:eastAsia="仿宋_GB2312"/>
          <w:sz w:val="32"/>
          <w:szCs w:val="32"/>
          <w:u w:val="none"/>
          <w:lang w:val="en-US" w:eastAsia="zh-CN"/>
        </w:rPr>
        <w:t>160.56</w:t>
      </w:r>
      <w:r>
        <w:rPr>
          <w:rFonts w:hint="default" w:ascii="仿宋_GB2312" w:hAnsi="黑体" w:eastAsia="仿宋_GB2312"/>
          <w:sz w:val="32"/>
          <w:szCs w:val="32"/>
          <w:u w:val="none"/>
          <w:lang w:val="en-US" w:eastAsia="zh-CN"/>
        </w:rPr>
        <w:t>万元，比上年预算数</w:t>
      </w:r>
      <w:r>
        <w:rPr>
          <w:rFonts w:hint="eastAsia" w:ascii="仿宋_GB2312" w:hAnsi="黑体" w:eastAsia="仿宋_GB2312"/>
          <w:sz w:val="32"/>
          <w:szCs w:val="32"/>
          <w:u w:val="none"/>
          <w:lang w:val="en-US" w:eastAsia="zh-CN"/>
        </w:rPr>
        <w:t>增加6.16</w:t>
      </w:r>
      <w:r>
        <w:rPr>
          <w:rFonts w:hint="default" w:ascii="仿宋_GB2312" w:hAnsi="黑体" w:eastAsia="仿宋_GB2312"/>
          <w:sz w:val="32"/>
          <w:szCs w:val="32"/>
          <w:u w:val="none"/>
          <w:lang w:val="en-US" w:eastAsia="zh-CN"/>
        </w:rPr>
        <w:t>万元，主要是</w:t>
      </w:r>
      <w:r>
        <w:rPr>
          <w:rFonts w:hint="eastAsia" w:ascii="仿宋_GB2312" w:hAnsi="黑体" w:eastAsia="仿宋_GB2312"/>
          <w:sz w:val="32"/>
          <w:szCs w:val="32"/>
          <w:u w:val="none"/>
          <w:lang w:val="en-US" w:eastAsia="zh-CN"/>
        </w:rPr>
        <w:t>人员减少但缴费基数增加，造成</w:t>
      </w:r>
      <w:r>
        <w:rPr>
          <w:rFonts w:hint="default" w:ascii="仿宋_GB2312" w:hAnsi="黑体" w:eastAsia="仿宋_GB2312"/>
          <w:sz w:val="32"/>
          <w:szCs w:val="32"/>
          <w:u w:val="none"/>
          <w:lang w:val="en-US" w:eastAsia="zh-CN"/>
        </w:rPr>
        <w:t>住房公积金</w:t>
      </w:r>
      <w:r>
        <w:rPr>
          <w:rFonts w:hint="eastAsia" w:ascii="仿宋_GB2312" w:hAnsi="黑体" w:eastAsia="仿宋_GB2312"/>
          <w:sz w:val="32"/>
          <w:szCs w:val="32"/>
          <w:u w:val="none"/>
          <w:lang w:val="en-US" w:eastAsia="zh-CN"/>
        </w:rPr>
        <w:t>缴费也增加。</w:t>
      </w:r>
    </w:p>
    <w:p w14:paraId="63638633">
      <w:pPr>
        <w:spacing w:line="578" w:lineRule="exact"/>
        <w:ind w:firstLine="64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14:paraId="19357A40">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儋州市南丰镇中心学校2026年一般公共预算基本支出为2249.38万元，其中：</w:t>
      </w:r>
    </w:p>
    <w:p w14:paraId="5E4ED679">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人员经费2227.45万元，主要包括：基本工资、津贴补贴、奖金、绩效工资、机关事业单位基本养老保险缴费、职业年金缴费、职工基本医疗保险缴费、公务员医疗补助缴费、其他社会保障缴费、住房公积金、其他工资福利支出、邮电费、生活补助等;</w:t>
      </w:r>
    </w:p>
    <w:p w14:paraId="46AA5D0E">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公用经费21.93万元，主要包括工会经费。</w:t>
      </w:r>
    </w:p>
    <w:p w14:paraId="5D022688">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14:paraId="7FA60EB0">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（一）儋州市南丰镇中心学校2026</w:t>
      </w:r>
      <w:r>
        <w:rPr>
          <w:rFonts w:hint="default" w:ascii="仿宋_GB2312" w:hAnsi="黑体" w:eastAsia="仿宋_GB2312"/>
          <w:sz w:val="32"/>
          <w:szCs w:val="32"/>
          <w:u w:val="none"/>
          <w:lang w:val="en-US" w:eastAsia="zh-CN"/>
        </w:rPr>
        <w:t>年</w:t>
      </w:r>
      <w:r>
        <w:rPr>
          <w:rFonts w:hint="eastAsia" w:ascii="仿宋_GB2312" w:hAnsi="黑体" w:eastAsia="仿宋_GB2312"/>
          <w:sz w:val="32"/>
          <w:szCs w:val="32"/>
          <w:u w:val="none"/>
          <w:lang w:val="en-US" w:eastAsia="zh-CN"/>
        </w:rPr>
        <w:t>一般公共预算“三公”经费预算数为0万元，</w:t>
      </w:r>
      <w:r>
        <w:rPr>
          <w:rFonts w:hint="default" w:ascii="仿宋_GB2312" w:hAnsi="黑体" w:eastAsia="仿宋_GB2312"/>
          <w:sz w:val="32"/>
          <w:szCs w:val="32"/>
          <w:u w:val="none"/>
          <w:lang w:val="en-US" w:eastAsia="zh-CN"/>
        </w:rPr>
        <w:t>与上年持平。</w:t>
      </w:r>
    </w:p>
    <w:p w14:paraId="1E019630">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（二）儋州市南丰镇中心学校2026</w:t>
      </w:r>
      <w:r>
        <w:rPr>
          <w:rFonts w:hint="default" w:ascii="仿宋_GB2312" w:hAnsi="黑体" w:eastAsia="仿宋_GB2312"/>
          <w:sz w:val="32"/>
          <w:szCs w:val="32"/>
          <w:u w:val="none"/>
          <w:lang w:val="en-US" w:eastAsia="zh-CN"/>
        </w:rPr>
        <w:t>年</w:t>
      </w:r>
      <w:r>
        <w:rPr>
          <w:rFonts w:hint="eastAsia" w:ascii="仿宋_GB2312" w:hAnsi="黑体" w:eastAsia="仿宋_GB2312"/>
          <w:sz w:val="32"/>
          <w:szCs w:val="32"/>
          <w:u w:val="none"/>
          <w:lang w:val="en-US" w:eastAsia="zh-CN"/>
        </w:rPr>
        <w:t>政府性基金预算“三公”经费预算数为0万元，</w:t>
      </w:r>
      <w:r>
        <w:rPr>
          <w:rFonts w:hint="default" w:ascii="仿宋_GB2312" w:hAnsi="黑体" w:eastAsia="仿宋_GB2312"/>
          <w:sz w:val="32"/>
          <w:szCs w:val="32"/>
          <w:u w:val="none"/>
          <w:lang w:val="en-US" w:eastAsia="zh-CN"/>
        </w:rPr>
        <w:t>与上年持平</w:t>
      </w:r>
      <w:r>
        <w:rPr>
          <w:rFonts w:hint="eastAsia" w:ascii="仿宋_GB2312" w:hAnsi="黑体" w:eastAsia="仿宋_GB2312"/>
          <w:sz w:val="32"/>
          <w:szCs w:val="32"/>
          <w:u w:val="none"/>
          <w:lang w:val="en-US" w:eastAsia="zh-CN"/>
        </w:rPr>
        <w:t>。</w:t>
      </w:r>
    </w:p>
    <w:p w14:paraId="33F53CC7">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14:paraId="4C7DE778">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14:paraId="0AC4D34D">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儋州市南丰镇中心学校2026</w:t>
      </w:r>
      <w:r>
        <w:rPr>
          <w:rFonts w:hint="default" w:ascii="仿宋_GB2312" w:hAnsi="黑体" w:eastAsia="仿宋_GB2312"/>
          <w:sz w:val="32"/>
          <w:szCs w:val="32"/>
          <w:u w:val="none"/>
          <w:lang w:val="en-US" w:eastAsia="zh-CN"/>
        </w:rPr>
        <w:t>年政府性基金预算当年拨款0万元，</w:t>
      </w:r>
      <w:r>
        <w:rPr>
          <w:rFonts w:hint="eastAsia" w:ascii="仿宋_GB2312" w:hAnsi="黑体" w:eastAsia="仿宋_GB2312"/>
          <w:sz w:val="32"/>
          <w:szCs w:val="32"/>
          <w:u w:val="none"/>
          <w:lang w:val="en-US" w:eastAsia="zh-CN"/>
        </w:rPr>
        <w:t>与</w:t>
      </w:r>
      <w:r>
        <w:rPr>
          <w:rFonts w:hint="default" w:ascii="仿宋_GB2312" w:hAnsi="黑体" w:eastAsia="仿宋_GB2312"/>
          <w:sz w:val="32"/>
          <w:szCs w:val="32"/>
          <w:u w:val="none"/>
          <w:lang w:val="en-US" w:eastAsia="zh-CN"/>
        </w:rPr>
        <w:t>上年持平。</w:t>
      </w:r>
    </w:p>
    <w:p w14:paraId="50E8069C">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14:paraId="62D8B641">
      <w:pPr>
        <w:spacing w:line="560" w:lineRule="exact"/>
        <w:ind w:firstLine="640" w:firstLineChars="200"/>
        <w:rPr>
          <w:rFonts w:hint="eastAsia" w:ascii="仿宋_GB2312" w:hAnsi="黑体" w:eastAsia="仿宋_GB2312"/>
          <w:sz w:val="32"/>
          <w:szCs w:val="32"/>
          <w:u w:val="none"/>
          <w:lang w:val="en-US" w:eastAsia="zh-CN"/>
        </w:rPr>
      </w:pPr>
      <w:r>
        <w:rPr>
          <w:rFonts w:hint="default" w:ascii="仿宋_GB2312" w:hAnsi="黑体" w:eastAsia="仿宋_GB2312"/>
          <w:sz w:val="32"/>
          <w:szCs w:val="32"/>
          <w:u w:val="none"/>
          <w:lang w:val="en-US" w:eastAsia="zh-CN"/>
        </w:rPr>
        <w:t>无</w:t>
      </w:r>
    </w:p>
    <w:p w14:paraId="5B43D141">
      <w:pPr>
        <w:spacing w:line="578" w:lineRule="exact"/>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14:paraId="30F56D3B">
      <w:pPr>
        <w:spacing w:line="560" w:lineRule="exact"/>
        <w:ind w:firstLine="640" w:firstLineChars="200"/>
        <w:rPr>
          <w:rFonts w:hint="eastAsia" w:ascii="仿宋_GB2312" w:hAnsi="黑体" w:eastAsia="仿宋_GB2312"/>
          <w:sz w:val="32"/>
          <w:szCs w:val="32"/>
          <w:u w:val="none"/>
          <w:lang w:val="en-US" w:eastAsia="zh-CN"/>
        </w:rPr>
      </w:pPr>
      <w:r>
        <w:rPr>
          <w:rFonts w:hint="default" w:ascii="仿宋_GB2312" w:hAnsi="黑体" w:eastAsia="仿宋_GB2312"/>
          <w:sz w:val="32"/>
          <w:szCs w:val="32"/>
          <w:u w:val="none"/>
          <w:lang w:val="en-US" w:eastAsia="zh-CN"/>
        </w:rPr>
        <w:t>无</w:t>
      </w:r>
    </w:p>
    <w:p w14:paraId="006DBCEC">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color w:val="auto"/>
          <w:sz w:val="32"/>
          <w:shd w:val="clear" w:color="auto" w:fill="FFFFFF"/>
        </w:rPr>
        <w:t>六、</w:t>
      </w:r>
      <w:r>
        <w:rPr>
          <w:rFonts w:hint="eastAsia" w:ascii="黑体" w:hAnsi="黑体" w:eastAsia="黑体" w:cs="Times New Roman"/>
          <w:sz w:val="32"/>
          <w:u w:val="none"/>
          <w:shd w:val="clear" w:color="auto" w:fill="FFFFFF"/>
          <w:lang w:eastAsia="zh-CN"/>
        </w:rPr>
        <w:t>国有资本经营预算当年拨款情况说明</w:t>
      </w:r>
    </w:p>
    <w:p w14:paraId="4D4B57DB">
      <w:pPr>
        <w:spacing w:line="560" w:lineRule="exact"/>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sz w:val="32"/>
          <w:szCs w:val="32"/>
          <w:u w:val="none"/>
          <w:lang w:val="en-US" w:eastAsia="zh-CN"/>
        </w:rPr>
        <w:t>儋州市南丰镇中心学校2026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default" w:ascii="仿宋_GB2312" w:hAnsi="黑体" w:eastAsia="仿宋_GB2312"/>
          <w:sz w:val="32"/>
          <w:szCs w:val="32"/>
          <w:u w:val="none"/>
          <w:lang w:val="en-US" w:eastAsia="zh-CN"/>
        </w:rPr>
        <w:t>0万元，</w:t>
      </w:r>
      <w:r>
        <w:rPr>
          <w:rFonts w:hint="eastAsia" w:ascii="仿宋_GB2312" w:hAnsi="黑体" w:eastAsia="仿宋_GB2312"/>
          <w:sz w:val="32"/>
          <w:szCs w:val="32"/>
          <w:u w:val="none"/>
          <w:lang w:val="en-US" w:eastAsia="zh-CN"/>
        </w:rPr>
        <w:t>与</w:t>
      </w:r>
      <w:r>
        <w:rPr>
          <w:rFonts w:hint="default" w:ascii="仿宋_GB2312" w:hAnsi="黑体" w:eastAsia="仿宋_GB2312"/>
          <w:sz w:val="32"/>
          <w:szCs w:val="32"/>
          <w:u w:val="none"/>
          <w:lang w:val="en-US" w:eastAsia="zh-CN"/>
        </w:rPr>
        <w:t>上年持平。</w:t>
      </w:r>
    </w:p>
    <w:p w14:paraId="5B21D0DE">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七、</w:t>
      </w:r>
      <w:r>
        <w:rPr>
          <w:rFonts w:hint="eastAsia" w:ascii="黑体" w:hAnsi="黑体" w:eastAsia="黑体" w:cs="Times New Roman"/>
          <w:color w:val="auto"/>
          <w:sz w:val="32"/>
          <w:shd w:val="clear" w:color="auto" w:fill="FFFFFF"/>
        </w:rPr>
        <w:t>收支预算情况的总体说明</w:t>
      </w:r>
    </w:p>
    <w:p w14:paraId="68BE02B0">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按照综合预算原则，儋州市南丰镇中心学校所有收入和支出均纳入部门预算管理。儋州市南丰镇中心学校2026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2374.59</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lang w:val="en-US" w:eastAsia="zh-CN"/>
        </w:rPr>
        <w:t>收入包括：一般公共预算收入、其他收入、上年结转；支出包括：教育支出、社会保障和就业支出、卫生健康支出、住房保障支出。</w:t>
      </w:r>
    </w:p>
    <w:p w14:paraId="6BEDEDB9">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八</w:t>
      </w:r>
      <w:r>
        <w:rPr>
          <w:rFonts w:hint="eastAsia" w:ascii="黑体" w:hAnsi="黑体" w:eastAsia="黑体" w:cs="Times New Roman"/>
          <w:color w:val="auto"/>
          <w:sz w:val="32"/>
          <w:shd w:val="clear" w:color="auto" w:fill="FFFFFF"/>
        </w:rPr>
        <w:t>、收入预算情况说明</w:t>
      </w:r>
    </w:p>
    <w:p w14:paraId="59C2C87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儋州市南丰镇中心学校2026年收入预算2374.59万元，其中：上年结转7.44万元，占0.31%；</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2313.08万元，占97.41%；其他</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54.06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2.28</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89.71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上年结转、</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其他</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都比上年有所增加</w:t>
      </w:r>
      <w:r>
        <w:rPr>
          <w:rFonts w:hint="eastAsia" w:ascii="仿宋_GB2312" w:hAnsi="黑体" w:eastAsia="仿宋_GB2312"/>
          <w:sz w:val="32"/>
          <w:szCs w:val="32"/>
          <w:u w:val="none"/>
        </w:rPr>
        <w:t>。</w:t>
      </w:r>
    </w:p>
    <w:p w14:paraId="46AD8094">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九</w:t>
      </w:r>
      <w:r>
        <w:rPr>
          <w:rFonts w:hint="eastAsia" w:ascii="黑体" w:hAnsi="黑体" w:eastAsia="黑体" w:cs="Times New Roman"/>
          <w:color w:val="auto"/>
          <w:sz w:val="32"/>
          <w:shd w:val="clear" w:color="auto" w:fill="FFFFFF"/>
        </w:rPr>
        <w:t>、支出预算情况说明</w:t>
      </w:r>
    </w:p>
    <w:p w14:paraId="65BB0021">
      <w:pPr>
        <w:keepNext w:val="0"/>
        <w:keepLines w:val="0"/>
        <w:widowControl w:val="0"/>
        <w:suppressLineNumbers w:val="0"/>
        <w:spacing w:before="0" w:beforeAutospacing="0" w:after="0" w:afterAutospacing="0"/>
        <w:ind w:left="0" w:right="0" w:firstLine="640" w:firstLineChars="200"/>
        <w:jc w:val="both"/>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儋州市南丰镇中心学校2026年支出预算2374.59万元，其中：基本支出2249.38万元，占94.73%；项目支出125.2万元，占5.27%。比上年预算数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89.71</w:t>
      </w:r>
      <w:r>
        <w:rPr>
          <w:rFonts w:hint="eastAsia" w:ascii="仿宋_GB2312" w:hAnsi="黑体" w:eastAsia="仿宋_GB2312"/>
          <w:sz w:val="32"/>
          <w:szCs w:val="32"/>
          <w:u w:val="none"/>
          <w:lang w:val="en-US" w:eastAsia="zh-CN"/>
        </w:rPr>
        <w:t>万元，</w:t>
      </w:r>
      <w:r>
        <w:rPr>
          <w:rFonts w:hint="default" w:ascii="仿宋_GB2312" w:hAnsi="黑体" w:eastAsia="仿宋_GB2312"/>
          <w:sz w:val="32"/>
          <w:szCs w:val="32"/>
          <w:u w:val="none"/>
          <w:lang w:val="en-US" w:eastAsia="zh-CN"/>
        </w:rPr>
        <w:t>主要是</w:t>
      </w:r>
      <w:r>
        <w:rPr>
          <w:rFonts w:hint="eastAsia" w:ascii="仿宋_GB2312" w:hAnsi="黑体" w:eastAsia="仿宋_GB2312"/>
          <w:sz w:val="32"/>
          <w:szCs w:val="32"/>
          <w:u w:val="none"/>
          <w:lang w:val="en-US" w:eastAsia="zh-CN"/>
        </w:rPr>
        <w:t>人员经费、公用经费和项目支出都比上年有所增加</w:t>
      </w:r>
      <w:r>
        <w:rPr>
          <w:rFonts w:hint="default" w:ascii="仿宋_GB2312" w:hAnsi="黑体" w:eastAsia="仿宋_GB2312"/>
          <w:sz w:val="32"/>
          <w:szCs w:val="32"/>
          <w:u w:val="none"/>
          <w:lang w:val="en-US" w:eastAsia="zh-CN"/>
        </w:rPr>
        <w:t>。</w:t>
      </w:r>
      <w:r>
        <w:rPr>
          <w:rFonts w:hint="eastAsia" w:ascii="仿宋_GB2312" w:hAnsi="宋体" w:eastAsia="仿宋_GB2312" w:cs="仿宋_GB2312"/>
          <w:kern w:val="2"/>
          <w:sz w:val="32"/>
          <w:szCs w:val="32"/>
          <w:lang w:val="en-US" w:eastAsia="zh-CN" w:bidi="ar"/>
        </w:rPr>
        <w:t>其中委托业务费预算总额0万元，与上年持平。</w:t>
      </w:r>
    </w:p>
    <w:p w14:paraId="38BB404B">
      <w:pPr>
        <w:spacing w:line="578" w:lineRule="exact"/>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十</w:t>
      </w:r>
      <w:r>
        <w:rPr>
          <w:rFonts w:hint="eastAsia" w:ascii="黑体" w:hAnsi="黑体" w:eastAsia="黑体" w:cs="Times New Roman"/>
          <w:color w:val="auto"/>
          <w:sz w:val="32"/>
          <w:shd w:val="clear" w:color="auto" w:fill="FFFFFF"/>
        </w:rPr>
        <w:t>、其他重要事项的情况说明</w:t>
      </w:r>
    </w:p>
    <w:p w14:paraId="51910BBB">
      <w:pPr>
        <w:widowControl/>
        <w:spacing w:line="560" w:lineRule="exact"/>
        <w:ind w:firstLine="640" w:firstLineChars="200"/>
        <w:jc w:val="left"/>
        <w:rPr>
          <w:rFonts w:hint="eastAsia" w:ascii="楷体" w:hAnsi="楷体" w:eastAsia="楷体"/>
          <w:sz w:val="32"/>
          <w:szCs w:val="32"/>
          <w:u w:val="none"/>
        </w:rPr>
      </w:pPr>
      <w:r>
        <w:rPr>
          <w:rFonts w:hint="eastAsia" w:ascii="楷体" w:hAnsi="楷体" w:eastAsia="楷体"/>
          <w:sz w:val="32"/>
          <w:szCs w:val="32"/>
          <w:u w:val="none"/>
        </w:rPr>
        <w:t>（一）机关运行经费</w:t>
      </w:r>
    </w:p>
    <w:p w14:paraId="406D48E6">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2026年儋州市南丰镇中心学校机关运行经费预算0万元</w:t>
      </w:r>
      <w:r>
        <w:rPr>
          <w:rFonts w:hint="default" w:ascii="仿宋_GB2312" w:hAnsi="黑体" w:eastAsia="仿宋_GB2312"/>
          <w:sz w:val="32"/>
          <w:szCs w:val="32"/>
          <w:u w:val="none"/>
          <w:lang w:val="en-US" w:eastAsia="zh-CN"/>
        </w:rPr>
        <w:t>，</w:t>
      </w:r>
      <w:r>
        <w:rPr>
          <w:rFonts w:hint="eastAsia" w:ascii="仿宋_GB2312" w:hAnsi="黑体" w:eastAsia="仿宋_GB2312"/>
          <w:sz w:val="32"/>
          <w:szCs w:val="32"/>
          <w:u w:val="none"/>
          <w:lang w:val="en-US" w:eastAsia="zh-CN"/>
        </w:rPr>
        <w:t>与</w:t>
      </w:r>
      <w:r>
        <w:rPr>
          <w:rFonts w:hint="default" w:ascii="仿宋_GB2312" w:hAnsi="黑体" w:eastAsia="仿宋_GB2312"/>
          <w:sz w:val="32"/>
          <w:szCs w:val="32"/>
          <w:u w:val="none"/>
          <w:lang w:val="en-US" w:eastAsia="zh-CN"/>
        </w:rPr>
        <w:t>上年持平。</w:t>
      </w:r>
    </w:p>
    <w:p w14:paraId="27077701">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14:paraId="27B10ED4">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2026年儋州市南丰镇中心学校政府采购预算总额0万元</w:t>
      </w:r>
      <w:r>
        <w:rPr>
          <w:rFonts w:hint="default" w:ascii="仿宋_GB2312" w:hAnsi="黑体" w:eastAsia="仿宋_GB2312"/>
          <w:sz w:val="32"/>
          <w:szCs w:val="32"/>
          <w:u w:val="none"/>
          <w:lang w:val="en-US" w:eastAsia="zh-CN"/>
        </w:rPr>
        <w:t>，</w:t>
      </w:r>
      <w:r>
        <w:rPr>
          <w:rFonts w:hint="eastAsia" w:ascii="仿宋_GB2312" w:hAnsi="黑体" w:eastAsia="仿宋_GB2312"/>
          <w:sz w:val="32"/>
          <w:szCs w:val="32"/>
          <w:u w:val="none"/>
          <w:lang w:val="en-US" w:eastAsia="zh-CN"/>
        </w:rPr>
        <w:t>与</w:t>
      </w:r>
      <w:r>
        <w:rPr>
          <w:rFonts w:hint="default" w:ascii="仿宋_GB2312" w:hAnsi="黑体" w:eastAsia="仿宋_GB2312"/>
          <w:sz w:val="32"/>
          <w:szCs w:val="32"/>
          <w:u w:val="none"/>
          <w:lang w:val="en-US" w:eastAsia="zh-CN"/>
        </w:rPr>
        <w:t>上年持平。</w:t>
      </w:r>
      <w:r>
        <w:rPr>
          <w:rFonts w:hint="eastAsia" w:ascii="仿宋_GB2312" w:hAnsi="黑体" w:eastAsia="仿宋_GB2312"/>
          <w:sz w:val="32"/>
          <w:szCs w:val="32"/>
          <w:u w:val="none"/>
          <w:lang w:val="en-US" w:eastAsia="zh-CN"/>
        </w:rPr>
        <w:t xml:space="preserve"> </w:t>
      </w:r>
    </w:p>
    <w:p w14:paraId="44E3270C">
      <w:pPr>
        <w:spacing w:line="578" w:lineRule="exact"/>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14:paraId="13CFA8B0">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截至2025年12月31日，儋州市南丰镇中心学校共有0车辆。</w:t>
      </w:r>
    </w:p>
    <w:p w14:paraId="7DBB741F">
      <w:pPr>
        <w:spacing w:line="578" w:lineRule="exact"/>
        <w:ind w:firstLine="640" w:firstLineChars="200"/>
        <w:rPr>
          <w:rFonts w:hint="eastAsia" w:ascii="楷体" w:hAnsi="楷体" w:eastAsia="宋体"/>
          <w:color w:val="auto"/>
          <w:sz w:val="32"/>
          <w:szCs w:val="32"/>
          <w:lang w:val="en-US" w:eastAsia="zh-CN"/>
        </w:rPr>
      </w:pPr>
      <w:r>
        <w:rPr>
          <w:rFonts w:hint="eastAsia" w:ascii="楷体" w:hAnsi="楷体" w:eastAsia="楷体"/>
          <w:color w:val="auto"/>
          <w:sz w:val="32"/>
          <w:szCs w:val="32"/>
        </w:rPr>
        <w:t>（四）绩效目标设置</w:t>
      </w:r>
      <w:r>
        <w:rPr>
          <w:rFonts w:hint="eastAsia" w:ascii="楷体" w:hAnsi="楷体" w:eastAsia="楷体" w:cs="黑体"/>
          <w:i w:val="0"/>
          <w:caps w:val="0"/>
          <w:spacing w:val="0"/>
          <w:kern w:val="2"/>
          <w:sz w:val="32"/>
          <w:szCs w:val="32"/>
          <w:lang w:val="en-US" w:eastAsia="zh-CN" w:bidi="ar"/>
        </w:rPr>
        <w:t>及重点项目绩效目标说明</w:t>
      </w:r>
    </w:p>
    <w:p w14:paraId="735F5D3A">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儋州市南丰镇中心学校2026</w:t>
      </w:r>
      <w:r>
        <w:rPr>
          <w:rFonts w:hint="default" w:ascii="仿宋_GB2312" w:hAnsi="黑体" w:eastAsia="仿宋_GB2312"/>
          <w:sz w:val="32"/>
          <w:szCs w:val="32"/>
          <w:u w:val="none"/>
          <w:lang w:val="en-US" w:eastAsia="zh-CN"/>
        </w:rPr>
        <w:t>年</w:t>
      </w:r>
      <w:r>
        <w:rPr>
          <w:rFonts w:hint="eastAsia" w:ascii="仿宋_GB2312" w:hAnsi="黑体" w:eastAsia="仿宋_GB2312"/>
          <w:sz w:val="32"/>
          <w:szCs w:val="32"/>
          <w:u w:val="none"/>
          <w:lang w:val="en-US" w:eastAsia="zh-CN"/>
        </w:rPr>
        <w:t>23</w:t>
      </w:r>
      <w:r>
        <w:rPr>
          <w:rFonts w:hint="default" w:ascii="仿宋_GB2312" w:hAnsi="黑体" w:eastAsia="仿宋_GB2312"/>
          <w:sz w:val="32"/>
          <w:szCs w:val="32"/>
          <w:u w:val="none"/>
          <w:lang w:val="en-US" w:eastAsia="zh-CN"/>
        </w:rPr>
        <w:t>个项目实行绩效目标管理，涉及一般公共预算</w:t>
      </w:r>
      <w:r>
        <w:rPr>
          <w:rFonts w:hint="eastAsia" w:ascii="仿宋_GB2312" w:hAnsi="黑体" w:eastAsia="仿宋_GB2312"/>
          <w:sz w:val="32"/>
          <w:szCs w:val="32"/>
          <w:u w:val="none"/>
          <w:lang w:val="en-US" w:eastAsia="zh-CN"/>
        </w:rPr>
        <w:t>2367.14</w:t>
      </w:r>
      <w:r>
        <w:rPr>
          <w:rFonts w:hint="default" w:ascii="仿宋_GB2312" w:hAnsi="黑体" w:eastAsia="仿宋_GB2312"/>
          <w:sz w:val="32"/>
          <w:szCs w:val="32"/>
          <w:u w:val="none"/>
          <w:lang w:val="en-US" w:eastAsia="zh-CN"/>
        </w:rPr>
        <w:t>万元。</w:t>
      </w:r>
    </w:p>
    <w:p w14:paraId="566145CF">
      <w:pPr>
        <w:spacing w:line="578" w:lineRule="exact"/>
        <w:jc w:val="left"/>
        <w:rPr>
          <w:rFonts w:hint="eastAsia" w:ascii="仿宋" w:hAnsi="仿宋" w:eastAsia="仿宋" w:cs="仿宋"/>
          <w:color w:val="auto"/>
          <w:kern w:val="0"/>
          <w:sz w:val="32"/>
          <w:szCs w:val="30"/>
        </w:rPr>
      </w:pPr>
    </w:p>
    <w:p w14:paraId="2B99C5A4">
      <w:pPr>
        <w:spacing w:line="560" w:lineRule="exact"/>
        <w:jc w:val="center"/>
        <w:rPr>
          <w:rFonts w:hint="eastAsia" w:ascii="黑体" w:hAnsi="黑体" w:eastAsia="黑体"/>
          <w:b w:val="0"/>
          <w:bCs/>
          <w:sz w:val="32"/>
          <w:szCs w:val="32"/>
          <w:u w:val="none"/>
        </w:rPr>
      </w:pPr>
      <w:r>
        <w:rPr>
          <w:rFonts w:hint="eastAsia" w:ascii="黑体" w:hAnsi="黑体" w:eastAsia="黑体"/>
          <w:b w:val="0"/>
          <w:bCs/>
          <w:sz w:val="32"/>
          <w:szCs w:val="32"/>
          <w:u w:val="none"/>
        </w:rPr>
        <w:t>第四部分  名词解释</w:t>
      </w:r>
    </w:p>
    <w:p w14:paraId="5CEA747C">
      <w:pPr>
        <w:spacing w:line="560" w:lineRule="exact"/>
        <w:ind w:firstLine="640" w:firstLineChars="200"/>
        <w:jc w:val="left"/>
        <w:rPr>
          <w:rFonts w:hint="eastAsia" w:ascii="仿宋_GB2312" w:hAnsi="黑体" w:eastAsia="仿宋_GB2312" w:cs="黑体"/>
          <w:bCs w:val="0"/>
          <w:kern w:val="2"/>
          <w:sz w:val="32"/>
          <w:szCs w:val="32"/>
          <w:u w:val="none"/>
          <w:lang w:val="zh-CN"/>
        </w:rPr>
      </w:pPr>
    </w:p>
    <w:p w14:paraId="54030BFE">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一、财政拨款收入：指本级财政当年拨付的资金。</w:t>
      </w:r>
    </w:p>
    <w:p w14:paraId="4A279629">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二、一般公共预算拨款收入：指用于反映税收收入、专项收入、行政事业性收费收入、罚没收入、国有资源（资产）有偿使用收入、政府住房基金收入、捐赠收入等财政收入。</w:t>
      </w:r>
    </w:p>
    <w:p w14:paraId="19E4CBA0">
      <w:pPr>
        <w:spacing w:line="560" w:lineRule="exact"/>
        <w:ind w:firstLine="640" w:firstLineChars="200"/>
        <w:jc w:val="left"/>
        <w:rPr>
          <w:rFonts w:hint="eastAsia" w:ascii="仿宋_GB2312" w:hAnsi="黑体" w:eastAsia="仿宋_GB2312" w:cs="黑体"/>
          <w:kern w:val="2"/>
          <w:sz w:val="32"/>
          <w:szCs w:val="32"/>
          <w:u w:val="none"/>
          <w:lang w:eastAsia="zh-CN"/>
        </w:rPr>
      </w:pPr>
      <w:r>
        <w:rPr>
          <w:rFonts w:hint="eastAsia" w:ascii="仿宋_GB2312" w:hAnsi="黑体" w:eastAsia="仿宋_GB2312" w:cs="黑体"/>
          <w:kern w:val="2"/>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黑体" w:eastAsia="仿宋_GB2312" w:cs="黑体"/>
          <w:kern w:val="2"/>
          <w:sz w:val="32"/>
          <w:szCs w:val="32"/>
          <w:u w:val="none"/>
          <w:lang w:eastAsia="zh-CN"/>
        </w:rPr>
        <w:t>。</w:t>
      </w:r>
    </w:p>
    <w:p w14:paraId="3AEC58FC">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 xml:space="preserve">四、事业收入：指用于反映事业单位开展专业业务活动及辅助活动所取得的收入。 </w:t>
      </w:r>
    </w:p>
    <w:p w14:paraId="2446E202">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五、事业单位经营收入：指用于反映事业单位在专业活动及辅助活动之外开展非独立核算经营活动取得的收入。</w:t>
      </w:r>
    </w:p>
    <w:p w14:paraId="65257BCA">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六、其他收入：指除上述“财政拨款收入”“事业收入”“经营收入”等以外的收入。</w:t>
      </w:r>
    </w:p>
    <w:p w14:paraId="35DBFB6D">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七、上年结转：指以前年度尚未完成、结转到本年按有关规定继续使用的资金。</w:t>
      </w:r>
    </w:p>
    <w:p w14:paraId="5C7C74F2">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八、基本支出：指行政事业单位用于为保障其机构正常运转、完成日常工作任务而发生的人员支出和公用支出。</w:t>
      </w:r>
    </w:p>
    <w:p w14:paraId="58D37FE7">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九、工资福利支出：反映单位开支的在职职工和编制外长期聘用人员的各类劳动报酬，以及为上述人员缴纳的各项社会保险费等。</w:t>
      </w:r>
    </w:p>
    <w:p w14:paraId="499FDBE6">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十、对个人和家庭的补助支出：反映政府用于对个人和家庭的补助支出，包括离休费、退休费、退职（役）费、抚恤金、生活补助、救济费、医疗费补助、助学金、独生子女奖励金、其他等。</w:t>
      </w:r>
    </w:p>
    <w:p w14:paraId="2D32EA1F">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76412E65">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十二、项目支出：指各部门、各单位为完成其特定的工作任务和事业发展目标所发生的支出。</w:t>
      </w:r>
    </w:p>
    <w:p w14:paraId="4E736C16">
      <w:pPr>
        <w:spacing w:line="560" w:lineRule="exact"/>
        <w:ind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黑体" w:eastAsia="仿宋_GB2312" w:cs="黑体"/>
          <w:kern w:val="2"/>
          <w:sz w:val="32"/>
          <w:szCs w:val="32"/>
          <w:u w:val="none"/>
          <w:lang w:eastAsia="zh-CN"/>
        </w:rPr>
        <w:t>、</w:t>
      </w:r>
      <w:r>
        <w:rPr>
          <w:rFonts w:hint="eastAsia" w:ascii="仿宋_GB2312" w:hAnsi="黑体" w:eastAsia="仿宋_GB2312" w:cs="黑体"/>
          <w:kern w:val="2"/>
          <w:sz w:val="32"/>
          <w:szCs w:val="32"/>
          <w:u w:val="none"/>
          <w:lang w:val="en-US" w:eastAsia="zh-CN"/>
        </w:rPr>
        <w:t>1个月及以上租车费用</w:t>
      </w:r>
      <w:r>
        <w:rPr>
          <w:rFonts w:hint="eastAsia" w:ascii="仿宋_GB2312" w:hAnsi="黑体" w:eastAsia="仿宋_GB2312" w:cs="黑体"/>
          <w:kern w:val="2"/>
          <w:sz w:val="32"/>
          <w:szCs w:val="32"/>
          <w:u w:val="none"/>
        </w:rPr>
        <w:t>等支出；公务接待费指单位按规定开支的各类公务接待（含外宾接待）支出。</w:t>
      </w:r>
    </w:p>
    <w:p w14:paraId="2EAFB0F9">
      <w:pPr>
        <w:spacing w:line="560" w:lineRule="exact"/>
        <w:ind w:firstLine="640" w:firstLineChars="200"/>
        <w:jc w:val="left"/>
        <w:rPr>
          <w:rFonts w:hint="eastAsia" w:ascii="仿宋" w:hAnsi="仿宋" w:eastAsia="仿宋" w:cs="仿宋_GB2312"/>
          <w:color w:val="auto"/>
          <w:sz w:val="31"/>
          <w:szCs w:val="31"/>
          <w:lang w:val="en-US" w:eastAsia="zh-CN"/>
        </w:rPr>
      </w:pPr>
      <w:r>
        <w:rPr>
          <w:rFonts w:hint="eastAsia" w:ascii="仿宋_GB2312" w:hAnsi="黑体" w:eastAsia="仿宋_GB2312" w:cs="黑体"/>
          <w:kern w:val="2"/>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w:t>
      </w:r>
      <w:bookmarkStart w:id="5" w:name="_GoBack"/>
      <w:bookmarkEnd w:id="5"/>
      <w:r>
        <w:rPr>
          <w:rFonts w:hint="eastAsia" w:ascii="仿宋_GB2312" w:hAnsi="黑体" w:eastAsia="仿宋_GB2312" w:cs="黑体"/>
          <w:kern w:val="2"/>
          <w:sz w:val="32"/>
          <w:szCs w:val="32"/>
          <w:u w:val="none"/>
        </w:rPr>
        <w:t>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3A258D-8DE9-455E-A36A-98528015A4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ED585B4-484D-43D5-8CF3-C906E1E65ECB}"/>
  </w:font>
  <w:font w:name="仿宋_GB2312">
    <w:altName w:val="仿宋"/>
    <w:panose1 w:val="02010609030101010101"/>
    <w:charset w:val="86"/>
    <w:family w:val="auto"/>
    <w:pitch w:val="default"/>
    <w:sig w:usb0="00000000" w:usb1="00000000" w:usb2="00000000" w:usb3="00000000" w:csb0="00040000" w:csb1="00000000"/>
    <w:embedRegular r:id="rId3" w:fontKey="{4275F261-F098-4FE7-85DE-4D0A5F103969}"/>
  </w:font>
  <w:font w:name="仿宋">
    <w:panose1 w:val="02010609060101010101"/>
    <w:charset w:val="86"/>
    <w:family w:val="auto"/>
    <w:pitch w:val="default"/>
    <w:sig w:usb0="800002BF" w:usb1="38CF7CFA" w:usb2="00000016" w:usb3="00000000" w:csb0="00040001" w:csb1="00000000"/>
    <w:embedRegular r:id="rId4" w:fontKey="{89EEDF53-439B-46C5-B548-B9333C814603}"/>
  </w:font>
  <w:font w:name="方正仿宋_GBK">
    <w:altName w:val="微软雅黑"/>
    <w:panose1 w:val="02000000000000000000"/>
    <w:charset w:val="86"/>
    <w:family w:val="auto"/>
    <w:pitch w:val="default"/>
    <w:sig w:usb0="00000000" w:usb1="00000000" w:usb2="00082016" w:usb3="00000000" w:csb0="00040001" w:csb1="00000000"/>
    <w:embedRegular r:id="rId5" w:fontKey="{CF2B6F8E-9555-4E7C-B80D-43E57E7F8752}"/>
  </w:font>
  <w:font w:name="微软雅黑">
    <w:panose1 w:val="020B0503020204020204"/>
    <w:charset w:val="86"/>
    <w:family w:val="auto"/>
    <w:pitch w:val="default"/>
    <w:sig w:usb0="80000287" w:usb1="2ACF3C50" w:usb2="00000016" w:usb3="00000000" w:csb0="0004001F" w:csb1="00000000"/>
  </w:font>
  <w:font w:name="ˎ̥">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embedRegular r:id="rId6" w:fontKey="{FEF0A3B2-1606-4A39-B224-25762D077288}"/>
  </w:font>
  <w:font w:name="WPSEMBED2">
    <w:panose1 w:val="02000000000000000000"/>
    <w:charset w:val="86"/>
    <w:family w:val="auto"/>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黑体_GBK">
    <w:altName w:val="微软雅黑"/>
    <w:panose1 w:val="02000000000000000000"/>
    <w:charset w:val="86"/>
    <w:family w:val="auto"/>
    <w:pitch w:val="default"/>
    <w:sig w:usb0="00000000" w:usb1="00000000" w:usb2="00082016" w:usb3="00000000" w:csb0="00040001" w:csb1="00000000"/>
    <w:embedRegular r:id="rId7" w:fontKey="{AE5DA3D5-7EDE-4B72-91E7-5616120EEF63}"/>
  </w:font>
  <w:font w:name="KSOFEC83043A">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9A36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360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B55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0AE42">
                          <w:pPr>
                            <w:pStyle w:val="3"/>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90AE42">
                    <w:pPr>
                      <w:pStyle w:val="3"/>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MDdmZTRhNmQzMTdmODg1YjAzNDEzN2FjMmNmOTkifQ=="/>
  </w:docVars>
  <w:rsids>
    <w:rsidRoot w:val="00000000"/>
    <w:rsid w:val="010F171D"/>
    <w:rsid w:val="013712F7"/>
    <w:rsid w:val="01987B4F"/>
    <w:rsid w:val="019B3634"/>
    <w:rsid w:val="04426D8D"/>
    <w:rsid w:val="04ED41A7"/>
    <w:rsid w:val="055E50A5"/>
    <w:rsid w:val="05B56210"/>
    <w:rsid w:val="063876A4"/>
    <w:rsid w:val="06606195"/>
    <w:rsid w:val="071C5217"/>
    <w:rsid w:val="096B1B3E"/>
    <w:rsid w:val="0A3F257D"/>
    <w:rsid w:val="0B1C04A0"/>
    <w:rsid w:val="0B4303A6"/>
    <w:rsid w:val="0B640F3B"/>
    <w:rsid w:val="0BC85927"/>
    <w:rsid w:val="0D336E17"/>
    <w:rsid w:val="0E8027DC"/>
    <w:rsid w:val="0EA243EE"/>
    <w:rsid w:val="0F422736"/>
    <w:rsid w:val="0F7A2A93"/>
    <w:rsid w:val="10EC1635"/>
    <w:rsid w:val="11267483"/>
    <w:rsid w:val="11496C09"/>
    <w:rsid w:val="11585A9E"/>
    <w:rsid w:val="12255C4E"/>
    <w:rsid w:val="12723F3D"/>
    <w:rsid w:val="12FA49C4"/>
    <w:rsid w:val="13983E78"/>
    <w:rsid w:val="14847F58"/>
    <w:rsid w:val="14885C9A"/>
    <w:rsid w:val="14CE0ABD"/>
    <w:rsid w:val="15A9236C"/>
    <w:rsid w:val="15D867AD"/>
    <w:rsid w:val="166B13D0"/>
    <w:rsid w:val="169F551D"/>
    <w:rsid w:val="16CF5E02"/>
    <w:rsid w:val="16DA0303"/>
    <w:rsid w:val="16F31C9B"/>
    <w:rsid w:val="171952CF"/>
    <w:rsid w:val="17316E86"/>
    <w:rsid w:val="1840063A"/>
    <w:rsid w:val="1884396E"/>
    <w:rsid w:val="18923024"/>
    <w:rsid w:val="18B21538"/>
    <w:rsid w:val="19583388"/>
    <w:rsid w:val="19D5DA33"/>
    <w:rsid w:val="1AAE5D2F"/>
    <w:rsid w:val="1B431A45"/>
    <w:rsid w:val="1C066195"/>
    <w:rsid w:val="1C200EAE"/>
    <w:rsid w:val="1C7865F4"/>
    <w:rsid w:val="1EB15DEE"/>
    <w:rsid w:val="1F4E7AE0"/>
    <w:rsid w:val="1F714E8A"/>
    <w:rsid w:val="1FBF8E30"/>
    <w:rsid w:val="207B66B3"/>
    <w:rsid w:val="20BC5358"/>
    <w:rsid w:val="20C07B2F"/>
    <w:rsid w:val="22053E70"/>
    <w:rsid w:val="22697E98"/>
    <w:rsid w:val="22B20386"/>
    <w:rsid w:val="22BD1205"/>
    <w:rsid w:val="237C3DA7"/>
    <w:rsid w:val="24311EAA"/>
    <w:rsid w:val="24636191"/>
    <w:rsid w:val="26243349"/>
    <w:rsid w:val="26691ACE"/>
    <w:rsid w:val="26A34BB6"/>
    <w:rsid w:val="26F427CB"/>
    <w:rsid w:val="275E670E"/>
    <w:rsid w:val="27A04C51"/>
    <w:rsid w:val="289E73E3"/>
    <w:rsid w:val="28AF7842"/>
    <w:rsid w:val="290A2CCA"/>
    <w:rsid w:val="29EB2AFB"/>
    <w:rsid w:val="29F02B24"/>
    <w:rsid w:val="2BDF0DC0"/>
    <w:rsid w:val="2C8E4FBF"/>
    <w:rsid w:val="2D205E64"/>
    <w:rsid w:val="2E50117F"/>
    <w:rsid w:val="2FF7110D"/>
    <w:rsid w:val="2FFFCED3"/>
    <w:rsid w:val="30A01227"/>
    <w:rsid w:val="30AC28B9"/>
    <w:rsid w:val="31144015"/>
    <w:rsid w:val="32604638"/>
    <w:rsid w:val="3266269C"/>
    <w:rsid w:val="32D103B5"/>
    <w:rsid w:val="32E93950"/>
    <w:rsid w:val="35441312"/>
    <w:rsid w:val="35FD6CC4"/>
    <w:rsid w:val="36254ED9"/>
    <w:rsid w:val="36664971"/>
    <w:rsid w:val="37410504"/>
    <w:rsid w:val="374B52EE"/>
    <w:rsid w:val="37F92887"/>
    <w:rsid w:val="382A2A41"/>
    <w:rsid w:val="3A4818A4"/>
    <w:rsid w:val="3B133D67"/>
    <w:rsid w:val="3B451940"/>
    <w:rsid w:val="3B9528C7"/>
    <w:rsid w:val="3D087587"/>
    <w:rsid w:val="3E2148E6"/>
    <w:rsid w:val="3E6A0C1E"/>
    <w:rsid w:val="3F4F0EB9"/>
    <w:rsid w:val="3F7FB4B5"/>
    <w:rsid w:val="3F983DA0"/>
    <w:rsid w:val="3F991BF0"/>
    <w:rsid w:val="3FAD4D11"/>
    <w:rsid w:val="3FD01F04"/>
    <w:rsid w:val="4193617F"/>
    <w:rsid w:val="41994793"/>
    <w:rsid w:val="4629229F"/>
    <w:rsid w:val="466B24B4"/>
    <w:rsid w:val="470025BB"/>
    <w:rsid w:val="49D62A28"/>
    <w:rsid w:val="4AB64608"/>
    <w:rsid w:val="4AB90145"/>
    <w:rsid w:val="4CB25A48"/>
    <w:rsid w:val="4F2946F0"/>
    <w:rsid w:val="4FB80849"/>
    <w:rsid w:val="50570779"/>
    <w:rsid w:val="50F9524E"/>
    <w:rsid w:val="516B1168"/>
    <w:rsid w:val="518C6681"/>
    <w:rsid w:val="52331752"/>
    <w:rsid w:val="529D747F"/>
    <w:rsid w:val="532F3059"/>
    <w:rsid w:val="53656BCB"/>
    <w:rsid w:val="545C62E2"/>
    <w:rsid w:val="5470598C"/>
    <w:rsid w:val="5480507D"/>
    <w:rsid w:val="55463A6D"/>
    <w:rsid w:val="558D06D1"/>
    <w:rsid w:val="56DD427C"/>
    <w:rsid w:val="570E2BAA"/>
    <w:rsid w:val="573669A4"/>
    <w:rsid w:val="5835644B"/>
    <w:rsid w:val="594E66D2"/>
    <w:rsid w:val="59674AFC"/>
    <w:rsid w:val="5A8E6A07"/>
    <w:rsid w:val="5AB26B9A"/>
    <w:rsid w:val="5B687259"/>
    <w:rsid w:val="5B6D7986"/>
    <w:rsid w:val="5B9B762E"/>
    <w:rsid w:val="5BC91A7A"/>
    <w:rsid w:val="5DB7E539"/>
    <w:rsid w:val="5DDA4C23"/>
    <w:rsid w:val="5E88402F"/>
    <w:rsid w:val="5EAE5E50"/>
    <w:rsid w:val="5F12521B"/>
    <w:rsid w:val="5FD65601"/>
    <w:rsid w:val="601259E5"/>
    <w:rsid w:val="60552D72"/>
    <w:rsid w:val="61113EEE"/>
    <w:rsid w:val="6401649C"/>
    <w:rsid w:val="64DC679C"/>
    <w:rsid w:val="65E25E59"/>
    <w:rsid w:val="66342B59"/>
    <w:rsid w:val="66DACB0B"/>
    <w:rsid w:val="670342D9"/>
    <w:rsid w:val="67A112F6"/>
    <w:rsid w:val="67B06A5A"/>
    <w:rsid w:val="67BD26DA"/>
    <w:rsid w:val="697BF56A"/>
    <w:rsid w:val="6AB6231D"/>
    <w:rsid w:val="6B6CE30F"/>
    <w:rsid w:val="6C0A7EB8"/>
    <w:rsid w:val="6C7F1319"/>
    <w:rsid w:val="6C9925BD"/>
    <w:rsid w:val="6D21195D"/>
    <w:rsid w:val="6D627554"/>
    <w:rsid w:val="6D7952F5"/>
    <w:rsid w:val="6DDF74AC"/>
    <w:rsid w:val="6E0B350C"/>
    <w:rsid w:val="6F183C7F"/>
    <w:rsid w:val="6F5306C1"/>
    <w:rsid w:val="6FAF0D8D"/>
    <w:rsid w:val="6FCFCADC"/>
    <w:rsid w:val="6FFA4FE6"/>
    <w:rsid w:val="71402284"/>
    <w:rsid w:val="74704791"/>
    <w:rsid w:val="74E75CC5"/>
    <w:rsid w:val="75643A33"/>
    <w:rsid w:val="75FB0B04"/>
    <w:rsid w:val="76637BC6"/>
    <w:rsid w:val="76B92C06"/>
    <w:rsid w:val="782759FE"/>
    <w:rsid w:val="79F7B683"/>
    <w:rsid w:val="7B3215A7"/>
    <w:rsid w:val="7BE76808"/>
    <w:rsid w:val="7C6453C2"/>
    <w:rsid w:val="7D73BCCE"/>
    <w:rsid w:val="7DE79FA0"/>
    <w:rsid w:val="7DEBCAFF"/>
    <w:rsid w:val="7E7A2C7B"/>
    <w:rsid w:val="7E90388A"/>
    <w:rsid w:val="7E980399"/>
    <w:rsid w:val="7EDD8B29"/>
    <w:rsid w:val="7F2B7976"/>
    <w:rsid w:val="7FA514C2"/>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rPr>
  </w:style>
  <w:style w:type="paragraph" w:customStyle="1" w:styleId="8">
    <w:name w:val="List Paragraph"/>
    <w:basedOn w:val="1"/>
    <w:autoRedefine/>
    <w:qFormat/>
    <w:uiPriority w:val="34"/>
    <w:pPr>
      <w:ind w:firstLine="420" w:firstLineChars="200"/>
    </w:pPr>
  </w:style>
  <w:style w:type="paragraph" w:customStyle="1" w:styleId="9">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4"/>
    <w:autoRedefine/>
    <w:semiHidden/>
    <w:qFormat/>
    <w:uiPriority w:val="99"/>
    <w:rPr>
      <w:sz w:val="18"/>
      <w:szCs w:val="18"/>
    </w:rPr>
  </w:style>
  <w:style w:type="character" w:customStyle="1" w:styleId="11">
    <w:name w:val="页脚 Char"/>
    <w:basedOn w:val="7"/>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2011</Words>
  <Characters>2312</Characters>
  <Lines>27</Lines>
  <Paragraphs>7</Paragraphs>
  <TotalTime>10</TotalTime>
  <ScaleCrop>false</ScaleCrop>
  <LinksUpToDate>false</LinksUpToDate>
  <CharactersWithSpaces>2332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后知不觉</cp:lastModifiedBy>
  <dcterms:modified xsi:type="dcterms:W3CDTF">2026-02-26T09:10:13Z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95755421383A4B9D8FA959692DEF9C1A_13</vt:lpwstr>
  </property>
  <property fmtid="{D5CDD505-2E9C-101B-9397-08002B2CF9AE}" pid="6" name="KSOTemplateDocerSaveRecord">
    <vt:lpwstr>eyJoZGlkIjoiZTUzNjQ5YmFiNTIzN2Q3NTQ1NmM1NjFhYjU4NjEzY2EiLCJ1c2VySWQiOiI0MDg0NzIzMjEifQ==</vt:lpwstr>
  </property>
</Properties>
</file>