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2DBD9">
      <w:pPr>
        <w:spacing w:line="560" w:lineRule="exact"/>
        <w:rPr>
          <w:color w:val="000000" w:themeColor="text1"/>
          <w:sz w:val="84"/>
          <w:szCs w:val="84"/>
          <w:u w:val="none"/>
          <w14:textFill>
            <w14:solidFill>
              <w14:schemeClr w14:val="tx1"/>
            </w14:solidFill>
          </w14:textFill>
        </w:rPr>
      </w:pPr>
    </w:p>
    <w:p w14:paraId="4E7E1461">
      <w:pPr>
        <w:spacing w:line="560" w:lineRule="exact"/>
        <w:rPr>
          <w:color w:val="000000" w:themeColor="text1"/>
          <w:sz w:val="84"/>
          <w:szCs w:val="84"/>
          <w:u w:val="none"/>
          <w14:textFill>
            <w14:solidFill>
              <w14:schemeClr w14:val="tx1"/>
            </w14:solidFill>
          </w14:textFill>
        </w:rPr>
      </w:pPr>
    </w:p>
    <w:p w14:paraId="71F8ECC0">
      <w:pPr>
        <w:spacing w:line="560" w:lineRule="exact"/>
        <w:rPr>
          <w:color w:val="000000" w:themeColor="text1"/>
          <w:sz w:val="84"/>
          <w:szCs w:val="84"/>
          <w:u w:val="none"/>
          <w14:textFill>
            <w14:solidFill>
              <w14:schemeClr w14:val="tx1"/>
            </w14:solidFill>
          </w14:textFill>
        </w:rPr>
      </w:pPr>
    </w:p>
    <w:p w14:paraId="2B17BA77">
      <w:pPr>
        <w:spacing w:line="560" w:lineRule="exact"/>
        <w:rPr>
          <w:color w:val="000000" w:themeColor="text1"/>
          <w:sz w:val="84"/>
          <w:szCs w:val="84"/>
          <w:u w:val="none"/>
          <w14:textFill>
            <w14:solidFill>
              <w14:schemeClr w14:val="tx1"/>
            </w14:solidFill>
          </w14:textFill>
        </w:rPr>
      </w:pPr>
    </w:p>
    <w:p w14:paraId="56B80F47">
      <w:pPr>
        <w:spacing w:line="560" w:lineRule="exact"/>
        <w:jc w:val="center"/>
        <w:rPr>
          <w:rFonts w:hint="eastAsia"/>
          <w:color w:val="000000" w:themeColor="text1"/>
          <w:sz w:val="52"/>
          <w:szCs w:val="52"/>
          <w:u w:val="none"/>
          <w:lang w:val="en-US" w:eastAsia="zh-CN"/>
          <w14:textFill>
            <w14:solidFill>
              <w14:schemeClr w14:val="tx1"/>
            </w14:solidFill>
          </w14:textFill>
        </w:rPr>
      </w:pPr>
    </w:p>
    <w:p w14:paraId="11854264">
      <w:pPr>
        <w:spacing w:line="560" w:lineRule="exact"/>
        <w:jc w:val="center"/>
        <w:rPr>
          <w:rFonts w:hint="eastAsia"/>
          <w:color w:val="000000" w:themeColor="text1"/>
          <w:sz w:val="52"/>
          <w:szCs w:val="52"/>
          <w:u w:val="none"/>
          <w:lang w:val="en-US" w:eastAsia="zh-CN"/>
          <w14:textFill>
            <w14:solidFill>
              <w14:schemeClr w14:val="tx1"/>
            </w14:solidFill>
          </w14:textFill>
        </w:rPr>
      </w:pPr>
    </w:p>
    <w:p w14:paraId="172DE86C">
      <w:pPr>
        <w:spacing w:line="560" w:lineRule="exact"/>
        <w:jc w:val="center"/>
        <w:rPr>
          <w:rFonts w:hint="eastAsia"/>
          <w:color w:val="000000" w:themeColor="text1"/>
          <w:sz w:val="52"/>
          <w:szCs w:val="52"/>
          <w:u w:val="none"/>
          <w:lang w:val="en-US" w:eastAsia="zh-CN"/>
          <w14:textFill>
            <w14:solidFill>
              <w14:schemeClr w14:val="tx1"/>
            </w14:solidFill>
          </w14:textFill>
        </w:rPr>
      </w:pPr>
    </w:p>
    <w:p w14:paraId="6E6C303B">
      <w:pPr>
        <w:spacing w:line="560" w:lineRule="exact"/>
        <w:jc w:val="center"/>
        <w:rPr>
          <w:rFonts w:hint="eastAsia"/>
          <w:color w:val="000000" w:themeColor="text1"/>
          <w:sz w:val="52"/>
          <w:szCs w:val="52"/>
          <w:u w:val="none"/>
          <w:lang w:val="en-US" w:eastAsia="zh-CN"/>
          <w14:textFill>
            <w14:solidFill>
              <w14:schemeClr w14:val="tx1"/>
            </w14:solidFill>
          </w14:textFill>
        </w:rPr>
      </w:pPr>
    </w:p>
    <w:p w14:paraId="32317832">
      <w:pPr>
        <w:spacing w:line="560" w:lineRule="exact"/>
        <w:jc w:val="center"/>
        <w:rPr>
          <w:rFonts w:hint="eastAsia"/>
          <w:color w:val="000000" w:themeColor="text1"/>
          <w:sz w:val="52"/>
          <w:szCs w:val="52"/>
          <w:u w:val="none"/>
          <w:lang w:val="en-US" w:eastAsia="zh-CN"/>
          <w14:textFill>
            <w14:solidFill>
              <w14:schemeClr w14:val="tx1"/>
            </w14:solidFill>
          </w14:textFill>
        </w:rPr>
      </w:pPr>
    </w:p>
    <w:p w14:paraId="37C48A8C">
      <w:pPr>
        <w:spacing w:line="560" w:lineRule="exact"/>
        <w:jc w:val="center"/>
        <w:rPr>
          <w:rFonts w:hint="eastAsia" w:ascii="宋体" w:hAnsi="宋体" w:eastAsia="宋体" w:cs="宋体"/>
          <w:color w:val="000000" w:themeColor="text1"/>
          <w:sz w:val="52"/>
          <w:szCs w:val="52"/>
          <w:u w:val="none"/>
          <w:lang w:val="en-US" w:eastAsia="zh-CN"/>
          <w14:textFill>
            <w14:solidFill>
              <w14:schemeClr w14:val="tx1"/>
            </w14:solidFill>
          </w14:textFill>
        </w:rPr>
      </w:pPr>
    </w:p>
    <w:p w14:paraId="09B5CCAA">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2026</w:t>
      </w:r>
      <w:r>
        <w:rPr>
          <w:rFonts w:hint="eastAsia" w:ascii="宋体" w:hAnsi="宋体" w:eastAsia="宋体" w:cs="宋体"/>
          <w:color w:val="000000" w:themeColor="text1"/>
          <w:sz w:val="52"/>
          <w:szCs w:val="52"/>
          <w14:textFill>
            <w14:solidFill>
              <w14:schemeClr w14:val="tx1"/>
            </w14:solidFill>
          </w14:textFill>
        </w:rPr>
        <w:t>年</w:t>
      </w:r>
      <w:r>
        <w:rPr>
          <w:rFonts w:hint="eastAsia" w:ascii="宋体" w:hAnsi="宋体" w:eastAsia="宋体" w:cs="宋体"/>
          <w:color w:val="000000" w:themeColor="text1"/>
          <w:sz w:val="52"/>
          <w:szCs w:val="52"/>
          <w:lang w:val="en-US" w:eastAsia="zh-CN"/>
          <w14:textFill>
            <w14:solidFill>
              <w14:schemeClr w14:val="tx1"/>
            </w14:solidFill>
          </w14:textFill>
        </w:rPr>
        <w:t>洋浦经济开发区第七幼儿园</w:t>
      </w:r>
      <w:r>
        <w:rPr>
          <w:rFonts w:hint="eastAsia" w:ascii="宋体" w:hAnsi="宋体" w:eastAsia="宋体" w:cs="宋体"/>
          <w:color w:val="000000" w:themeColor="text1"/>
          <w:sz w:val="52"/>
          <w:szCs w:val="52"/>
          <w14:textFill>
            <w14:solidFill>
              <w14:schemeClr w14:val="tx1"/>
            </w14:solidFill>
          </w14:textFill>
        </w:rPr>
        <w:t>单位预算</w:t>
      </w:r>
    </w:p>
    <w:p w14:paraId="69B2ABE3">
      <w:pPr>
        <w:spacing w:line="560" w:lineRule="exact"/>
        <w:ind w:firstLine="1680"/>
        <w:jc w:val="center"/>
        <w:rPr>
          <w:color w:val="000000" w:themeColor="text1"/>
          <w:sz w:val="84"/>
          <w:szCs w:val="84"/>
          <w:u w:val="none"/>
          <w14:textFill>
            <w14:solidFill>
              <w14:schemeClr w14:val="tx1"/>
            </w14:solidFill>
          </w14:textFill>
        </w:rPr>
      </w:pPr>
    </w:p>
    <w:p w14:paraId="1C2E6925">
      <w:pPr>
        <w:spacing w:line="560" w:lineRule="exact"/>
        <w:ind w:firstLine="1680"/>
        <w:jc w:val="center"/>
        <w:rPr>
          <w:color w:val="000000" w:themeColor="text1"/>
          <w:sz w:val="84"/>
          <w:szCs w:val="84"/>
          <w:u w:val="none"/>
          <w14:textFill>
            <w14:solidFill>
              <w14:schemeClr w14:val="tx1"/>
            </w14:solidFill>
          </w14:textFill>
        </w:rPr>
      </w:pPr>
    </w:p>
    <w:p w14:paraId="6B9B9FC8">
      <w:pPr>
        <w:spacing w:line="560" w:lineRule="exact"/>
        <w:ind w:firstLine="1680"/>
        <w:jc w:val="center"/>
        <w:rPr>
          <w:color w:val="000000" w:themeColor="text1"/>
          <w:sz w:val="84"/>
          <w:szCs w:val="84"/>
          <w:u w:val="none"/>
          <w14:textFill>
            <w14:solidFill>
              <w14:schemeClr w14:val="tx1"/>
            </w14:solidFill>
          </w14:textFill>
        </w:rPr>
      </w:pPr>
    </w:p>
    <w:p w14:paraId="47AF2315">
      <w:pPr>
        <w:spacing w:line="560" w:lineRule="exact"/>
        <w:ind w:firstLine="1680"/>
        <w:jc w:val="center"/>
        <w:rPr>
          <w:color w:val="000000" w:themeColor="text1"/>
          <w:sz w:val="84"/>
          <w:szCs w:val="84"/>
          <w:u w:val="none"/>
          <w14:textFill>
            <w14:solidFill>
              <w14:schemeClr w14:val="tx1"/>
            </w14:solidFill>
          </w14:textFill>
        </w:rPr>
      </w:pPr>
    </w:p>
    <w:p w14:paraId="34C8AECD">
      <w:pPr>
        <w:rPr>
          <w:color w:val="000000" w:themeColor="text1"/>
          <w:sz w:val="84"/>
          <w:szCs w:val="84"/>
          <w:u w:val="none"/>
          <w14:textFill>
            <w14:solidFill>
              <w14:schemeClr w14:val="tx1"/>
            </w14:solidFill>
          </w14:textFill>
        </w:rPr>
      </w:pPr>
      <w:r>
        <w:rPr>
          <w:color w:val="000000" w:themeColor="text1"/>
          <w:sz w:val="84"/>
          <w:szCs w:val="84"/>
          <w:u w:val="none"/>
          <w14:textFill>
            <w14:solidFill>
              <w14:schemeClr w14:val="tx1"/>
            </w14:solidFill>
          </w14:textFill>
        </w:rPr>
        <w:br w:type="page"/>
      </w:r>
    </w:p>
    <w:p w14:paraId="27CEE9A0">
      <w:pPr>
        <w:spacing w:line="240" w:lineRule="auto"/>
        <w:jc w:val="center"/>
        <w:rPr>
          <w:rFonts w:hint="eastAsia" w:ascii="黑体" w:hAnsi="黑体" w:eastAsia="黑体"/>
          <w:color w:val="000000" w:themeColor="text1"/>
          <w:sz w:val="52"/>
          <w:szCs w:val="52"/>
          <w:u w:val="none"/>
          <w14:textFill>
            <w14:solidFill>
              <w14:schemeClr w14:val="tx1"/>
            </w14:solidFill>
          </w14:textFill>
        </w:rPr>
      </w:pPr>
      <w:r>
        <w:rPr>
          <w:rFonts w:hint="eastAsia" w:ascii="黑体" w:hAnsi="黑体" w:eastAsia="黑体"/>
          <w:color w:val="000000" w:themeColor="text1"/>
          <w:sz w:val="52"/>
          <w:szCs w:val="52"/>
          <w:u w:val="none"/>
          <w14:textFill>
            <w14:solidFill>
              <w14:schemeClr w14:val="tx1"/>
            </w14:solidFill>
          </w14:textFill>
        </w:rPr>
        <w:t>目录</w:t>
      </w:r>
    </w:p>
    <w:p w14:paraId="67DB3866">
      <w:pPr>
        <w:pStyle w:val="6"/>
        <w:numPr>
          <w:ilvl w:val="0"/>
          <w:numId w:val="1"/>
        </w:numPr>
        <w:spacing w:line="240" w:lineRule="auto"/>
        <w:ind w:firstLineChars="0"/>
        <w:jc w:val="left"/>
        <w:rPr>
          <w:rFonts w:hint="eastAsia" w:ascii="方正黑体_GBK" w:hAnsi="方正黑体_GBK" w:eastAsia="方正黑体_GBK" w:cs="方正黑体_GBK"/>
          <w:color w:val="000000" w:themeColor="text1"/>
          <w:sz w:val="32"/>
          <w:szCs w:val="32"/>
          <w:u w:val="none"/>
          <w14:textFill>
            <w14:solidFill>
              <w14:schemeClr w14:val="tx1"/>
            </w14:solidFill>
          </w14:textFill>
        </w:rPr>
      </w:pPr>
      <w:r>
        <w:rPr>
          <w:rFonts w:hint="eastAsia" w:ascii="黑体" w:hAnsi="黑体" w:eastAsia="黑体"/>
          <w:color w:val="000000" w:themeColor="text1"/>
          <w:sz w:val="32"/>
          <w:szCs w:val="32"/>
          <w:u w:val="none"/>
          <w:lang w:val="en-US" w:eastAsia="zh-CN"/>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 xml:space="preserve"> </w:t>
      </w:r>
      <w:r>
        <w:rPr>
          <w:rFonts w:hint="eastAsia" w:ascii="仿宋_GB2312" w:hAnsi="黑体" w:eastAsia="仿宋_GB2312" w:cs="仿宋_GB2312"/>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lang w:val="en-US" w:eastAsia="zh-CN"/>
          <w14:textFill>
            <w14:solidFill>
              <w14:schemeClr w14:val="tx1"/>
            </w14:solidFill>
          </w14:textFill>
        </w:rPr>
        <w:t>洋浦经济开发区第七幼儿园</w:t>
      </w:r>
      <w:r>
        <w:rPr>
          <w:rFonts w:hint="eastAsia" w:ascii="黑体" w:hAnsi="黑体" w:eastAsia="黑体"/>
          <w:color w:val="000000" w:themeColor="text1"/>
          <w:sz w:val="32"/>
          <w:szCs w:val="32"/>
          <w14:textFill>
            <w14:solidFill>
              <w14:schemeClr w14:val="tx1"/>
            </w14:solidFill>
          </w14:textFill>
        </w:rPr>
        <w:t>概况</w:t>
      </w:r>
    </w:p>
    <w:p w14:paraId="4E5CE90A">
      <w:pPr>
        <w:pStyle w:val="6"/>
        <w:numPr>
          <w:ilvl w:val="-1"/>
          <w:numId w:val="0"/>
        </w:numPr>
        <w:spacing w:line="240" w:lineRule="auto"/>
        <w:ind w:left="0" w:firstLine="0" w:firstLineChars="0"/>
        <w:jc w:val="left"/>
        <w:rPr>
          <w:rFonts w:hint="eastAsia" w:ascii="方正仿宋_GBK" w:hAnsi="方正仿宋_GBK" w:eastAsia="方正仿宋_GBK" w:cs="方正仿宋_GBK"/>
          <w:color w:val="000000" w:themeColor="text1"/>
          <w:sz w:val="32"/>
          <w:szCs w:val="32"/>
          <w:u w:val="none"/>
          <w14:textFill>
            <w14:solidFill>
              <w14:schemeClr w14:val="tx1"/>
            </w14:solidFill>
          </w14:textFill>
        </w:rPr>
      </w:pPr>
      <w:r>
        <w:rPr>
          <w:rFonts w:hint="eastAsia" w:ascii="方正仿宋_GBK" w:hAnsi="方正仿宋_GBK" w:eastAsia="方正仿宋_GBK" w:cs="方正仿宋_GBK"/>
          <w:color w:val="000000" w:themeColor="text1"/>
          <w:sz w:val="32"/>
          <w:szCs w:val="32"/>
          <w:u w:val="none"/>
          <w:lang w:eastAsia="zh-CN"/>
          <w14:textFill>
            <w14:solidFill>
              <w14:schemeClr w14:val="tx1"/>
            </w14:solidFill>
          </w14:textFill>
        </w:rPr>
        <w:t>一、</w:t>
      </w:r>
      <w:r>
        <w:rPr>
          <w:rFonts w:hint="eastAsia" w:ascii="方正仿宋_GBK" w:hAnsi="方正仿宋_GBK" w:eastAsia="方正仿宋_GBK" w:cs="方正仿宋_GBK"/>
          <w:color w:val="000000" w:themeColor="text1"/>
          <w:sz w:val="32"/>
          <w:szCs w:val="32"/>
          <w:u w:val="none"/>
          <w14:textFill>
            <w14:solidFill>
              <w14:schemeClr w14:val="tx1"/>
            </w14:solidFill>
          </w14:textFill>
        </w:rPr>
        <w:t>主要职能</w:t>
      </w:r>
    </w:p>
    <w:p w14:paraId="0E394150">
      <w:pPr>
        <w:pStyle w:val="6"/>
        <w:numPr>
          <w:ilvl w:val="-1"/>
          <w:numId w:val="0"/>
        </w:numPr>
        <w:spacing w:line="240" w:lineRule="auto"/>
        <w:ind w:left="0" w:firstLine="0" w:firstLineChars="0"/>
        <w:jc w:val="left"/>
        <w:rPr>
          <w:rFonts w:ascii="黑体" w:hAnsi="黑体" w:eastAsia="黑体"/>
          <w:color w:val="000000" w:themeColor="text1"/>
          <w:sz w:val="32"/>
          <w:szCs w:val="32"/>
          <w:u w:val="none"/>
          <w14:textFill>
            <w14:solidFill>
              <w14:schemeClr w14:val="tx1"/>
            </w14:solidFill>
          </w14:textFill>
        </w:rPr>
      </w:pPr>
      <w:r>
        <w:rPr>
          <w:rFonts w:hint="eastAsia" w:ascii="方正仿宋_GBK" w:hAnsi="方正仿宋_GBK" w:eastAsia="方正仿宋_GBK" w:cs="方正仿宋_GBK"/>
          <w:color w:val="000000" w:themeColor="text1"/>
          <w:sz w:val="32"/>
          <w:szCs w:val="32"/>
          <w:u w:val="none"/>
          <w:lang w:eastAsia="zh-CN"/>
          <w14:textFill>
            <w14:solidFill>
              <w14:schemeClr w14:val="tx1"/>
            </w14:solidFill>
          </w14:textFill>
        </w:rPr>
        <w:t>二、机构设置</w:t>
      </w:r>
    </w:p>
    <w:p w14:paraId="2B28C1C5">
      <w:pPr>
        <w:pStyle w:val="6"/>
        <w:numPr>
          <w:ilvl w:val="0"/>
          <w:numId w:val="1"/>
        </w:numPr>
        <w:spacing w:line="578" w:lineRule="exact"/>
        <w:ind w:firstLineChars="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u w:val="none"/>
          <w14:textFill>
            <w14:solidFill>
              <w14:schemeClr w14:val="tx1"/>
            </w14:solidFill>
          </w14:textFill>
        </w:rPr>
        <w:t xml:space="preserve"> </w:t>
      </w:r>
      <w:r>
        <w:rPr>
          <w:rFonts w:hint="eastAsia" w:ascii="黑体" w:hAnsi="黑体" w:eastAsia="黑体"/>
          <w:color w:val="000000" w:themeColor="text1"/>
          <w:sz w:val="32"/>
          <w:szCs w:val="32"/>
          <w:u w:val="none"/>
          <w:lang w:val="en-US" w:eastAsia="zh-CN"/>
          <w14:textFill>
            <w14:solidFill>
              <w14:schemeClr w14:val="tx1"/>
            </w14:solidFill>
          </w14:textFill>
        </w:rPr>
        <w:t xml:space="preserve"> </w:t>
      </w:r>
      <w:r>
        <w:rPr>
          <w:rFonts w:hint="eastAsia" w:ascii="黑体" w:hAnsi="黑体" w:eastAsia="黑体"/>
          <w:color w:val="000000" w:themeColor="text1"/>
          <w:sz w:val="32"/>
          <w:szCs w:val="32"/>
          <w:lang w:val="en-US" w:eastAsia="zh-CN"/>
          <w14:textFill>
            <w14:solidFill>
              <w14:schemeClr w14:val="tx1"/>
            </w14:solidFill>
          </w14:textFill>
        </w:rPr>
        <w:t>洋浦经济开发区第七幼儿园2026</w:t>
      </w:r>
      <w:r>
        <w:rPr>
          <w:rFonts w:hint="eastAsia" w:ascii="黑体" w:hAnsi="黑体" w:eastAsia="黑体"/>
          <w:color w:val="000000" w:themeColor="text1"/>
          <w:sz w:val="32"/>
          <w:szCs w:val="32"/>
          <w14:textFill>
            <w14:solidFill>
              <w14:schemeClr w14:val="tx1"/>
            </w14:solidFill>
          </w14:textFill>
        </w:rPr>
        <w:t>年预算表</w:t>
      </w:r>
    </w:p>
    <w:p w14:paraId="3C0F8EBE">
      <w:pPr>
        <w:pStyle w:val="6"/>
        <w:numPr>
          <w:ilvl w:val="0"/>
          <w:numId w:val="1"/>
        </w:numPr>
        <w:spacing w:line="240" w:lineRule="auto"/>
        <w:ind w:firstLineChars="0"/>
        <w:rPr>
          <w:rFonts w:hint="eastAsia" w:ascii="方正黑体_GBK" w:hAnsi="方正黑体_GBK" w:eastAsia="方正黑体_GBK" w:cs="方正黑体_GBK"/>
          <w:color w:val="000000" w:themeColor="text1"/>
          <w:sz w:val="32"/>
          <w:szCs w:val="32"/>
          <w:u w:val="none"/>
          <w14:textFill>
            <w14:solidFill>
              <w14:schemeClr w14:val="tx1"/>
            </w14:solidFill>
          </w14:textFill>
        </w:rPr>
      </w:pPr>
    </w:p>
    <w:p w14:paraId="6C2F7419">
      <w:pPr>
        <w:pStyle w:val="6"/>
        <w:numPr>
          <w:ilvl w:val="0"/>
          <w:numId w:val="2"/>
        </w:numPr>
        <w:spacing w:line="240" w:lineRule="auto"/>
        <w:ind w:firstLineChars="0"/>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财政拨款收支总表</w:t>
      </w:r>
    </w:p>
    <w:p w14:paraId="43F905EF">
      <w:pPr>
        <w:pStyle w:val="6"/>
        <w:numPr>
          <w:ilvl w:val="0"/>
          <w:numId w:val="2"/>
        </w:numPr>
        <w:spacing w:line="240" w:lineRule="auto"/>
        <w:ind w:firstLineChars="0"/>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一般公共预算支出表</w:t>
      </w:r>
    </w:p>
    <w:p w14:paraId="1CB6E8BB">
      <w:pPr>
        <w:pStyle w:val="6"/>
        <w:numPr>
          <w:ilvl w:val="0"/>
          <w:numId w:val="2"/>
        </w:numPr>
        <w:spacing w:line="240" w:lineRule="auto"/>
        <w:ind w:firstLineChars="0"/>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一般公共预算基本支出表</w:t>
      </w:r>
    </w:p>
    <w:p w14:paraId="4CDD60D6">
      <w:pPr>
        <w:pStyle w:val="6"/>
        <w:numPr>
          <w:ilvl w:val="0"/>
          <w:numId w:val="2"/>
        </w:numPr>
        <w:spacing w:line="240" w:lineRule="auto"/>
        <w:ind w:firstLineChars="0"/>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一般公共预算“三公”经费支出表</w:t>
      </w:r>
    </w:p>
    <w:p w14:paraId="2E2F856B">
      <w:pPr>
        <w:pStyle w:val="6"/>
        <w:numPr>
          <w:ilvl w:val="0"/>
          <w:numId w:val="2"/>
        </w:numPr>
        <w:spacing w:line="240" w:lineRule="auto"/>
        <w:ind w:firstLineChars="0"/>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政府性基金预算支出表</w:t>
      </w:r>
    </w:p>
    <w:p w14:paraId="1D3CF48E">
      <w:pPr>
        <w:pStyle w:val="6"/>
        <w:numPr>
          <w:ilvl w:val="0"/>
          <w:numId w:val="2"/>
        </w:numPr>
        <w:spacing w:line="240" w:lineRule="auto"/>
        <w:ind w:firstLineChars="0"/>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政府性基金预算“三公”经费支出表</w:t>
      </w:r>
    </w:p>
    <w:p w14:paraId="70D31F1C">
      <w:pPr>
        <w:pStyle w:val="6"/>
        <w:numPr>
          <w:ilvl w:val="0"/>
          <w:numId w:val="2"/>
        </w:numPr>
        <w:spacing w:line="240" w:lineRule="auto"/>
        <w:ind w:firstLineChars="0"/>
        <w:jc w:val="left"/>
        <w:rPr>
          <w:rFonts w:hint="eastAsia"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国有资本经营预算支出表</w:t>
      </w:r>
    </w:p>
    <w:p w14:paraId="7B5AD212">
      <w:pPr>
        <w:pStyle w:val="6"/>
        <w:numPr>
          <w:ilvl w:val="0"/>
          <w:numId w:val="2"/>
        </w:numPr>
        <w:spacing w:line="240" w:lineRule="auto"/>
        <w:ind w:firstLineChars="0"/>
        <w:jc w:val="left"/>
        <w:rPr>
          <w:rFonts w:hint="eastAsia" w:ascii="仿宋_GB2312" w:hAnsi="仿宋_GB2312" w:eastAsia="仿宋_GB2312" w:cs="仿宋_GB2312"/>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部门</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u w:val="none"/>
          <w14:textFill>
            <w14:solidFill>
              <w14:schemeClr w14:val="tx1"/>
            </w14:solidFill>
          </w14:textFill>
        </w:rPr>
        <w:t>收支总表</w:t>
      </w:r>
    </w:p>
    <w:p w14:paraId="02C07EE0">
      <w:pPr>
        <w:pStyle w:val="6"/>
        <w:numPr>
          <w:ilvl w:val="0"/>
          <w:numId w:val="2"/>
        </w:numPr>
        <w:spacing w:line="240" w:lineRule="auto"/>
        <w:ind w:firstLineChars="0"/>
        <w:jc w:val="left"/>
        <w:rPr>
          <w:rFonts w:ascii="黑体" w:hAnsi="黑体" w:eastAsia="黑体"/>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部门</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u w:val="none"/>
          <w14:textFill>
            <w14:solidFill>
              <w14:schemeClr w14:val="tx1"/>
            </w14:solidFill>
          </w14:textFill>
        </w:rPr>
        <w:t>收入总表</w:t>
      </w:r>
    </w:p>
    <w:p w14:paraId="58561A34">
      <w:pPr>
        <w:pStyle w:val="6"/>
        <w:numPr>
          <w:ilvl w:val="0"/>
          <w:numId w:val="2"/>
        </w:numPr>
        <w:spacing w:line="240" w:lineRule="auto"/>
        <w:ind w:firstLineChars="0"/>
        <w:jc w:val="left"/>
        <w:rPr>
          <w:rFonts w:ascii="黑体" w:hAnsi="黑体" w:eastAsia="黑体"/>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部门</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u w:val="none"/>
          <w14:textFill>
            <w14:solidFill>
              <w14:schemeClr w14:val="tx1"/>
            </w14:solidFill>
          </w14:textFill>
        </w:rPr>
        <w:t>支出总表</w:t>
      </w:r>
    </w:p>
    <w:p w14:paraId="4BCD1D68">
      <w:pPr>
        <w:pStyle w:val="6"/>
        <w:numPr>
          <w:ilvl w:val="0"/>
          <w:numId w:val="2"/>
        </w:numPr>
        <w:spacing w:line="240" w:lineRule="auto"/>
        <w:ind w:firstLineChars="0"/>
        <w:jc w:val="left"/>
        <w:rPr>
          <w:rFonts w:ascii="黑体" w:hAnsi="黑体" w:eastAsia="黑体"/>
          <w:color w:val="000000" w:themeColor="text1"/>
          <w:sz w:val="32"/>
          <w:szCs w:val="32"/>
          <w:u w:val="none"/>
          <w14:textFill>
            <w14:solidFill>
              <w14:schemeClr w14:val="tx1"/>
            </w14:solidFill>
          </w14:textFill>
        </w:rPr>
      </w:pPr>
      <w:r>
        <w:rPr>
          <w:rFonts w:hint="eastAsia" w:ascii="仿宋_GB2312" w:hAnsi="仿宋_GB2312" w:eastAsia="仿宋_GB2312" w:cs="仿宋_GB2312"/>
          <w:color w:val="000000" w:themeColor="text1"/>
          <w:sz w:val="32"/>
          <w:szCs w:val="32"/>
          <w:u w:val="none"/>
          <w14:textFill>
            <w14:solidFill>
              <w14:schemeClr w14:val="tx1"/>
            </w14:solidFill>
          </w14:textFill>
        </w:rPr>
        <w:t>项目支出绩效信息表</w:t>
      </w:r>
    </w:p>
    <w:p w14:paraId="2623C422">
      <w:pPr>
        <w:pStyle w:val="6"/>
        <w:numPr>
          <w:ilvl w:val="0"/>
          <w:numId w:val="1"/>
        </w:numPr>
        <w:spacing w:line="240" w:lineRule="auto"/>
        <w:ind w:firstLineChars="0"/>
        <w:jc w:val="left"/>
        <w:rPr>
          <w:rFonts w:ascii="仿宋_GB2312" w:hAnsi="仿宋_GB2312" w:eastAsia="仿宋_GB2312" w:cs="仿宋_GB2312"/>
          <w:color w:val="000000" w:themeColor="text1"/>
          <w:sz w:val="32"/>
          <w:szCs w:val="32"/>
          <w:u w:val="none"/>
          <w14:textFill>
            <w14:solidFill>
              <w14:schemeClr w14:val="tx1"/>
            </w14:solidFill>
          </w14:textFill>
        </w:rPr>
      </w:pPr>
      <w:r>
        <w:rPr>
          <w:rFonts w:hint="eastAsia" w:ascii="黑体" w:hAnsi="黑体" w:eastAsia="黑体"/>
          <w:color w:val="000000" w:themeColor="text1"/>
          <w:sz w:val="32"/>
          <w:szCs w:val="32"/>
          <w:u w:val="none"/>
          <w:lang w:val="en-US" w:eastAsia="zh-CN"/>
          <w14:textFill>
            <w14:solidFill>
              <w14:schemeClr w14:val="tx1"/>
            </w14:solidFill>
          </w14:textFill>
        </w:rPr>
        <w:t xml:space="preserve">  </w:t>
      </w:r>
      <w:r>
        <w:rPr>
          <w:rFonts w:hint="eastAsia" w:ascii="方正黑体_GBK" w:hAnsi="方正黑体_GBK" w:eastAsia="方正黑体_GBK" w:cs="方正黑体_GBK"/>
          <w:color w:val="000000" w:themeColor="text1"/>
          <w:sz w:val="32"/>
          <w:szCs w:val="32"/>
          <w:u w:val="none"/>
          <w:lang w:val="en-US" w:eastAsia="zh-CN"/>
          <w14:textFill>
            <w14:solidFill>
              <w14:schemeClr w14:val="tx1"/>
            </w14:solidFill>
          </w14:textFill>
        </w:rPr>
        <w:t>2026</w:t>
      </w:r>
      <w:r>
        <w:rPr>
          <w:rFonts w:hint="eastAsia" w:ascii="方正黑体_GBK" w:hAnsi="方正黑体_GBK" w:eastAsia="方正黑体_GBK" w:cs="方正黑体_GBK"/>
          <w:color w:val="000000" w:themeColor="text1"/>
          <w:sz w:val="32"/>
          <w:szCs w:val="32"/>
          <w:u w:val="none"/>
          <w14:textFill>
            <w14:solidFill>
              <w14:schemeClr w14:val="tx1"/>
            </w14:solidFill>
          </w14:textFill>
        </w:rPr>
        <w:t>年</w:t>
      </w:r>
      <w:r>
        <w:rPr>
          <w:rFonts w:hint="eastAsia" w:ascii="方正黑体_GBK" w:hAnsi="方正黑体_GBK" w:eastAsia="方正黑体_GBK" w:cs="方正黑体_GBK"/>
          <w:color w:val="000000" w:themeColor="text1"/>
          <w:sz w:val="32"/>
          <w:szCs w:val="32"/>
          <w:u w:val="none"/>
          <w:lang w:val="en-US" w:eastAsia="zh-CN"/>
          <w14:textFill>
            <w14:solidFill>
              <w14:schemeClr w14:val="tx1"/>
            </w14:solidFill>
          </w14:textFill>
        </w:rPr>
        <w:t>洋浦经济开发区第七幼儿园</w:t>
      </w:r>
      <w:bookmarkStart w:id="0" w:name="_GoBack"/>
      <w:bookmarkEnd w:id="0"/>
      <w:r>
        <w:rPr>
          <w:rFonts w:hint="eastAsia" w:ascii="方正黑体_GBK" w:hAnsi="方正黑体_GBK" w:eastAsia="方正黑体_GBK" w:cs="方正黑体_GBK"/>
          <w:color w:val="000000" w:themeColor="text1"/>
          <w:sz w:val="32"/>
          <w:szCs w:val="32"/>
          <w:u w:val="none"/>
          <w14:textFill>
            <w14:solidFill>
              <w14:schemeClr w14:val="tx1"/>
            </w14:solidFill>
          </w14:textFill>
        </w:rPr>
        <w:t>预算情况说明</w:t>
      </w:r>
    </w:p>
    <w:p w14:paraId="5D54CBA8">
      <w:pPr>
        <w:pStyle w:val="6"/>
        <w:numPr>
          <w:ilvl w:val="0"/>
          <w:numId w:val="1"/>
        </w:numPr>
        <w:spacing w:line="240" w:lineRule="auto"/>
        <w:ind w:firstLineChars="0"/>
        <w:jc w:val="left"/>
        <w:rPr>
          <w:rFonts w:ascii="黑体" w:hAnsi="黑体" w:eastAsia="黑体"/>
          <w:color w:val="000000" w:themeColor="text1"/>
          <w:sz w:val="32"/>
          <w:szCs w:val="32"/>
          <w:u w:val="none"/>
          <w14:textFill>
            <w14:solidFill>
              <w14:schemeClr w14:val="tx1"/>
            </w14:solidFill>
          </w14:textFill>
        </w:rPr>
      </w:pPr>
      <w:r>
        <w:rPr>
          <w:rFonts w:hint="eastAsia" w:ascii="黑体" w:hAnsi="黑体" w:eastAsia="黑体"/>
          <w:color w:val="000000" w:themeColor="text1"/>
          <w:sz w:val="32"/>
          <w:szCs w:val="32"/>
          <w:u w:val="none"/>
          <w14:textFill>
            <w14:solidFill>
              <w14:schemeClr w14:val="tx1"/>
            </w14:solidFill>
          </w14:textFill>
        </w:rPr>
        <w:t xml:space="preserve">  名词解释</w:t>
      </w:r>
    </w:p>
    <w:p w14:paraId="3149D772">
      <w:pPr>
        <w:spacing w:line="560" w:lineRule="exact"/>
        <w:jc w:val="left"/>
        <w:rPr>
          <w:rFonts w:ascii="黑体" w:hAnsi="黑体" w:eastAsia="黑体"/>
          <w:color w:val="000000" w:themeColor="text1"/>
          <w:sz w:val="32"/>
          <w:szCs w:val="32"/>
          <w:u w:val="none"/>
          <w14:textFill>
            <w14:solidFill>
              <w14:schemeClr w14:val="tx1"/>
            </w14:solidFill>
          </w14:textFill>
        </w:rPr>
      </w:pPr>
    </w:p>
    <w:p w14:paraId="29A29B46">
      <w:pPr>
        <w:pStyle w:val="6"/>
        <w:numPr>
          <w:ilvl w:val="0"/>
          <w:numId w:val="3"/>
        </w:numPr>
        <w:spacing w:line="560" w:lineRule="exact"/>
        <w:ind w:firstLineChars="0"/>
        <w:jc w:val="center"/>
        <w:rPr>
          <w:rFonts w:hint="eastAsia" w:ascii="方正黑体_GBK" w:hAnsi="方正黑体_GBK" w:eastAsia="方正黑体_GBK" w:cs="方正黑体_GBK"/>
          <w:color w:val="000000" w:themeColor="text1"/>
          <w:sz w:val="32"/>
          <w:szCs w:val="32"/>
          <w:u w:val="none"/>
          <w14:textFill>
            <w14:solidFill>
              <w14:schemeClr w14:val="tx1"/>
            </w14:solidFill>
          </w14:textFill>
        </w:rPr>
      </w:pPr>
      <w:r>
        <w:rPr>
          <w:rFonts w:hint="eastAsia" w:ascii="方正黑体_GBK" w:hAnsi="方正黑体_GBK" w:eastAsia="方正黑体_GBK" w:cs="方正黑体_GBK"/>
          <w:color w:val="000000" w:themeColor="text1"/>
          <w:sz w:val="32"/>
          <w:szCs w:val="32"/>
          <w:u w:val="none"/>
          <w:lang w:val="en-US" w:eastAsia="zh-CN"/>
          <w14:textFill>
            <w14:solidFill>
              <w14:schemeClr w14:val="tx1"/>
            </w14:solidFill>
          </w14:textFill>
        </w:rPr>
        <w:t>洋浦经济开发区第七幼儿园</w:t>
      </w:r>
      <w:r>
        <w:rPr>
          <w:rFonts w:hint="eastAsia" w:ascii="方正黑体_GBK" w:hAnsi="方正黑体_GBK" w:eastAsia="方正黑体_GBK" w:cs="方正黑体_GBK"/>
          <w:color w:val="000000" w:themeColor="text1"/>
          <w:sz w:val="32"/>
          <w:szCs w:val="32"/>
          <w:u w:val="none"/>
          <w14:textFill>
            <w14:solidFill>
              <w14:schemeClr w14:val="tx1"/>
            </w14:solidFill>
          </w14:textFill>
        </w:rPr>
        <w:t>概况</w:t>
      </w:r>
    </w:p>
    <w:p w14:paraId="219FE1FB">
      <w:pPr>
        <w:spacing w:line="560" w:lineRule="exact"/>
        <w:jc w:val="left"/>
        <w:rPr>
          <w:rFonts w:ascii="仿宋_GB2312" w:hAnsi="仿宋_GB2312" w:eastAsia="仿宋_GB2312" w:cs="仿宋_GB2312"/>
          <w:color w:val="000000" w:themeColor="text1"/>
          <w:sz w:val="32"/>
          <w:szCs w:val="32"/>
          <w:u w:val="none"/>
          <w14:textFill>
            <w14:solidFill>
              <w14:schemeClr w14:val="tx1"/>
            </w14:solidFill>
          </w14:textFill>
        </w:rPr>
      </w:pPr>
    </w:p>
    <w:p w14:paraId="322BF25A">
      <w:pPr>
        <w:pStyle w:val="6"/>
        <w:numPr>
          <w:ilvl w:val="-1"/>
          <w:numId w:val="0"/>
        </w:numPr>
        <w:spacing w:line="560" w:lineRule="exact"/>
        <w:ind w:left="0" w:firstLine="640" w:firstLineChars="200"/>
        <w:jc w:val="left"/>
        <w:rPr>
          <w:rFonts w:ascii="黑体" w:hAnsi="黑体" w:eastAsia="黑体" w:cs="仿宋_GB2312"/>
          <w:color w:val="000000" w:themeColor="text1"/>
          <w:sz w:val="32"/>
          <w:szCs w:val="32"/>
          <w:u w:val="none"/>
          <w14:textFill>
            <w14:solidFill>
              <w14:schemeClr w14:val="tx1"/>
            </w14:solidFill>
          </w14:textFill>
        </w:rPr>
      </w:pPr>
      <w:r>
        <w:rPr>
          <w:rFonts w:hint="eastAsia" w:ascii="黑体" w:hAnsi="黑体" w:eastAsia="黑体" w:cs="仿宋_GB2312"/>
          <w:color w:val="000000" w:themeColor="text1"/>
          <w:sz w:val="32"/>
          <w:szCs w:val="32"/>
          <w:u w:val="none"/>
          <w:lang w:eastAsia="zh-CN"/>
          <w14:textFill>
            <w14:solidFill>
              <w14:schemeClr w14:val="tx1"/>
            </w14:solidFill>
          </w14:textFill>
        </w:rPr>
        <w:t>一、</w:t>
      </w:r>
      <w:r>
        <w:rPr>
          <w:rFonts w:hint="eastAsia" w:ascii="黑体" w:hAnsi="黑体" w:eastAsia="黑体" w:cs="仿宋_GB2312"/>
          <w:color w:val="000000" w:themeColor="text1"/>
          <w:sz w:val="32"/>
          <w:szCs w:val="32"/>
          <w:u w:val="none"/>
          <w14:textFill>
            <w14:solidFill>
              <w14:schemeClr w14:val="tx1"/>
            </w14:solidFill>
          </w14:textFill>
        </w:rPr>
        <w:t>主要职能</w:t>
      </w:r>
    </w:p>
    <w:p w14:paraId="6E3259D4">
      <w:pPr>
        <w:pStyle w:val="6"/>
        <w:numPr>
          <w:ilvl w:val="0"/>
          <w:numId w:val="0"/>
        </w:numPr>
        <w:spacing w:line="560" w:lineRule="exact"/>
        <w:ind w:left="640" w:leftChars="0"/>
        <w:jc w:val="left"/>
        <w:rPr>
          <w:rFonts w:hint="eastAsia" w:ascii="仿宋_GB2312" w:hAnsi="黑体" w:eastAsia="仿宋_GB2312" w:cs="仿宋_GB2312"/>
          <w:color w:val="000000" w:themeColor="text1"/>
          <w:sz w:val="32"/>
          <w:szCs w:val="32"/>
          <w:u w:val="none"/>
          <w14:textFill>
            <w14:solidFill>
              <w14:schemeClr w14:val="tx1"/>
            </w14:solidFill>
          </w14:textFill>
        </w:rPr>
      </w:pPr>
      <w:r>
        <w:rPr>
          <w:rFonts w:hint="eastAsia" w:ascii="仿宋_GB2312" w:hAnsi="黑体" w:eastAsia="仿宋_GB2312" w:cs="仿宋_GB2312"/>
          <w:color w:val="000000" w:themeColor="text1"/>
          <w:sz w:val="32"/>
          <w:szCs w:val="32"/>
          <w:u w:val="none"/>
          <w14:textFill>
            <w14:solidFill>
              <w14:schemeClr w14:val="tx1"/>
            </w14:solidFill>
          </w14:textFill>
        </w:rPr>
        <w:t>（一）以“让每个孩子安心的做自己”为办园思想，以“给孩子一个快乐童年”为教育理念，营造“尊重、包容、专业、创新、感恩”的教育生态环境，践行包容、接纳、建议、帮助、感恩、民主、平等、开放、自由的核心准则。</w:t>
      </w:r>
    </w:p>
    <w:p w14:paraId="25E32705">
      <w:pPr>
        <w:pStyle w:val="6"/>
        <w:numPr>
          <w:ilvl w:val="0"/>
          <w:numId w:val="0"/>
        </w:numPr>
        <w:spacing w:line="560" w:lineRule="exact"/>
        <w:ind w:left="640" w:leftChars="0"/>
        <w:jc w:val="left"/>
        <w:rPr>
          <w:rFonts w:hint="eastAsia" w:ascii="仿宋_GB2312" w:hAnsi="黑体" w:eastAsia="仿宋_GB2312" w:cs="仿宋_GB2312"/>
          <w:color w:val="000000" w:themeColor="text1"/>
          <w:sz w:val="32"/>
          <w:szCs w:val="32"/>
          <w:u w:val="none"/>
          <w:lang w:eastAsia="zh-CN"/>
          <w14:textFill>
            <w14:solidFill>
              <w14:schemeClr w14:val="tx1"/>
            </w14:solidFill>
          </w14:textFill>
        </w:rPr>
      </w:pPr>
      <w:r>
        <w:rPr>
          <w:rFonts w:hint="eastAsia" w:ascii="仿宋_GB2312" w:hAnsi="黑体" w:eastAsia="仿宋_GB2312" w:cs="仿宋_GB2312"/>
          <w:color w:val="000000" w:themeColor="text1"/>
          <w:sz w:val="32"/>
          <w:szCs w:val="32"/>
          <w:u w:val="none"/>
          <w:lang w:eastAsia="zh-CN"/>
          <w14:textFill>
            <w14:solidFill>
              <w14:schemeClr w14:val="tx1"/>
            </w14:solidFill>
          </w14:textFill>
        </w:rPr>
        <w:t>（</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二</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w:t>
      </w:r>
      <w:r>
        <w:rPr>
          <w:rFonts w:hint="eastAsia" w:ascii="仿宋_GB2312" w:hAnsi="黑体" w:eastAsia="仿宋_GB2312" w:cs="仿宋_GB2312"/>
          <w:color w:val="000000" w:themeColor="text1"/>
          <w:sz w:val="32"/>
          <w:szCs w:val="32"/>
          <w:u w:val="none"/>
          <w14:textFill>
            <w14:solidFill>
              <w14:schemeClr w14:val="tx1"/>
            </w14:solidFill>
          </w14:textFill>
        </w:rPr>
        <w:t>倡导“关注个体、尊重差异、培养品格”，致力于成就幼儿四大特质——健康快乐、富有创意、乐思阅读、均衡发展，为孩子终身学习筑牢良好开端；深耕中华优秀传统文化传承，培养具有“中国灵魂、世界眼光”的世界小公民</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w:t>
      </w:r>
    </w:p>
    <w:p w14:paraId="3397385B">
      <w:pPr>
        <w:numPr>
          <w:ilvl w:val="-1"/>
          <w:numId w:val="0"/>
        </w:numPr>
        <w:spacing w:line="560" w:lineRule="exact"/>
        <w:ind w:firstLine="640" w:firstLineChars="200"/>
        <w:jc w:val="left"/>
        <w:rPr>
          <w:rFonts w:hint="eastAsia" w:ascii="黑体" w:hAnsi="黑体" w:eastAsia="黑体" w:cs="仿宋_GB2312"/>
          <w:color w:val="000000" w:themeColor="text1"/>
          <w:sz w:val="32"/>
          <w:szCs w:val="32"/>
          <w:highlight w:val="none"/>
          <w:u w:val="none"/>
          <w:lang w:eastAsia="zh-CN"/>
          <w14:textFill>
            <w14:solidFill>
              <w14:schemeClr w14:val="tx1"/>
            </w14:solidFill>
          </w14:textFill>
        </w:rPr>
      </w:pPr>
      <w:r>
        <w:rPr>
          <w:rFonts w:hint="eastAsia" w:ascii="黑体" w:hAnsi="黑体" w:eastAsia="黑体" w:cs="仿宋_GB2312"/>
          <w:color w:val="000000" w:themeColor="text1"/>
          <w:sz w:val="32"/>
          <w:szCs w:val="32"/>
          <w:highlight w:val="none"/>
          <w:u w:val="none"/>
          <w:lang w:eastAsia="zh-CN"/>
          <w14:textFill>
            <w14:solidFill>
              <w14:schemeClr w14:val="tx1"/>
            </w14:solidFill>
          </w14:textFill>
        </w:rPr>
        <w:t>二、机构设置</w:t>
      </w:r>
    </w:p>
    <w:p w14:paraId="689F9EA4">
      <w:pPr>
        <w:pStyle w:val="6"/>
        <w:numPr>
          <w:ilvl w:val="0"/>
          <w:numId w:val="0"/>
        </w:numPr>
        <w:spacing w:line="560" w:lineRule="exact"/>
        <w:ind w:left="640" w:leftChars="0"/>
        <w:jc w:val="left"/>
        <w:rPr>
          <w:rFonts w:hint="eastAsia" w:ascii="仿宋_GB2312" w:hAnsi="黑体" w:eastAsia="仿宋_GB2312" w:cs="仿宋_GB2312"/>
          <w:color w:val="000000" w:themeColor="text1"/>
          <w:sz w:val="32"/>
          <w:szCs w:val="32"/>
          <w:u w:val="none"/>
          <w14:textFill>
            <w14:solidFill>
              <w14:schemeClr w14:val="tx1"/>
            </w14:solidFill>
          </w14:textFill>
        </w:rPr>
      </w:pPr>
      <w:r>
        <w:rPr>
          <w:rFonts w:hint="eastAsia" w:ascii="仿宋_GB2312" w:hAnsi="黑体" w:eastAsia="仿宋_GB2312" w:cs="仿宋_GB2312"/>
          <w:color w:val="000000" w:themeColor="text1"/>
          <w:sz w:val="32"/>
          <w:szCs w:val="32"/>
          <w:u w:val="none"/>
          <w:lang w:eastAsia="zh-CN"/>
          <w14:textFill>
            <w14:solidFill>
              <w14:schemeClr w14:val="tx1"/>
            </w14:solidFill>
          </w14:textFill>
        </w:rPr>
        <w:t>（一）</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洋浦经济开发区第七幼儿园共有5个内设机构，包括：园长办公室、综合办公室、保教部 、财务部、后勤部。</w:t>
      </w:r>
    </w:p>
    <w:p w14:paraId="01D51973">
      <w:pPr>
        <w:numPr>
          <w:ilvl w:val="-1"/>
          <w:numId w:val="0"/>
        </w:numPr>
        <w:spacing w:line="560" w:lineRule="exact"/>
        <w:ind w:firstLine="1280" w:firstLineChars="400"/>
        <w:jc w:val="left"/>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第二部分  2026年部门（单位）预算表</w:t>
      </w:r>
    </w:p>
    <w:p w14:paraId="4AB0E997">
      <w:pPr>
        <w:spacing w:line="560" w:lineRule="exact"/>
        <w:ind w:left="0"/>
        <w:jc w:val="cente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（此部分内容即为部门或单位预算公开表）</w:t>
      </w:r>
    </w:p>
    <w:p w14:paraId="2EAF4D04">
      <w:pPr>
        <w:numPr>
          <w:ilvl w:val="-1"/>
          <w:numId w:val="0"/>
        </w:numPr>
        <w:spacing w:line="560" w:lineRule="exact"/>
        <w:ind w:firstLine="1280" w:firstLineChars="400"/>
        <w:jc w:val="left"/>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p>
    <w:p w14:paraId="70E96E87">
      <w:pPr>
        <w:spacing w:line="560" w:lineRule="exact"/>
        <w:ind w:firstLine="1280" w:firstLineChars="400"/>
        <w:jc w:val="both"/>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第三部分  2026年部门（单位）预算情况说明</w:t>
      </w:r>
    </w:p>
    <w:p w14:paraId="399C921F">
      <w:pPr>
        <w:spacing w:line="560" w:lineRule="exact"/>
        <w:ind w:firstLine="640" w:firstLineChars="200"/>
        <w:jc w:val="left"/>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一、财政拨款收支预算总体情况说明</w:t>
      </w:r>
    </w:p>
    <w:p w14:paraId="0DE3A857">
      <w:pPr>
        <w:spacing w:line="578" w:lineRule="exact"/>
        <w:ind w:firstLine="640" w:firstLineChars="20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洋浦经济开发区第七幼儿园2026年财政拨款收支总预算839.68万元，比上年预算数减少72.47万元，主要是我园基础设施日渐完善，所需资金减少。其中，收入总计839.68万元，包括一般公共预算本年收入839.68万元、上年结转3.15万元，政府性基金预算本年收入0万元、上年结转0万元，国有资本经营预算本年收入0万元、上年结转0万元；支出总计0元，包括一般公共服务支出0万元、外交支出0万元、国防支出0万元，结转下年0万元。</w:t>
      </w:r>
    </w:p>
    <w:p w14:paraId="52C48108">
      <w:pPr>
        <w:spacing w:line="560" w:lineRule="exact"/>
        <w:ind w:firstLine="640"/>
        <w:jc w:val="left"/>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二、一般公共预算当年拨款情况说明</w:t>
      </w:r>
    </w:p>
    <w:p w14:paraId="6AA44878">
      <w:pPr>
        <w:spacing w:line="560" w:lineRule="exact"/>
        <w:ind w:firstLine="640"/>
        <w:jc w:val="left"/>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（一）一般公共预算当年规模变化情况</w:t>
      </w:r>
    </w:p>
    <w:p w14:paraId="62329D7D">
      <w:pPr>
        <w:spacing w:line="560" w:lineRule="exact"/>
        <w:ind w:firstLine="640" w:firstLineChars="20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洋浦经济开发区第七幼儿园2026年一般公共预算当年拨款839.68万元，比上年预算减少72.47万元，我园基础设施日渐完善，所需资金减少。</w:t>
      </w:r>
    </w:p>
    <w:p w14:paraId="59645685">
      <w:pPr>
        <w:spacing w:line="560" w:lineRule="exact"/>
        <w:ind w:firstLine="640"/>
        <w:jc w:val="left"/>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（二）一般公共预算当年拨款结构情况</w:t>
      </w:r>
    </w:p>
    <w:p w14:paraId="1556CC17">
      <w:pPr>
        <w:spacing w:line="560" w:lineRule="exact"/>
        <w:ind w:firstLine="640" w:firstLineChars="20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一般公共服务（类）支出0万元，占0%；外交（类）支出0万元，占0%；教育（类）支出828.45万元，占98.66%；科学技术（类）支出0万元，占0%。</w:t>
      </w:r>
    </w:p>
    <w:p w14:paraId="61287AC2">
      <w:pPr>
        <w:spacing w:line="560" w:lineRule="exact"/>
        <w:ind w:firstLine="640"/>
        <w:jc w:val="left"/>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（三）一般公共预算当年拨款具体使用情况</w:t>
      </w:r>
    </w:p>
    <w:p w14:paraId="6887908C">
      <w:pPr>
        <w:spacing w:line="578" w:lineRule="exact"/>
        <w:ind w:firstLine="640" w:firstLineChars="20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1.教育支出（类）2026年预算数为839.68万元，较上年预算数减少83.7万元。主要原因是我园基础设施建设日趋完善，办学条件持续改善，相关建设及维修改造资金需求相应减少。</w:t>
      </w:r>
    </w:p>
    <w:p w14:paraId="18478F2A">
      <w:pPr>
        <w:spacing w:line="578" w:lineRule="exact"/>
        <w:ind w:firstLine="640" w:firstLineChars="200"/>
        <w:rPr>
          <w:rFonts w:hint="default"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2.社会保障和就业支出2026年预算数为5万元，较上年预算数增加5万元。主要原因是本年度有在编人员调入，机关事业单位养老保险、职业年金等社会保障缴费相应增加。</w:t>
      </w:r>
    </w:p>
    <w:p w14:paraId="0BB1C76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3.卫生健康支出2026年预算数为3.45万元，较上年预算数增加3.45万元。主要原因是本年度有在编人员调入，职工医疗保险等卫生健康保障经费相应增加。</w:t>
      </w:r>
    </w:p>
    <w:p w14:paraId="58E0595F">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4. 住房保障支出2026年预算数为2.77万元，较上年预算数增加2.77万元。主要原因是本年度有在编人员调入，住房公积金等住房保障经费相应增加。</w:t>
      </w:r>
    </w:p>
    <w:p w14:paraId="39219E34">
      <w:pPr>
        <w:spacing w:line="578" w:lineRule="exact"/>
        <w:ind w:firstLine="640"/>
        <w:rPr>
          <w:rFonts w:ascii="黑体" w:hAnsi="黑体" w:eastAsia="黑体"/>
          <w:color w:val="000000" w:themeColor="text1"/>
          <w:sz w:val="32"/>
          <w:szCs w:val="32"/>
          <w:u w:val="none"/>
          <w14:textFill>
            <w14:solidFill>
              <w14:schemeClr w14:val="tx1"/>
            </w14:solidFill>
          </w14:textFill>
        </w:rPr>
      </w:pPr>
      <w:r>
        <w:rPr>
          <w:rFonts w:hint="eastAsia" w:ascii="黑体" w:hAnsi="黑体" w:eastAsia="黑体"/>
          <w:color w:val="000000" w:themeColor="text1"/>
          <w:sz w:val="32"/>
          <w:szCs w:val="32"/>
          <w:u w:val="none"/>
          <w14:textFill>
            <w14:solidFill>
              <w14:schemeClr w14:val="tx1"/>
            </w14:solidFill>
          </w14:textFill>
        </w:rPr>
        <w:t>三、一般公共预算基本支出情况说明</w:t>
      </w:r>
    </w:p>
    <w:p w14:paraId="15D3494B">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洋浦经济开发区第七幼儿园2026年一般公共预算基本支出为839.68万元，其中：</w:t>
      </w:r>
    </w:p>
    <w:p w14:paraId="3DFB45A8">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人员经费720.55万元，主要包括：基本工资、津贴补贴、奖金、社会保障缴费；</w:t>
      </w:r>
    </w:p>
    <w:p w14:paraId="40FE9B59">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公用经费0.37万元，主要包括：办公费、咨询费、手续费、水费、电费。</w:t>
      </w:r>
    </w:p>
    <w:p w14:paraId="197C061A">
      <w:pPr>
        <w:spacing w:line="560" w:lineRule="exact"/>
        <w:ind w:firstLine="640" w:firstLineChars="200"/>
        <w:rPr>
          <w:rFonts w:ascii="黑体" w:hAnsi="黑体" w:eastAsia="黑体" w:cs="Times New Roman"/>
          <w:color w:val="000000" w:themeColor="text1"/>
          <w:sz w:val="32"/>
          <w:u w:val="none"/>
          <w:shd w:val="clear" w:color="auto" w:fill="FFFFFF"/>
          <w14:textFill>
            <w14:solidFill>
              <w14:schemeClr w14:val="tx1"/>
            </w14:solidFill>
          </w14:textFill>
        </w:rPr>
      </w:pPr>
      <w:r>
        <w:rPr>
          <w:rFonts w:hint="eastAsia" w:ascii="黑体" w:hAnsi="黑体" w:eastAsia="黑体" w:cs="Times New Roman"/>
          <w:color w:val="000000" w:themeColor="text1"/>
          <w:sz w:val="32"/>
          <w:u w:val="none"/>
          <w:shd w:val="clear" w:color="auto" w:fill="FFFFFF"/>
          <w14:textFill>
            <w14:solidFill>
              <w14:schemeClr w14:val="tx1"/>
            </w14:solidFill>
          </w14:textFill>
        </w:rPr>
        <w:t>四、</w:t>
      </w:r>
      <w:r>
        <w:rPr>
          <w:rFonts w:ascii="黑体" w:hAnsi="黑体" w:eastAsia="黑体" w:cs="Times New Roman"/>
          <w:color w:val="000000" w:themeColor="text1"/>
          <w:sz w:val="32"/>
          <w:u w:val="none"/>
          <w:shd w:val="clear" w:color="auto" w:fill="FFFFFF"/>
          <w14:textFill>
            <w14:solidFill>
              <w14:schemeClr w14:val="tx1"/>
            </w14:solidFill>
          </w14:textFill>
        </w:rPr>
        <w:t>“三公”经费预算情况</w:t>
      </w:r>
      <w:r>
        <w:rPr>
          <w:rFonts w:hint="eastAsia" w:ascii="黑体" w:hAnsi="黑体" w:eastAsia="黑体" w:cs="Times New Roman"/>
          <w:color w:val="000000" w:themeColor="text1"/>
          <w:sz w:val="32"/>
          <w:u w:val="none"/>
          <w:shd w:val="clear" w:color="auto" w:fill="FFFFFF"/>
          <w14:textFill>
            <w14:solidFill>
              <w14:schemeClr w14:val="tx1"/>
            </w14:solidFill>
          </w14:textFill>
        </w:rPr>
        <w:t>说明</w:t>
      </w:r>
    </w:p>
    <w:p w14:paraId="4A5238D0">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（一）洋浦经济开发区第七幼儿园2026年一般公共预算“三公”经费预算数为0万元，其中：</w:t>
      </w:r>
    </w:p>
    <w:p w14:paraId="51700722">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因公出国（境）经费0万元，因公出国（境）经费0万元，与上年预算持平。</w:t>
      </w:r>
    </w:p>
    <w:p w14:paraId="79AAA234">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公务用车购置及运行费0万元（其中，公务用车购置费0万元，公务用车运行费0万元），与上年预算持平。</w:t>
      </w:r>
    </w:p>
    <w:p w14:paraId="5940C8F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公务接待费0万元，与上年预算持平。</w:t>
      </w:r>
    </w:p>
    <w:p w14:paraId="2DDB297B">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（二）洋浦经济开发区第七幼儿园2026年政府性基金预算“三公”经费预算数为0万元，其中：</w:t>
      </w:r>
    </w:p>
    <w:p w14:paraId="36B1743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因公出国（境）经费0万元，与上年预算持平。</w:t>
      </w:r>
    </w:p>
    <w:p w14:paraId="6D5EA32A">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公务用车购置及运行费0万元（其中，公务用车购置费0万元，公务用车运行费0万元），与上年预算持平。</w:t>
      </w:r>
    </w:p>
    <w:p w14:paraId="4FFEE12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公务接待费0万元，与上年预算持平。</w:t>
      </w:r>
    </w:p>
    <w:p w14:paraId="5D064AF5">
      <w:pPr>
        <w:spacing w:line="560" w:lineRule="exact"/>
        <w:ind w:firstLine="640" w:firstLineChars="200"/>
        <w:rPr>
          <w:rFonts w:ascii="黑体" w:hAnsi="黑体" w:eastAsia="黑体" w:cs="Times New Roman"/>
          <w:color w:val="000000" w:themeColor="text1"/>
          <w:sz w:val="32"/>
          <w:u w:val="none"/>
          <w:shd w:val="clear" w:color="auto" w:fill="FFFFFF"/>
          <w14:textFill>
            <w14:solidFill>
              <w14:schemeClr w14:val="tx1"/>
            </w14:solidFill>
          </w14:textFill>
        </w:rPr>
      </w:pPr>
      <w:r>
        <w:rPr>
          <w:rFonts w:hint="eastAsia" w:ascii="黑体" w:hAnsi="黑体" w:eastAsia="黑体" w:cs="Times New Roman"/>
          <w:color w:val="000000" w:themeColor="text1"/>
          <w:sz w:val="32"/>
          <w:u w:val="none"/>
          <w:shd w:val="clear" w:color="auto" w:fill="FFFFFF"/>
          <w14:textFill>
            <w14:solidFill>
              <w14:schemeClr w14:val="tx1"/>
            </w14:solidFill>
          </w14:textFill>
        </w:rPr>
        <w:t>五、政府性基金预算当年拨款情况说明</w:t>
      </w:r>
    </w:p>
    <w:p w14:paraId="2925FC5D">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（一）政府性基金预算当年规模变化情况</w:t>
      </w:r>
    </w:p>
    <w:p w14:paraId="1F421A0B">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洋浦经济开发区第七幼儿园2026年政府性基金预算当年拨款0万元，与上年持平，主要是我园无此项资金。</w:t>
      </w:r>
    </w:p>
    <w:p w14:paraId="13FD1F0D">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（二）政府性基金预算当年拨款结构情况</w:t>
      </w:r>
    </w:p>
    <w:p w14:paraId="6472FFD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科学技术支出（类）支出0万元，占0%；文化体育与传媒支出（类）支出0万元，占0%；社会保障和就业支出（类）支出0万元，占0%；节能环保（类）支出0万元，占0%。</w:t>
      </w:r>
    </w:p>
    <w:p w14:paraId="6D85140B">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（三）政府性基金预算当年拨款具体使用情况</w:t>
      </w:r>
    </w:p>
    <w:p w14:paraId="2CFD80C4">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 科学技术支出（类）核电站乏燃料处理处置基金支出（款）乏燃料运输（项）2026年预算数为0万元，与上年持平，主要是我园无此项资金。</w:t>
      </w:r>
    </w:p>
    <w:p w14:paraId="6F35AA1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2. 科学技术支出（类）核电站乏燃料处理处置基金支出（款）乏燃料离堆贮存（项）2026年预算数为0万元，与上年持平，主要是我园无此项资金。</w:t>
      </w:r>
    </w:p>
    <w:p w14:paraId="257BB7FD">
      <w:pPr>
        <w:numPr>
          <w:ilvl w:val="0"/>
          <w:numId w:val="4"/>
        </w:numPr>
        <w:spacing w:line="560" w:lineRule="exact"/>
        <w:ind w:firstLine="640" w:firstLineChars="200"/>
        <w:rPr>
          <w:rFonts w:hint="eastAsia" w:ascii="黑体" w:hAnsi="黑体" w:eastAsia="黑体" w:cs="Times New Roman"/>
          <w:color w:val="000000" w:themeColor="text1"/>
          <w:sz w:val="32"/>
          <w:u w:val="none"/>
          <w:shd w:val="clear" w:color="auto" w:fill="FFFFFF"/>
          <w:lang w:eastAsia="zh-CN"/>
          <w14:textFill>
            <w14:solidFill>
              <w14:schemeClr w14:val="tx1"/>
            </w14:solidFill>
          </w14:textFill>
        </w:rPr>
      </w:pPr>
      <w:r>
        <w:rPr>
          <w:rFonts w:hint="eastAsia" w:ascii="黑体" w:hAnsi="黑体" w:eastAsia="黑体" w:cs="Times New Roman"/>
          <w:color w:val="000000" w:themeColor="text1"/>
          <w:sz w:val="32"/>
          <w:u w:val="none"/>
          <w:shd w:val="clear" w:color="auto" w:fill="FFFFFF"/>
          <w:lang w:eastAsia="zh-CN"/>
          <w14:textFill>
            <w14:solidFill>
              <w14:schemeClr w14:val="tx1"/>
            </w14:solidFill>
          </w14:textFill>
        </w:rPr>
        <w:t>国有资本经营预算当年拨款情况说明</w:t>
      </w:r>
    </w:p>
    <w:p w14:paraId="551D030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洋浦经济开发区第七幼儿园2026年国有资本经营预算当年拨款0万元，与上年持平，主要是我园无此项资金。</w:t>
      </w:r>
    </w:p>
    <w:p w14:paraId="4E456D6F">
      <w:pPr>
        <w:spacing w:line="560" w:lineRule="exact"/>
        <w:ind w:firstLine="640" w:firstLineChars="200"/>
        <w:rPr>
          <w:rFonts w:ascii="黑体" w:hAnsi="黑体" w:eastAsia="黑体" w:cs="Times New Roman"/>
          <w:color w:val="000000" w:themeColor="text1"/>
          <w:sz w:val="32"/>
          <w:u w:val="none"/>
          <w:shd w:val="clear" w:color="auto" w:fill="FFFFFF"/>
          <w14:textFill>
            <w14:solidFill>
              <w14:schemeClr w14:val="tx1"/>
            </w14:solidFill>
          </w14:textFill>
        </w:rPr>
      </w:pPr>
      <w:r>
        <w:rPr>
          <w:rFonts w:hint="eastAsia" w:ascii="黑体" w:hAnsi="黑体" w:eastAsia="黑体" w:cs="Times New Roman"/>
          <w:color w:val="000000" w:themeColor="text1"/>
          <w:sz w:val="32"/>
          <w:u w:val="none"/>
          <w:shd w:val="clear" w:color="auto" w:fill="FFFFFF"/>
          <w:lang w:eastAsia="zh-CN"/>
          <w14:textFill>
            <w14:solidFill>
              <w14:schemeClr w14:val="tx1"/>
            </w14:solidFill>
          </w14:textFill>
        </w:rPr>
        <w:t>七、</w:t>
      </w:r>
      <w:r>
        <w:rPr>
          <w:rFonts w:hint="eastAsia" w:ascii="黑体" w:hAnsi="黑体" w:eastAsia="黑体" w:cs="Times New Roman"/>
          <w:color w:val="000000" w:themeColor="text1"/>
          <w:sz w:val="32"/>
          <w:u w:val="none"/>
          <w:shd w:val="clear" w:color="auto" w:fill="FFFFFF"/>
          <w14:textFill>
            <w14:solidFill>
              <w14:schemeClr w14:val="tx1"/>
            </w14:solidFill>
          </w14:textFill>
        </w:rPr>
        <w:t>收支预算总体情况说明</w:t>
      </w:r>
    </w:p>
    <w:p w14:paraId="11D733F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按照综合预算原则，洋浦经济开发区第七幼儿园所有收入和支出均纳入部门预算管理。收入包括：一般公共预算收入、政府性基金收入、其他财政资金收入、事业收入； 支出包括：一般公共服务支出、外交支出、国防支出、公共安全支出、教育支出。洋浦经济开发区第七幼儿园2026年收支总预算839.68万元。</w:t>
      </w:r>
    </w:p>
    <w:p w14:paraId="3CE3717D">
      <w:pPr>
        <w:spacing w:line="560" w:lineRule="exact"/>
        <w:ind w:firstLine="640" w:firstLineChars="200"/>
        <w:rPr>
          <w:rFonts w:ascii="黑体" w:hAnsi="黑体" w:eastAsia="黑体" w:cs="Times New Roman"/>
          <w:color w:val="000000" w:themeColor="text1"/>
          <w:sz w:val="32"/>
          <w:u w:val="none"/>
          <w:shd w:val="clear" w:color="auto" w:fill="FFFFFF"/>
          <w14:textFill>
            <w14:solidFill>
              <w14:schemeClr w14:val="tx1"/>
            </w14:solidFill>
          </w14:textFill>
        </w:rPr>
      </w:pPr>
      <w:r>
        <w:rPr>
          <w:rFonts w:hint="eastAsia" w:ascii="黑体" w:hAnsi="黑体" w:eastAsia="黑体" w:cs="Times New Roman"/>
          <w:color w:val="000000" w:themeColor="text1"/>
          <w:sz w:val="32"/>
          <w:u w:val="none"/>
          <w:shd w:val="clear" w:color="auto" w:fill="FFFFFF"/>
          <w:lang w:eastAsia="zh-CN"/>
          <w14:textFill>
            <w14:solidFill>
              <w14:schemeClr w14:val="tx1"/>
            </w14:solidFill>
          </w14:textFill>
        </w:rPr>
        <w:t>八</w:t>
      </w:r>
      <w:r>
        <w:rPr>
          <w:rFonts w:hint="eastAsia" w:ascii="黑体" w:hAnsi="黑体" w:eastAsia="黑体" w:cs="Times New Roman"/>
          <w:color w:val="000000" w:themeColor="text1"/>
          <w:sz w:val="32"/>
          <w:u w:val="none"/>
          <w:shd w:val="clear" w:color="auto" w:fill="FFFFFF"/>
          <w14:textFill>
            <w14:solidFill>
              <w14:schemeClr w14:val="tx1"/>
            </w14:solidFill>
          </w14:textFill>
        </w:rPr>
        <w:t>、收入预算情况说明</w:t>
      </w:r>
    </w:p>
    <w:p w14:paraId="00B6D12E">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洋浦经济开发区第七幼儿园2026年收入预算839.68万元，其中：上年结转3.15万元，占0.38%；经费拨款收入839.68万元，占100%；政府性基金收入0万元，占0%；专项收入0万元，占0%。比上年预算数减少72.47万元，主要是我园基础设施日渐完善，所需资金减少。</w:t>
      </w:r>
    </w:p>
    <w:p w14:paraId="118CC76B">
      <w:pPr>
        <w:spacing w:line="560" w:lineRule="exact"/>
        <w:ind w:firstLine="640" w:firstLineChars="200"/>
        <w:rPr>
          <w:rFonts w:ascii="黑体" w:hAnsi="黑体" w:eastAsia="黑体" w:cs="Times New Roman"/>
          <w:color w:val="000000" w:themeColor="text1"/>
          <w:sz w:val="32"/>
          <w:u w:val="none"/>
          <w:shd w:val="clear" w:color="auto" w:fill="FFFFFF"/>
          <w14:textFill>
            <w14:solidFill>
              <w14:schemeClr w14:val="tx1"/>
            </w14:solidFill>
          </w14:textFill>
        </w:rPr>
      </w:pPr>
      <w:r>
        <w:rPr>
          <w:rFonts w:hint="eastAsia" w:ascii="黑体" w:hAnsi="黑体" w:eastAsia="黑体" w:cs="Times New Roman"/>
          <w:color w:val="000000" w:themeColor="text1"/>
          <w:sz w:val="32"/>
          <w:u w:val="none"/>
          <w:shd w:val="clear" w:color="auto" w:fill="FFFFFF"/>
          <w:lang w:eastAsia="zh-CN"/>
          <w14:textFill>
            <w14:solidFill>
              <w14:schemeClr w14:val="tx1"/>
            </w14:solidFill>
          </w14:textFill>
        </w:rPr>
        <w:t>九</w:t>
      </w:r>
      <w:r>
        <w:rPr>
          <w:rFonts w:hint="eastAsia" w:ascii="黑体" w:hAnsi="黑体" w:eastAsia="黑体" w:cs="Times New Roman"/>
          <w:color w:val="000000" w:themeColor="text1"/>
          <w:sz w:val="32"/>
          <w:u w:val="none"/>
          <w:shd w:val="clear" w:color="auto" w:fill="FFFFFF"/>
          <w14:textFill>
            <w14:solidFill>
              <w14:schemeClr w14:val="tx1"/>
            </w14:solidFill>
          </w14:textFill>
        </w:rPr>
        <w:t>、支出预算情况说明</w:t>
      </w:r>
    </w:p>
    <w:p w14:paraId="6E448059">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洋浦经济开发区第七幼儿园2026年支出预算839.68万元，其中：基本支出720.92万元，占85.86%，比去年增加0万元；项目支出118.76万元，占14.14%，比去年减少71.64万元。总体比上年预算数减少万元，主要是我园设施设备运转日渐完善，项目支出减少。</w:t>
      </w:r>
    </w:p>
    <w:p w14:paraId="4DB02BDE">
      <w:pPr>
        <w:spacing w:line="560" w:lineRule="exact"/>
        <w:ind w:firstLine="640" w:firstLineChars="200"/>
        <w:rPr>
          <w:rFonts w:ascii="黑体" w:hAnsi="黑体" w:eastAsia="黑体" w:cs="Times New Roman"/>
          <w:color w:val="000000" w:themeColor="text1"/>
          <w:sz w:val="32"/>
          <w:u w:val="none"/>
          <w:shd w:val="clear" w:color="auto" w:fill="FFFFFF"/>
          <w14:textFill>
            <w14:solidFill>
              <w14:schemeClr w14:val="tx1"/>
            </w14:solidFill>
          </w14:textFill>
        </w:rPr>
      </w:pPr>
      <w:r>
        <w:rPr>
          <w:rFonts w:hint="eastAsia" w:ascii="黑体" w:hAnsi="黑体" w:eastAsia="黑体" w:cs="Times New Roman"/>
          <w:color w:val="000000" w:themeColor="text1"/>
          <w:sz w:val="32"/>
          <w:u w:val="none"/>
          <w:shd w:val="clear" w:color="auto" w:fill="FFFFFF"/>
          <w:lang w:eastAsia="zh-CN"/>
          <w14:textFill>
            <w14:solidFill>
              <w14:schemeClr w14:val="tx1"/>
            </w14:solidFill>
          </w14:textFill>
        </w:rPr>
        <w:t>十</w:t>
      </w:r>
      <w:r>
        <w:rPr>
          <w:rFonts w:hint="eastAsia" w:ascii="黑体" w:hAnsi="黑体" w:eastAsia="黑体" w:cs="Times New Roman"/>
          <w:color w:val="000000" w:themeColor="text1"/>
          <w:sz w:val="32"/>
          <w:u w:val="none"/>
          <w:shd w:val="clear" w:color="auto" w:fill="FFFFFF"/>
          <w14:textFill>
            <w14:solidFill>
              <w14:schemeClr w14:val="tx1"/>
            </w14:solidFill>
          </w14:textFill>
        </w:rPr>
        <w:t>、其他重要事项的情况说明</w:t>
      </w:r>
    </w:p>
    <w:p w14:paraId="73C9C155">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w:t>
      </w: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一）政府采购情况</w:t>
      </w:r>
    </w:p>
    <w:p w14:paraId="075640C7">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2026年洋浦经济开发区第七幼儿园政府采购预算总额0万元，其中：政府采购货物预算0万元，政府采购工程预算0万元，政府采购服务预算0万元。</w:t>
      </w:r>
    </w:p>
    <w:p w14:paraId="0FEE6A21">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（二）国有资产占有使用情况</w:t>
      </w:r>
    </w:p>
    <w:p w14:paraId="7D9BAA7D">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截至2025年12月31日，洋浦经济开发区第七幼儿园本级及下属各预算单位共有车辆0辆，其中，领导干部用车0辆，机要通信应急用车0辆、一般执法执勤用车0辆、特种专业技术用车0辆、其他用车0辆。单位价值100万元以上设备0台（套）。</w:t>
      </w:r>
    </w:p>
    <w:p w14:paraId="5D41E4E0">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（三）绩效目标设置及重点项目绩效目标说明</w:t>
      </w:r>
    </w:p>
    <w:p w14:paraId="58ADB451">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2026年洋浦经济开发区第七幼儿园16个项目实行绩效目标管理，涉及一般公共预算836.52万元、政府性基金0万元。</w:t>
      </w:r>
    </w:p>
    <w:p w14:paraId="1BBCB856">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其中，重点项目预算绩效情况：</w:t>
      </w:r>
    </w:p>
    <w:p w14:paraId="3A5EEC4A">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1.46000021R000000006640-工资奖金津补贴项目，预算安排24.43万元，主要用于在编人员工资发放。绩效目标：严格执行工资政策，确保工资及时足额发放，规范预算管理，提高资金使用效益。</w:t>
      </w:r>
    </w:p>
    <w:p w14:paraId="0D6E2F90">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2.46000021R000000006642-养老保险项目，预算安排3.33万元，主要用于在编人员养老保险缴纳。绩效目标：严格落实社保政策，确保养老保险及时足额缴纳，预算编制科学合理，减少资金结余。</w:t>
      </w:r>
    </w:p>
    <w:p w14:paraId="54C21C89">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3.46000021R000000006643-职业年金项目，预算安排1.67万元，主要用于在编人员职业年金缴纳。绩效目标：严格执行社保政策，保障职业年金及时足额缴纳，提升预算执行效率。</w:t>
      </w:r>
    </w:p>
    <w:p w14:paraId="2DEC6527">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4.46000021R000000006644-医疗保险项目，主要用于在编人员医疗保险缴纳。绩效目标：按规定足额缴纳医疗保险，保障教职工医疗待遇，规范资金使用管理。</w:t>
      </w:r>
    </w:p>
    <w:p w14:paraId="7F72501C">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5.46000021R000000006645-公务员医疗补助项目，预算安排2.31万元，主要用于在编人员公务员医疗补助。绩效目标：落实医疗补助政策，切实保障教职工医疗保障权益。</w:t>
      </w:r>
    </w:p>
    <w:p w14:paraId="2FB85093">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6.46000021R000000006646-失业保险项目，预算安排0.09万元，主要用于在编人员失业保险缴纳。绩效目标：依法足额缴纳失业保险，保障教职工相关权益，严格预算执行。</w:t>
      </w:r>
    </w:p>
    <w:p w14:paraId="2F11FF07">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7.46000021R000000006647-工伤保险项目，预算安排0.02万元，主要用于在编人员工伤保险缴纳。绩效目标：按规定缴纳工伤保险，强化教职工职业安全保障。</w:t>
      </w:r>
    </w:p>
    <w:p w14:paraId="4C7C6550">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8.46000021R000000006659-编外长聘人员工资福利项目，预算安排684.75万元，主要用于编外人员工资福利、社会保险及住房公积金缴纳。绩效目标：保障编外人员待遇及时足额发放，规范资金管理，提高使用效益。</w:t>
      </w:r>
    </w:p>
    <w:p w14:paraId="049B8508">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9.46000021R000000006663-住房公积金项目，预算安排2.77万元，主要用于在编人员住房公积金缴纳。绩效目标：足额缴纳住房公积金，落实住房保障政策，优化预算执行。</w:t>
      </w:r>
    </w:p>
    <w:p w14:paraId="12368790">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10.46000021Y000000006662-公用支出项目，预算安排0.37万元，主要用于在编人员工会经费（单位部分）划转及使用。绩效目标：提升预算编制质量，严格预算执行，保障单位日常运转</w:t>
      </w:r>
    </w:p>
    <w:p w14:paraId="62D5E148">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11.46040021T000000139834-儋州市教育系统干部职工体检工作经费项目，预算安排0.09万元，主要用于教职工体检费用支出。绩效目标：按政策落实教职工健康体检，保障教职工身体健康。</w:t>
      </w:r>
    </w:p>
    <w:p w14:paraId="24E6A8B6">
      <w:pPr>
        <w:spacing w:line="578" w:lineRule="exact"/>
        <w:ind w:firstLine="640" w:firstLineChars="20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12.46040022T000000157456-市级办公运转经费项目，预算安排17.3万元，主要用于幼儿园办公用品购置、培训等支出。绩效目标：保障教育教学工作正常有序开展。</w:t>
      </w:r>
    </w:p>
    <w:p w14:paraId="19B53336">
      <w:pPr>
        <w:spacing w:line="578" w:lineRule="exact"/>
        <w:ind w:firstLine="640" w:firstLineChars="20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p>
    <w:p w14:paraId="24C7EBD9">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13.46040022T000000158270-学前教育生均公用经费项目，预算安排13.84万元，主要用于幼儿日常生活用品、保教活动开展等。绩效目标：保障幼儿园正常运转，提升保教服务质量。</w:t>
      </w:r>
    </w:p>
    <w:p w14:paraId="484CF249">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14.46040023T000001045095-学校事务管理与后勤服务项目，预算安排78.38万元，主要用于后勤保障、水电费、维修维护、工作午餐等。绩效目标：保障幼儿园日常运行，提升后勤服务保障水平。</w:t>
      </w:r>
    </w:p>
    <w:p w14:paraId="46C61072">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15.46040023T000001045103-人才引进与师资队伍建设项目，预算安排6.00万元，主要用于提高班主任待遇及教师专项学习培训。绩效目标：保障班主任待遇，加强教师专业发展，提升整体保教水平。</w:t>
      </w:r>
    </w:p>
    <w:p w14:paraId="54870B16">
      <w:pPr>
        <w:spacing w:line="578" w:lineRule="exact"/>
        <w:ind w:firstLine="640"/>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pPr>
      <w:r>
        <w:rPr>
          <w:rFonts w:hint="eastAsia" w:ascii="仿宋_GB2312" w:hAnsi="黑体" w:eastAsia="仿宋_GB2312" w:cs="仿宋_GB2312"/>
          <w:color w:val="000000" w:themeColor="text1"/>
          <w:kern w:val="2"/>
          <w:sz w:val="32"/>
          <w:szCs w:val="32"/>
          <w:u w:val="none"/>
          <w:lang w:val="en-US" w:eastAsia="zh-CN" w:bidi="ar-SA"/>
          <w14:textFill>
            <w14:solidFill>
              <w14:schemeClr w14:val="tx1"/>
            </w14:solidFill>
          </w14:textFill>
        </w:rPr>
        <w:t>16.46040026R000001697569-长期护理保险项目，预算安排0.05万元，主要用于在编人员长期护理保险缴纳。绩效目标：严格执行社保政策，确保保险费用及时足额缴纳，规范预算管理。</w:t>
      </w:r>
    </w:p>
    <w:p w14:paraId="6BEC2344">
      <w:pPr>
        <w:spacing w:line="560" w:lineRule="exact"/>
        <w:ind w:firstLine="2560" w:firstLineChars="800"/>
        <w:jc w:val="both"/>
        <w:rPr>
          <w:rFonts w:ascii="黑体" w:hAnsi="黑体" w:eastAsia="黑体"/>
          <w:b w:val="0"/>
          <w:bCs/>
          <w:color w:val="000000" w:themeColor="text1"/>
          <w:sz w:val="32"/>
          <w:szCs w:val="32"/>
          <w:u w:val="none"/>
          <w14:textFill>
            <w14:solidFill>
              <w14:schemeClr w14:val="tx1"/>
            </w14:solidFill>
          </w14:textFill>
        </w:rPr>
      </w:pPr>
      <w:r>
        <w:rPr>
          <w:rFonts w:hint="eastAsia" w:ascii="黑体" w:hAnsi="黑体" w:eastAsia="黑体"/>
          <w:b w:val="0"/>
          <w:bCs/>
          <w:color w:val="000000" w:themeColor="text1"/>
          <w:sz w:val="32"/>
          <w:szCs w:val="32"/>
          <w:u w:val="none"/>
          <w14:textFill>
            <w14:solidFill>
              <w14:schemeClr w14:val="tx1"/>
            </w14:solidFill>
          </w14:textFill>
        </w:rPr>
        <w:t>第四部分  名词解释</w:t>
      </w:r>
    </w:p>
    <w:p w14:paraId="4E1D060C">
      <w:pPr>
        <w:spacing w:line="560" w:lineRule="exact"/>
        <w:ind w:firstLine="640" w:firstLineChars="200"/>
        <w:jc w:val="left"/>
        <w:rPr>
          <w:rFonts w:ascii="仿宋_GB2312" w:eastAsia="仿宋_GB2312" w:cs="宋体"/>
          <w:bCs/>
          <w:color w:val="000000" w:themeColor="text1"/>
          <w:kern w:val="0"/>
          <w:sz w:val="32"/>
          <w:szCs w:val="32"/>
          <w:u w:val="none"/>
          <w:lang w:val="zh-CN"/>
          <w14:textFill>
            <w14:solidFill>
              <w14:schemeClr w14:val="tx1"/>
            </w14:solidFill>
          </w14:textFill>
        </w:rPr>
      </w:pPr>
    </w:p>
    <w:p w14:paraId="6193907C">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一、财政拨款收入：指本级财政当年拨付的资金。</w:t>
      </w:r>
    </w:p>
    <w:p w14:paraId="49145E01">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二、一般公共预算拨款收入：指用于反映税收收入、专项收入、行政事业性收费收入、罚没收入、国有资源（资产）有偿使用收入、政府住房基金收入、捐赠收入等财政收入。</w:t>
      </w:r>
    </w:p>
    <w:p w14:paraId="1FF23EA9">
      <w:pPr>
        <w:spacing w:line="560" w:lineRule="exact"/>
        <w:ind w:firstLine="640" w:firstLineChars="200"/>
        <w:jc w:val="left"/>
        <w:rPr>
          <w:rFonts w:hint="eastAsia" w:ascii="仿宋_GB2312" w:hAnsi="宋体" w:eastAsia="仿宋_GB2312" w:cs="宋体"/>
          <w:color w:val="000000" w:themeColor="text1"/>
          <w:kern w:val="0"/>
          <w:sz w:val="32"/>
          <w:szCs w:val="30"/>
          <w:u w:val="none"/>
          <w:lang w:eastAsia="zh-CN"/>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themeColor="text1"/>
          <w:kern w:val="0"/>
          <w:sz w:val="32"/>
          <w:szCs w:val="30"/>
          <w:u w:val="none"/>
          <w:lang w:eastAsia="zh-CN"/>
          <w14:textFill>
            <w14:solidFill>
              <w14:schemeClr w14:val="tx1"/>
            </w14:solidFill>
          </w14:textFill>
        </w:rPr>
        <w:t>。</w:t>
      </w:r>
    </w:p>
    <w:p w14:paraId="0D54BFD0">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 xml:space="preserve">四、事业收入：指用于反映事业单位开展专业业务活动及辅助活动所取得的收入。 </w:t>
      </w:r>
    </w:p>
    <w:p w14:paraId="69C3D70A">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五、事业单位经营收入：指用于反映事业单位在专业活动及辅助活动之外开展非独立核算经营活动取得的收入。</w:t>
      </w:r>
    </w:p>
    <w:p w14:paraId="13B893A1">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lang w:eastAsia="zh-CN"/>
          <w14:textFill>
            <w14:solidFill>
              <w14:schemeClr w14:val="tx1"/>
            </w14:solidFill>
          </w14:textFill>
        </w:rPr>
        <w:t>七</w:t>
      </w:r>
      <w:r>
        <w:rPr>
          <w:rFonts w:hint="eastAsia" w:ascii="仿宋_GB2312" w:hAnsi="宋体" w:eastAsia="仿宋_GB2312" w:cs="宋体"/>
          <w:color w:val="000000" w:themeColor="text1"/>
          <w:kern w:val="0"/>
          <w:sz w:val="32"/>
          <w:szCs w:val="30"/>
          <w:u w:val="none"/>
          <w14:textFill>
            <w14:solidFill>
              <w14:schemeClr w14:val="tx1"/>
            </w14:solidFill>
          </w14:textFill>
        </w:rPr>
        <w:t>、其他收入：指除上述“财政拨款收入”“事业收入”“经营收入”等以外的收入。</w:t>
      </w:r>
    </w:p>
    <w:p w14:paraId="34FB950C">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七、上年结转：指以前年度尚未完成、结转到本年按有关规定继续使用的资金。</w:t>
      </w:r>
    </w:p>
    <w:p w14:paraId="5B0A462C">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八、基本支出：指行政事业单位用于为保障其机构正常运转、完成日常工作任务而发生的人员支出和公用支出。</w:t>
      </w:r>
    </w:p>
    <w:p w14:paraId="0798D47A">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九、工资福利支出：反映单位开支的在职职工和编制外长期聘用人员的各类劳动报酬，以及为上述人员缴纳的各项社会保险费等。</w:t>
      </w:r>
    </w:p>
    <w:p w14:paraId="70B7E668">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十、对个人和家庭的补助支出：反映政府用于对个人和家庭的补助支出，包括离休费、退休费、退职（役）费、抚恤金、生活补助、救济费、医疗费补助、助学金、独生子女奖励金、其他等。</w:t>
      </w:r>
    </w:p>
    <w:p w14:paraId="2121B1B6">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3B4F2D0">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十二、项目支出：指各部门、各单位为完成其特定的工作任务和事业发展目标所发生的支出。</w:t>
      </w:r>
    </w:p>
    <w:p w14:paraId="3AE59096">
      <w:pPr>
        <w:spacing w:line="560" w:lineRule="exact"/>
        <w:ind w:firstLine="640" w:firstLineChars="200"/>
        <w:jc w:val="left"/>
        <w:rPr>
          <w:rFonts w:hint="eastAsia"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themeColor="text1"/>
          <w:kern w:val="0"/>
          <w:sz w:val="32"/>
          <w:szCs w:val="30"/>
          <w:u w:val="none"/>
          <w:lang w:eastAsia="zh-CN"/>
          <w14:textFill>
            <w14:solidFill>
              <w14:schemeClr w14:val="tx1"/>
            </w14:solidFill>
          </w14:textFill>
        </w:rPr>
        <w:t>、</w:t>
      </w:r>
      <w:r>
        <w:rPr>
          <w:rFonts w:hint="eastAsia" w:ascii="仿宋_GB2312" w:hAnsi="宋体" w:eastAsia="仿宋_GB2312" w:cs="宋体"/>
          <w:color w:val="000000" w:themeColor="text1"/>
          <w:kern w:val="0"/>
          <w:sz w:val="32"/>
          <w:szCs w:val="30"/>
          <w:u w:val="none"/>
          <w:lang w:val="en-US" w:eastAsia="zh-CN"/>
          <w14:textFill>
            <w14:solidFill>
              <w14:schemeClr w14:val="tx1"/>
            </w14:solidFill>
          </w14:textFill>
        </w:rPr>
        <w:t>1个月及以上租车费用</w:t>
      </w:r>
      <w:r>
        <w:rPr>
          <w:rFonts w:hint="eastAsia" w:ascii="仿宋_GB2312" w:hAnsi="宋体" w:eastAsia="仿宋_GB2312" w:cs="宋体"/>
          <w:color w:val="000000" w:themeColor="text1"/>
          <w:kern w:val="0"/>
          <w:sz w:val="32"/>
          <w:szCs w:val="30"/>
          <w:u w:val="none"/>
          <w14:textFill>
            <w14:solidFill>
              <w14:schemeClr w14:val="tx1"/>
            </w14:solidFill>
          </w14:textFill>
        </w:rPr>
        <w:t>等支出；公务接待费指单位按规定开支的各类公务接待（含外宾接待）支出。</w:t>
      </w:r>
    </w:p>
    <w:p w14:paraId="4591C75A">
      <w:pPr>
        <w:spacing w:line="560" w:lineRule="exact"/>
        <w:ind w:firstLine="640" w:firstLineChars="200"/>
        <w:jc w:val="left"/>
        <w:rPr>
          <w:rFonts w:ascii="仿宋_GB2312" w:hAnsi="宋体" w:eastAsia="仿宋_GB2312" w:cs="宋体"/>
          <w:color w:val="000000" w:themeColor="text1"/>
          <w:kern w:val="0"/>
          <w:sz w:val="32"/>
          <w:szCs w:val="30"/>
          <w:u w:val="none"/>
          <w14:textFill>
            <w14:solidFill>
              <w14:schemeClr w14:val="tx1"/>
            </w14:solidFill>
          </w14:textFill>
        </w:rPr>
      </w:pPr>
      <w:r>
        <w:rPr>
          <w:rFonts w:hint="eastAsia" w:ascii="仿宋_GB2312" w:hAnsi="宋体" w:eastAsia="仿宋_GB2312" w:cs="宋体"/>
          <w:color w:val="000000" w:themeColor="text1"/>
          <w:kern w:val="0"/>
          <w:sz w:val="32"/>
          <w:szCs w:val="30"/>
          <w:u w:val="none"/>
          <w14:textFill>
            <w14:solidFill>
              <w14:schemeClr w14:val="tx1"/>
            </w14:solidFill>
          </w14:textFill>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12EFB01">
      <w:pPr>
        <w:spacing w:line="560" w:lineRule="exact"/>
        <w:ind w:firstLine="0" w:firstLineChars="0"/>
        <w:jc w:val="left"/>
        <w:rPr>
          <w:rFonts w:ascii="仿宋_GB2312" w:hAnsi="黑体" w:eastAsia="仿宋_GB2312" w:cs="仿宋_GB2312"/>
          <w:color w:val="000000" w:themeColor="text1"/>
          <w:sz w:val="32"/>
          <w:szCs w:val="32"/>
          <w:u w:val="none"/>
          <w14:textFill>
            <w14:solidFill>
              <w14:schemeClr w14:val="tx1"/>
            </w14:solidFill>
          </w14:textFill>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mYjAxNDJiNDE5NWMxYzJhYTYwN2RjNmNjMGY4MTYifQ=="/>
  </w:docVars>
  <w:rsids>
    <w:rsidRoot w:val="00000000"/>
    <w:rsid w:val="16E11E6D"/>
    <w:rsid w:val="262D5F69"/>
    <w:rsid w:val="27F9D6AD"/>
    <w:rsid w:val="2CFFD3C3"/>
    <w:rsid w:val="2FBF19B9"/>
    <w:rsid w:val="33C75702"/>
    <w:rsid w:val="37DF1B78"/>
    <w:rsid w:val="3BD53E5D"/>
    <w:rsid w:val="3DE53401"/>
    <w:rsid w:val="3E5F2DE8"/>
    <w:rsid w:val="46DE1AC7"/>
    <w:rsid w:val="49F37F32"/>
    <w:rsid w:val="51EB539F"/>
    <w:rsid w:val="54F221DA"/>
    <w:rsid w:val="5B815933"/>
    <w:rsid w:val="5CD71462"/>
    <w:rsid w:val="5EFF8EDA"/>
    <w:rsid w:val="5FBFEA10"/>
    <w:rsid w:val="65B932BA"/>
    <w:rsid w:val="6F772982"/>
    <w:rsid w:val="6F7F7F61"/>
    <w:rsid w:val="6FDB1131"/>
    <w:rsid w:val="6FDF3A11"/>
    <w:rsid w:val="72BFF0B5"/>
    <w:rsid w:val="73CF45A9"/>
    <w:rsid w:val="79037D68"/>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40</Words>
  <Characters>43</Characters>
  <Lines>1</Lines>
  <Paragraphs>1</Paragraphs>
  <TotalTime>1</TotalTime>
  <ScaleCrop>false</ScaleCrop>
  <LinksUpToDate>false</LinksUpToDate>
  <CharactersWithSpaces>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WPS_1712487015</cp:lastModifiedBy>
  <cp:lastPrinted>2026-02-28T08:50:00Z</cp:lastPrinted>
  <dcterms:modified xsi:type="dcterms:W3CDTF">2026-03-02T07:42:18Z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20F73A49051A449DBE2A6CDE0BEF2DE4_13</vt:lpwstr>
  </property>
  <property fmtid="{D5CDD505-2E9C-101B-9397-08002B2CF9AE}" pid="4" name="KSOTemplateDocerSaveRecord">
    <vt:lpwstr>eyJoZGlkIjoiMzZhODk3OTAwZDBjM2QxZWJmMGY4NTFjOTQzMzVlZmMiLCJ1c2VySWQiOiIxNTkxMDQ5NjUzIn0=</vt:lpwstr>
  </property>
</Properties>
</file>