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03A2">
      <w:pPr>
        <w:pStyle w:val="2"/>
      </w:pPr>
    </w:p>
    <w:p w14:paraId="6251639F">
      <w:pPr>
        <w:spacing w:line="560" w:lineRule="exact"/>
        <w:rPr>
          <w:sz w:val="84"/>
          <w:szCs w:val="84"/>
          <w:u w:val="none"/>
        </w:rPr>
      </w:pPr>
    </w:p>
    <w:p w14:paraId="0766B5C2">
      <w:pPr>
        <w:spacing w:line="560" w:lineRule="exact"/>
        <w:rPr>
          <w:color w:val="000000" w:themeColor="text1"/>
          <w:sz w:val="84"/>
          <w:szCs w:val="84"/>
          <w:highlight w:val="none"/>
          <w:u w:val="none"/>
          <w14:textFill>
            <w14:solidFill>
              <w14:schemeClr w14:val="tx1"/>
            </w14:solidFill>
          </w14:textFill>
        </w:rPr>
      </w:pPr>
    </w:p>
    <w:p w14:paraId="2CBD3C61">
      <w:pPr>
        <w:spacing w:line="560" w:lineRule="exact"/>
        <w:rPr>
          <w:color w:val="000000" w:themeColor="text1"/>
          <w:sz w:val="84"/>
          <w:szCs w:val="84"/>
          <w:highlight w:val="none"/>
          <w:u w:val="none"/>
          <w14:textFill>
            <w14:solidFill>
              <w14:schemeClr w14:val="tx1"/>
            </w14:solidFill>
          </w14:textFill>
        </w:rPr>
      </w:pPr>
    </w:p>
    <w:p w14:paraId="1E927944">
      <w:pPr>
        <w:spacing w:line="560" w:lineRule="exact"/>
        <w:jc w:val="center"/>
        <w:rPr>
          <w:rFonts w:hint="eastAsia"/>
          <w:color w:val="000000" w:themeColor="text1"/>
          <w:sz w:val="52"/>
          <w:szCs w:val="52"/>
          <w:highlight w:val="none"/>
          <w:u w:val="none"/>
          <w:lang w:val="en-US" w:eastAsia="zh-CN"/>
          <w14:textFill>
            <w14:solidFill>
              <w14:schemeClr w14:val="tx1"/>
            </w14:solidFill>
          </w14:textFill>
        </w:rPr>
      </w:pPr>
    </w:p>
    <w:p w14:paraId="426F7E0D">
      <w:pPr>
        <w:spacing w:line="560" w:lineRule="exact"/>
        <w:jc w:val="center"/>
        <w:rPr>
          <w:rFonts w:hint="eastAsia"/>
          <w:color w:val="000000" w:themeColor="text1"/>
          <w:sz w:val="52"/>
          <w:szCs w:val="52"/>
          <w:highlight w:val="none"/>
          <w:u w:val="none"/>
          <w:lang w:val="en-US" w:eastAsia="zh-CN"/>
          <w14:textFill>
            <w14:solidFill>
              <w14:schemeClr w14:val="tx1"/>
            </w14:solidFill>
          </w14:textFill>
        </w:rPr>
      </w:pPr>
    </w:p>
    <w:p w14:paraId="11574DEE">
      <w:pPr>
        <w:spacing w:line="560" w:lineRule="exact"/>
        <w:jc w:val="center"/>
        <w:rPr>
          <w:rFonts w:hint="eastAsia"/>
          <w:color w:val="000000" w:themeColor="text1"/>
          <w:sz w:val="52"/>
          <w:szCs w:val="52"/>
          <w:highlight w:val="none"/>
          <w:u w:val="none"/>
          <w:lang w:val="en-US" w:eastAsia="zh-CN"/>
          <w14:textFill>
            <w14:solidFill>
              <w14:schemeClr w14:val="tx1"/>
            </w14:solidFill>
          </w14:textFill>
        </w:rPr>
      </w:pPr>
    </w:p>
    <w:p w14:paraId="5DB8B6B9">
      <w:pPr>
        <w:spacing w:line="560" w:lineRule="exact"/>
        <w:jc w:val="center"/>
        <w:rPr>
          <w:rFonts w:hint="eastAsia"/>
          <w:color w:val="000000" w:themeColor="text1"/>
          <w:sz w:val="52"/>
          <w:szCs w:val="52"/>
          <w:highlight w:val="none"/>
          <w:u w:val="none"/>
          <w:lang w:val="en-US" w:eastAsia="zh-CN"/>
          <w14:textFill>
            <w14:solidFill>
              <w14:schemeClr w14:val="tx1"/>
            </w14:solidFill>
          </w14:textFill>
        </w:rPr>
      </w:pPr>
    </w:p>
    <w:p w14:paraId="72824B49">
      <w:pPr>
        <w:spacing w:line="560" w:lineRule="exact"/>
        <w:jc w:val="center"/>
        <w:rPr>
          <w:rFonts w:hint="eastAsia"/>
          <w:color w:val="000000" w:themeColor="text1"/>
          <w:sz w:val="52"/>
          <w:szCs w:val="52"/>
          <w:highlight w:val="none"/>
          <w:u w:val="none"/>
          <w:lang w:val="en-US" w:eastAsia="zh-CN"/>
          <w14:textFill>
            <w14:solidFill>
              <w14:schemeClr w14:val="tx1"/>
            </w14:solidFill>
          </w14:textFill>
        </w:rPr>
      </w:pPr>
    </w:p>
    <w:p w14:paraId="33700C13">
      <w:pPr>
        <w:spacing w:line="560" w:lineRule="exact"/>
        <w:jc w:val="center"/>
        <w:rPr>
          <w:rFonts w:hint="eastAsia"/>
          <w:color w:val="000000" w:themeColor="text1"/>
          <w:sz w:val="52"/>
          <w:szCs w:val="52"/>
          <w:highlight w:val="none"/>
          <w:u w:val="none"/>
          <w:lang w:val="en-US" w:eastAsia="zh-CN"/>
          <w14:textFill>
            <w14:solidFill>
              <w14:schemeClr w14:val="tx1"/>
            </w14:solidFill>
          </w14:textFill>
        </w:rPr>
      </w:pPr>
    </w:p>
    <w:p w14:paraId="57F6DBFD">
      <w:pPr>
        <w:spacing w:line="560" w:lineRule="exact"/>
        <w:jc w:val="center"/>
        <w:rPr>
          <w:color w:val="000000" w:themeColor="text1"/>
          <w:sz w:val="52"/>
          <w:szCs w:val="52"/>
          <w:highlight w:val="none"/>
          <w:u w:val="none"/>
          <w14:textFill>
            <w14:solidFill>
              <w14:schemeClr w14:val="tx1"/>
            </w14:solidFill>
          </w14:textFill>
        </w:rPr>
      </w:pPr>
      <w:r>
        <w:rPr>
          <w:rFonts w:hint="eastAsia"/>
          <w:color w:val="000000" w:themeColor="text1"/>
          <w:sz w:val="52"/>
          <w:szCs w:val="52"/>
          <w:highlight w:val="none"/>
          <w:u w:val="none"/>
          <w:lang w:val="en-US" w:eastAsia="zh-CN"/>
          <w14:textFill>
            <w14:solidFill>
              <w14:schemeClr w14:val="tx1"/>
            </w14:solidFill>
          </w14:textFill>
        </w:rPr>
        <w:t>2026</w:t>
      </w:r>
      <w:r>
        <w:rPr>
          <w:rFonts w:hint="eastAsia"/>
          <w:color w:val="000000" w:themeColor="text1"/>
          <w:sz w:val="52"/>
          <w:szCs w:val="52"/>
          <w:highlight w:val="none"/>
          <w:u w:val="none"/>
          <w14:textFill>
            <w14:solidFill>
              <w14:schemeClr w14:val="tx1"/>
            </w14:solidFill>
          </w14:textFill>
        </w:rPr>
        <w:t>年</w:t>
      </w:r>
      <w:r>
        <w:rPr>
          <w:rFonts w:hint="eastAsia"/>
          <w:color w:val="000000" w:themeColor="text1"/>
          <w:sz w:val="52"/>
          <w:szCs w:val="52"/>
          <w:highlight w:val="none"/>
          <w:u w:val="none"/>
          <w:lang w:val="en-US" w:eastAsia="zh-CN"/>
          <w14:textFill>
            <w14:solidFill>
              <w14:schemeClr w14:val="tx1"/>
            </w14:solidFill>
          </w14:textFill>
        </w:rPr>
        <w:t>儋州市西流中心幼儿园</w:t>
      </w:r>
      <w:r>
        <w:rPr>
          <w:rFonts w:hint="eastAsia"/>
          <w:color w:val="000000" w:themeColor="text1"/>
          <w:sz w:val="52"/>
          <w:szCs w:val="52"/>
          <w:highlight w:val="none"/>
          <w:u w:val="none"/>
          <w14:textFill>
            <w14:solidFill>
              <w14:schemeClr w14:val="tx1"/>
            </w14:solidFill>
          </w14:textFill>
        </w:rPr>
        <w:t>预算</w:t>
      </w:r>
    </w:p>
    <w:p w14:paraId="0E226070">
      <w:pPr>
        <w:spacing w:line="560" w:lineRule="exact"/>
        <w:ind w:firstLine="1680"/>
        <w:jc w:val="center"/>
        <w:rPr>
          <w:color w:val="000000" w:themeColor="text1"/>
          <w:sz w:val="84"/>
          <w:szCs w:val="84"/>
          <w:highlight w:val="none"/>
          <w:u w:val="none"/>
          <w14:textFill>
            <w14:solidFill>
              <w14:schemeClr w14:val="tx1"/>
            </w14:solidFill>
          </w14:textFill>
        </w:rPr>
      </w:pPr>
    </w:p>
    <w:p w14:paraId="207ABB87">
      <w:pPr>
        <w:spacing w:line="560" w:lineRule="exact"/>
        <w:ind w:firstLine="1680"/>
        <w:jc w:val="center"/>
        <w:rPr>
          <w:color w:val="000000" w:themeColor="text1"/>
          <w:sz w:val="84"/>
          <w:szCs w:val="84"/>
          <w:highlight w:val="none"/>
          <w:u w:val="none"/>
          <w14:textFill>
            <w14:solidFill>
              <w14:schemeClr w14:val="tx1"/>
            </w14:solidFill>
          </w14:textFill>
        </w:rPr>
      </w:pPr>
    </w:p>
    <w:p w14:paraId="1C8C26E8">
      <w:pPr>
        <w:spacing w:line="560" w:lineRule="exact"/>
        <w:ind w:firstLine="1680"/>
        <w:jc w:val="center"/>
        <w:rPr>
          <w:color w:val="000000" w:themeColor="text1"/>
          <w:sz w:val="84"/>
          <w:szCs w:val="84"/>
          <w:highlight w:val="none"/>
          <w:u w:val="none"/>
          <w14:textFill>
            <w14:solidFill>
              <w14:schemeClr w14:val="tx1"/>
            </w14:solidFill>
          </w14:textFill>
        </w:rPr>
      </w:pPr>
    </w:p>
    <w:p w14:paraId="604081D4">
      <w:pPr>
        <w:spacing w:line="560" w:lineRule="exact"/>
        <w:ind w:firstLine="1680"/>
        <w:jc w:val="center"/>
        <w:rPr>
          <w:color w:val="000000" w:themeColor="text1"/>
          <w:sz w:val="84"/>
          <w:szCs w:val="84"/>
          <w:highlight w:val="none"/>
          <w:u w:val="none"/>
          <w14:textFill>
            <w14:solidFill>
              <w14:schemeClr w14:val="tx1"/>
            </w14:solidFill>
          </w14:textFill>
        </w:rPr>
      </w:pPr>
    </w:p>
    <w:p w14:paraId="54E36AD2">
      <w:pPr>
        <w:rPr>
          <w:color w:val="000000" w:themeColor="text1"/>
          <w:sz w:val="84"/>
          <w:szCs w:val="84"/>
          <w:highlight w:val="none"/>
          <w:u w:val="none"/>
          <w14:textFill>
            <w14:solidFill>
              <w14:schemeClr w14:val="tx1"/>
            </w14:solidFill>
          </w14:textFill>
        </w:rPr>
      </w:pPr>
      <w:r>
        <w:rPr>
          <w:color w:val="000000" w:themeColor="text1"/>
          <w:sz w:val="84"/>
          <w:szCs w:val="84"/>
          <w:highlight w:val="none"/>
          <w:u w:val="none"/>
          <w14:textFill>
            <w14:solidFill>
              <w14:schemeClr w14:val="tx1"/>
            </w14:solidFill>
          </w14:textFill>
        </w:rPr>
        <w:br w:type="page"/>
      </w:r>
    </w:p>
    <w:p w14:paraId="18B76BD4">
      <w:pPr>
        <w:spacing w:line="240" w:lineRule="auto"/>
        <w:jc w:val="center"/>
        <w:rPr>
          <w:rFonts w:hint="eastAsia" w:ascii="黑体" w:hAnsi="黑体" w:eastAsia="黑体"/>
          <w:color w:val="000000" w:themeColor="text1"/>
          <w:sz w:val="52"/>
          <w:szCs w:val="52"/>
          <w:highlight w:val="none"/>
          <w:u w:val="none"/>
          <w14:textFill>
            <w14:solidFill>
              <w14:schemeClr w14:val="tx1"/>
            </w14:solidFill>
          </w14:textFill>
        </w:rPr>
      </w:pPr>
      <w:r>
        <w:rPr>
          <w:rFonts w:hint="eastAsia" w:ascii="黑体" w:hAnsi="黑体" w:eastAsia="黑体"/>
          <w:color w:val="000000" w:themeColor="text1"/>
          <w:sz w:val="52"/>
          <w:szCs w:val="52"/>
          <w:highlight w:val="none"/>
          <w:u w:val="none"/>
          <w14:textFill>
            <w14:solidFill>
              <w14:schemeClr w14:val="tx1"/>
            </w14:solidFill>
          </w14:textFill>
        </w:rPr>
        <w:t>目录</w:t>
      </w:r>
    </w:p>
    <w:p w14:paraId="46E39E22">
      <w:pPr>
        <w:pStyle w:val="9"/>
        <w:numPr>
          <w:ilvl w:val="0"/>
          <w:numId w:val="1"/>
        </w:numPr>
        <w:spacing w:line="240" w:lineRule="auto"/>
        <w:ind w:firstLineChars="0"/>
        <w:jc w:val="left"/>
        <w:rPr>
          <w:rFonts w:hint="eastAsia" w:ascii="方正黑体_GBK" w:hAnsi="方正黑体_GBK" w:eastAsia="方正黑体_GBK" w:cs="方正黑体_GBK"/>
          <w:color w:val="000000" w:themeColor="text1"/>
          <w:sz w:val="32"/>
          <w:szCs w:val="32"/>
          <w:highlight w:val="none"/>
          <w:u w:val="none"/>
          <w14:textFill>
            <w14:solidFill>
              <w14:schemeClr w14:val="tx1"/>
            </w14:solidFill>
          </w14:textFill>
        </w:rPr>
      </w:pPr>
      <w:r>
        <w:rPr>
          <w:rFonts w:hint="eastAsia" w:ascii="黑体" w:hAnsi="黑体" w:eastAsia="黑体"/>
          <w:color w:val="000000" w:themeColor="text1"/>
          <w:sz w:val="32"/>
          <w:szCs w:val="32"/>
          <w:highlight w:val="none"/>
          <w:u w:val="none"/>
          <w:lang w:val="en-US" w:eastAsia="zh-CN"/>
          <w14:textFill>
            <w14:solidFill>
              <w14:schemeClr w14:val="tx1"/>
            </w14:solidFill>
          </w14:textFill>
        </w:rPr>
        <w:t xml:space="preserve">  </w:t>
      </w:r>
      <w:r>
        <w:rPr>
          <w:rFonts w:hint="eastAsia" w:ascii="方正黑体_GBK" w:hAnsi="方正黑体_GBK" w:eastAsia="方正黑体_GBK" w:cs="方正黑体_GBK"/>
          <w:color w:val="000000" w:themeColor="text1"/>
          <w:sz w:val="32"/>
          <w:szCs w:val="32"/>
          <w:highlight w:val="none"/>
          <w:u w:val="none"/>
          <w:lang w:val="en-US" w:eastAsia="zh-CN"/>
          <w14:textFill>
            <w14:solidFill>
              <w14:schemeClr w14:val="tx1"/>
            </w14:solidFill>
          </w14:textFill>
        </w:rPr>
        <w:t>儋州市西流中心幼儿园</w:t>
      </w:r>
      <w:r>
        <w:rPr>
          <w:rFonts w:hint="eastAsia" w:ascii="方正黑体_GBK" w:hAnsi="方正黑体_GBK" w:eastAsia="方正黑体_GBK" w:cs="方正黑体_GBK"/>
          <w:color w:val="000000" w:themeColor="text1"/>
          <w:sz w:val="32"/>
          <w:szCs w:val="32"/>
          <w:highlight w:val="none"/>
          <w:u w:val="none"/>
          <w14:textFill>
            <w14:solidFill>
              <w14:schemeClr w14:val="tx1"/>
            </w14:solidFill>
          </w14:textFill>
        </w:rPr>
        <w:t>概况</w:t>
      </w:r>
    </w:p>
    <w:p w14:paraId="36827916">
      <w:pPr>
        <w:pStyle w:val="9"/>
        <w:numPr>
          <w:ilvl w:val="-1"/>
          <w:numId w:val="0"/>
        </w:numPr>
        <w:spacing w:line="240" w:lineRule="auto"/>
        <w:ind w:left="0" w:firstLine="0" w:firstLineChars="0"/>
        <w:jc w:val="left"/>
        <w:rPr>
          <w:rFonts w:hint="eastAsia" w:ascii="方正仿宋_GBK" w:hAnsi="方正仿宋_GBK" w:eastAsia="方正仿宋_GBK" w:cs="方正仿宋_GBK"/>
          <w:color w:val="000000" w:themeColor="text1"/>
          <w:sz w:val="32"/>
          <w:szCs w:val="32"/>
          <w:highlight w:val="none"/>
          <w:u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u w:val="none"/>
          <w:lang w:eastAsia="zh-CN"/>
          <w14:textFill>
            <w14:solidFill>
              <w14:schemeClr w14:val="tx1"/>
            </w14:solidFill>
          </w14:textFill>
        </w:rPr>
        <w:t>一、</w:t>
      </w:r>
      <w:r>
        <w:rPr>
          <w:rFonts w:hint="eastAsia" w:ascii="方正仿宋_GBK" w:hAnsi="方正仿宋_GBK" w:eastAsia="方正仿宋_GBK" w:cs="方正仿宋_GBK"/>
          <w:color w:val="000000" w:themeColor="text1"/>
          <w:sz w:val="32"/>
          <w:szCs w:val="32"/>
          <w:highlight w:val="none"/>
          <w:u w:val="none"/>
          <w14:textFill>
            <w14:solidFill>
              <w14:schemeClr w14:val="tx1"/>
            </w14:solidFill>
          </w14:textFill>
        </w:rPr>
        <w:t>主要职能</w:t>
      </w:r>
    </w:p>
    <w:p w14:paraId="40912956">
      <w:pPr>
        <w:pStyle w:val="9"/>
        <w:numPr>
          <w:ilvl w:val="-1"/>
          <w:numId w:val="0"/>
        </w:numPr>
        <w:spacing w:line="240" w:lineRule="auto"/>
        <w:ind w:left="0" w:firstLine="0" w:firstLineChars="0"/>
        <w:jc w:val="left"/>
        <w:rPr>
          <w:rFonts w:ascii="黑体" w:hAnsi="黑体" w:eastAsia="黑体"/>
          <w:color w:val="000000" w:themeColor="text1"/>
          <w:sz w:val="32"/>
          <w:szCs w:val="32"/>
          <w:highlight w:val="none"/>
          <w:u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u w:val="none"/>
          <w:lang w:eastAsia="zh-CN"/>
          <w14:textFill>
            <w14:solidFill>
              <w14:schemeClr w14:val="tx1"/>
            </w14:solidFill>
          </w14:textFill>
        </w:rPr>
        <w:t>二、机构设置</w:t>
      </w:r>
    </w:p>
    <w:p w14:paraId="02F29716">
      <w:pPr>
        <w:pStyle w:val="9"/>
        <w:numPr>
          <w:ilvl w:val="0"/>
          <w:numId w:val="1"/>
        </w:numPr>
        <w:spacing w:line="240" w:lineRule="auto"/>
        <w:ind w:firstLineChars="0"/>
        <w:rPr>
          <w:rFonts w:hint="eastAsia" w:ascii="方正黑体_GBK" w:hAnsi="方正黑体_GBK" w:eastAsia="方正黑体_GBK" w:cs="方正黑体_GBK"/>
          <w:color w:val="000000" w:themeColor="text1"/>
          <w:sz w:val="32"/>
          <w:szCs w:val="32"/>
          <w:highlight w:val="none"/>
          <w:u w:val="none"/>
          <w14:textFill>
            <w14:solidFill>
              <w14:schemeClr w14:val="tx1"/>
            </w14:solidFill>
          </w14:textFill>
        </w:rPr>
      </w:pPr>
      <w:r>
        <w:rPr>
          <w:rFonts w:hint="eastAsia" w:ascii="黑体" w:hAnsi="黑体" w:eastAsia="黑体"/>
          <w:color w:val="000000" w:themeColor="text1"/>
          <w:sz w:val="32"/>
          <w:szCs w:val="32"/>
          <w:highlight w:val="none"/>
          <w:u w:val="none"/>
          <w14:textFill>
            <w14:solidFill>
              <w14:schemeClr w14:val="tx1"/>
            </w14:solidFill>
          </w14:textFill>
        </w:rPr>
        <w:t xml:space="preserve"> </w:t>
      </w:r>
      <w:r>
        <w:rPr>
          <w:rFonts w:hint="eastAsia" w:ascii="黑体" w:hAnsi="黑体" w:eastAsia="黑体"/>
          <w:color w:val="000000" w:themeColor="text1"/>
          <w:sz w:val="32"/>
          <w:szCs w:val="32"/>
          <w:highlight w:val="none"/>
          <w:u w:val="none"/>
          <w:lang w:val="en-US" w:eastAsia="zh-CN"/>
          <w14:textFill>
            <w14:solidFill>
              <w14:schemeClr w14:val="tx1"/>
            </w14:solidFill>
          </w14:textFill>
        </w:rPr>
        <w:t xml:space="preserve"> 儋州市西流中心幼儿园</w:t>
      </w:r>
      <w:r>
        <w:rPr>
          <w:rFonts w:hint="eastAsia" w:ascii="方正黑体_GBK" w:hAnsi="方正黑体_GBK" w:eastAsia="方正黑体_GBK" w:cs="方正黑体_GBK"/>
          <w:color w:val="000000" w:themeColor="text1"/>
          <w:sz w:val="32"/>
          <w:szCs w:val="32"/>
          <w:highlight w:val="none"/>
          <w:u w:val="none"/>
          <w:lang w:val="en-US" w:eastAsia="zh-CN"/>
          <w14:textFill>
            <w14:solidFill>
              <w14:schemeClr w14:val="tx1"/>
            </w14:solidFill>
          </w14:textFill>
        </w:rPr>
        <w:t>2026</w:t>
      </w:r>
      <w:r>
        <w:rPr>
          <w:rFonts w:hint="eastAsia" w:ascii="方正黑体_GBK" w:hAnsi="方正黑体_GBK" w:eastAsia="方正黑体_GBK" w:cs="方正黑体_GBK"/>
          <w:color w:val="000000" w:themeColor="text1"/>
          <w:sz w:val="32"/>
          <w:szCs w:val="32"/>
          <w:highlight w:val="none"/>
          <w:u w:val="none"/>
          <w14:textFill>
            <w14:solidFill>
              <w14:schemeClr w14:val="tx1"/>
            </w14:solidFill>
          </w14:textFill>
        </w:rPr>
        <w:t>年部门预算表</w:t>
      </w:r>
    </w:p>
    <w:p w14:paraId="203DA824">
      <w:pPr>
        <w:pStyle w:val="9"/>
        <w:numPr>
          <w:ilvl w:val="0"/>
          <w:numId w:val="2"/>
        </w:numPr>
        <w:spacing w:line="240" w:lineRule="auto"/>
        <w:ind w:firstLineChars="0"/>
        <w:rPr>
          <w:rFonts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财政拨款收支总表</w:t>
      </w:r>
    </w:p>
    <w:p w14:paraId="437BE9A5">
      <w:pPr>
        <w:pStyle w:val="9"/>
        <w:numPr>
          <w:ilvl w:val="0"/>
          <w:numId w:val="2"/>
        </w:numPr>
        <w:spacing w:line="240" w:lineRule="auto"/>
        <w:ind w:firstLineChars="0"/>
        <w:rPr>
          <w:rFonts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一般公共预算支出表</w:t>
      </w:r>
    </w:p>
    <w:p w14:paraId="58621532">
      <w:pPr>
        <w:pStyle w:val="9"/>
        <w:numPr>
          <w:ilvl w:val="0"/>
          <w:numId w:val="2"/>
        </w:numPr>
        <w:spacing w:line="240" w:lineRule="auto"/>
        <w:ind w:firstLineChars="0"/>
        <w:rPr>
          <w:rFonts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一般公共预算基本支出表</w:t>
      </w:r>
    </w:p>
    <w:p w14:paraId="45CADE47">
      <w:pPr>
        <w:pStyle w:val="9"/>
        <w:numPr>
          <w:ilvl w:val="0"/>
          <w:numId w:val="2"/>
        </w:numPr>
        <w:spacing w:line="240" w:lineRule="auto"/>
        <w:ind w:firstLineChars="0"/>
        <w:rPr>
          <w:rFonts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一般公共预算“三公”经费支出表</w:t>
      </w:r>
    </w:p>
    <w:p w14:paraId="6FA6D453">
      <w:pPr>
        <w:pStyle w:val="9"/>
        <w:numPr>
          <w:ilvl w:val="0"/>
          <w:numId w:val="2"/>
        </w:numPr>
        <w:spacing w:line="240" w:lineRule="auto"/>
        <w:ind w:firstLineChars="0"/>
        <w:rPr>
          <w:rFonts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政府性基金预算支出表</w:t>
      </w:r>
    </w:p>
    <w:p w14:paraId="71435813">
      <w:pPr>
        <w:pStyle w:val="9"/>
        <w:numPr>
          <w:ilvl w:val="0"/>
          <w:numId w:val="2"/>
        </w:numPr>
        <w:spacing w:line="240" w:lineRule="auto"/>
        <w:ind w:firstLineChars="0"/>
        <w:rPr>
          <w:rFonts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政府性基金预算“三公”经费支出表</w:t>
      </w:r>
    </w:p>
    <w:p w14:paraId="67F0DAA9">
      <w:pPr>
        <w:pStyle w:val="9"/>
        <w:numPr>
          <w:ilvl w:val="0"/>
          <w:numId w:val="2"/>
        </w:numPr>
        <w:spacing w:line="240" w:lineRule="auto"/>
        <w:ind w:firstLineChars="0"/>
        <w:jc w:val="left"/>
        <w:rPr>
          <w:rFonts w:hint="eastAsia"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lang w:eastAsia="zh-CN"/>
          <w14:textFill>
            <w14:solidFill>
              <w14:schemeClr w14:val="tx1"/>
            </w14:solidFill>
          </w14:textFill>
        </w:rPr>
        <w:t>国有资本经营预算支出表</w:t>
      </w:r>
    </w:p>
    <w:p w14:paraId="5AB908A7">
      <w:pPr>
        <w:pStyle w:val="9"/>
        <w:numPr>
          <w:ilvl w:val="0"/>
          <w:numId w:val="2"/>
        </w:numPr>
        <w:spacing w:line="240" w:lineRule="auto"/>
        <w:ind w:firstLineChars="0"/>
        <w:jc w:val="left"/>
        <w:rPr>
          <w:rFonts w:hint="eastAsia"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u w:val="none"/>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收支总表</w:t>
      </w:r>
    </w:p>
    <w:p w14:paraId="61ED0147">
      <w:pPr>
        <w:pStyle w:val="9"/>
        <w:numPr>
          <w:ilvl w:val="0"/>
          <w:numId w:val="2"/>
        </w:numPr>
        <w:spacing w:line="240" w:lineRule="auto"/>
        <w:ind w:firstLineChars="0"/>
        <w:jc w:val="left"/>
        <w:rPr>
          <w:rFonts w:ascii="黑体" w:hAnsi="黑体" w:eastAsia="黑体"/>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u w:val="none"/>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收入总表</w:t>
      </w:r>
    </w:p>
    <w:p w14:paraId="42FEBFB5">
      <w:pPr>
        <w:pStyle w:val="9"/>
        <w:numPr>
          <w:ilvl w:val="0"/>
          <w:numId w:val="2"/>
        </w:numPr>
        <w:spacing w:line="240" w:lineRule="auto"/>
        <w:ind w:firstLineChars="0"/>
        <w:jc w:val="left"/>
        <w:rPr>
          <w:rFonts w:ascii="黑体" w:hAnsi="黑体" w:eastAsia="黑体"/>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u w:val="none"/>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支出总表</w:t>
      </w:r>
    </w:p>
    <w:p w14:paraId="1B201C85">
      <w:pPr>
        <w:pStyle w:val="9"/>
        <w:numPr>
          <w:ilvl w:val="0"/>
          <w:numId w:val="2"/>
        </w:numPr>
        <w:spacing w:line="240" w:lineRule="auto"/>
        <w:ind w:firstLineChars="0"/>
        <w:jc w:val="left"/>
        <w:rPr>
          <w:rFonts w:ascii="黑体" w:hAnsi="黑体" w:eastAsia="黑体"/>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项目支出绩效信息表</w:t>
      </w:r>
    </w:p>
    <w:p w14:paraId="38A4A423">
      <w:pPr>
        <w:pStyle w:val="9"/>
        <w:numPr>
          <w:ilvl w:val="0"/>
          <w:numId w:val="1"/>
        </w:numPr>
        <w:spacing w:line="240" w:lineRule="auto"/>
        <w:ind w:firstLineChars="0"/>
        <w:jc w:val="left"/>
        <w:rPr>
          <w:rFonts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ascii="黑体" w:hAnsi="黑体" w:eastAsia="黑体"/>
          <w:color w:val="000000" w:themeColor="text1"/>
          <w:sz w:val="32"/>
          <w:szCs w:val="32"/>
          <w:highlight w:val="none"/>
          <w:u w:val="none"/>
          <w:lang w:val="en-US" w:eastAsia="zh-CN"/>
          <w14:textFill>
            <w14:solidFill>
              <w14:schemeClr w14:val="tx1"/>
            </w14:solidFill>
          </w14:textFill>
        </w:rPr>
        <w:t xml:space="preserve">  儋州市西流中心幼儿园</w:t>
      </w:r>
      <w:r>
        <w:rPr>
          <w:rFonts w:hint="eastAsia" w:ascii="方正黑体_GBK" w:hAnsi="方正黑体_GBK" w:eastAsia="方正黑体_GBK" w:cs="方正黑体_GBK"/>
          <w:color w:val="000000" w:themeColor="text1"/>
          <w:sz w:val="32"/>
          <w:szCs w:val="32"/>
          <w:highlight w:val="none"/>
          <w:u w:val="none"/>
          <w:lang w:val="en-US" w:eastAsia="zh-CN"/>
          <w14:textFill>
            <w14:solidFill>
              <w14:schemeClr w14:val="tx1"/>
            </w14:solidFill>
          </w14:textFill>
        </w:rPr>
        <w:t>2026</w:t>
      </w:r>
      <w:r>
        <w:rPr>
          <w:rFonts w:hint="eastAsia" w:ascii="方正黑体_GBK" w:hAnsi="方正黑体_GBK" w:eastAsia="方正黑体_GBK" w:cs="方正黑体_GBK"/>
          <w:color w:val="000000" w:themeColor="text1"/>
          <w:sz w:val="32"/>
          <w:szCs w:val="32"/>
          <w:highlight w:val="none"/>
          <w:u w:val="none"/>
          <w14:textFill>
            <w14:solidFill>
              <w14:schemeClr w14:val="tx1"/>
            </w14:solidFill>
          </w14:textFill>
        </w:rPr>
        <w:t>年部门预算情况说明</w:t>
      </w:r>
    </w:p>
    <w:p w14:paraId="313D6E72">
      <w:pPr>
        <w:pStyle w:val="9"/>
        <w:numPr>
          <w:ilvl w:val="0"/>
          <w:numId w:val="1"/>
        </w:numPr>
        <w:spacing w:line="240" w:lineRule="auto"/>
        <w:ind w:firstLineChars="0"/>
        <w:jc w:val="left"/>
        <w:rPr>
          <w:rFonts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ascii="黑体" w:hAnsi="黑体" w:eastAsia="黑体"/>
          <w:color w:val="000000" w:themeColor="text1"/>
          <w:sz w:val="32"/>
          <w:szCs w:val="32"/>
          <w:highlight w:val="none"/>
          <w:u w:val="none"/>
          <w14:textFill>
            <w14:solidFill>
              <w14:schemeClr w14:val="tx1"/>
            </w14:solidFill>
          </w14:textFill>
        </w:rPr>
        <w:t xml:space="preserve">  名词解释</w:t>
      </w:r>
    </w:p>
    <w:p w14:paraId="363E4423">
      <w:pPr>
        <w:jc w:val="left"/>
        <w:rPr>
          <w:rFonts w:hint="eastAsia" w:ascii="黑体" w:hAnsi="黑体" w:eastAsia="黑体"/>
          <w:color w:val="000000" w:themeColor="text1"/>
          <w:sz w:val="52"/>
          <w:szCs w:val="52"/>
          <w:highlight w:val="none"/>
          <w:u w:val="none"/>
          <w14:textFill>
            <w14:solidFill>
              <w14:schemeClr w14:val="tx1"/>
            </w14:solidFill>
          </w14:textFill>
        </w:rPr>
      </w:pPr>
    </w:p>
    <w:p w14:paraId="0EE9F38E">
      <w:pPr>
        <w:spacing w:line="240" w:lineRule="auto"/>
        <w:jc w:val="left"/>
        <w:rPr>
          <w:rFonts w:ascii="黑体" w:hAnsi="黑体" w:eastAsia="黑体"/>
          <w:color w:val="000000" w:themeColor="text1"/>
          <w:sz w:val="32"/>
          <w:szCs w:val="32"/>
          <w:highlight w:val="none"/>
          <w:u w:val="none"/>
          <w14:textFill>
            <w14:solidFill>
              <w14:schemeClr w14:val="tx1"/>
            </w14:solidFill>
          </w14:textFill>
        </w:rPr>
      </w:pPr>
    </w:p>
    <w:p w14:paraId="15C456B4">
      <w:pPr>
        <w:pStyle w:val="9"/>
        <w:numPr>
          <w:ilvl w:val="0"/>
          <w:numId w:val="3"/>
        </w:numPr>
        <w:spacing w:line="560" w:lineRule="exact"/>
        <w:ind w:firstLineChars="0"/>
        <w:jc w:val="center"/>
        <w:rPr>
          <w:rFonts w:hint="eastAsia" w:ascii="方正黑体_GBK" w:hAnsi="方正黑体_GBK" w:eastAsia="方正黑体_GBK" w:cs="方正黑体_GBK"/>
          <w:color w:val="000000" w:themeColor="text1"/>
          <w:sz w:val="32"/>
          <w:szCs w:val="32"/>
          <w:highlight w:val="none"/>
          <w:u w:val="none"/>
          <w14:textFill>
            <w14:solidFill>
              <w14:schemeClr w14:val="tx1"/>
            </w14:solidFill>
          </w14:textFill>
        </w:rPr>
      </w:pPr>
      <w:r>
        <w:rPr>
          <w:rFonts w:hint="eastAsia" w:ascii="方正黑体_GBK" w:hAnsi="方正黑体_GBK" w:eastAsia="方正黑体_GBK" w:cs="方正黑体_GBK"/>
          <w:color w:val="000000" w:themeColor="text1"/>
          <w:sz w:val="32"/>
          <w:szCs w:val="32"/>
          <w:highlight w:val="none"/>
          <w:u w:val="none"/>
          <w:lang w:val="en-US" w:eastAsia="zh-CN"/>
          <w14:textFill>
            <w14:solidFill>
              <w14:schemeClr w14:val="tx1"/>
            </w14:solidFill>
          </w14:textFill>
        </w:rPr>
        <w:t xml:space="preserve"> 儋州市西流中心幼儿园</w:t>
      </w:r>
      <w:r>
        <w:rPr>
          <w:rFonts w:hint="eastAsia" w:ascii="方正黑体_GBK" w:hAnsi="方正黑体_GBK" w:eastAsia="方正黑体_GBK" w:cs="方正黑体_GBK"/>
          <w:color w:val="000000" w:themeColor="text1"/>
          <w:sz w:val="32"/>
          <w:szCs w:val="32"/>
          <w:highlight w:val="none"/>
          <w:u w:val="none"/>
          <w14:textFill>
            <w14:solidFill>
              <w14:schemeClr w14:val="tx1"/>
            </w14:solidFill>
          </w14:textFill>
        </w:rPr>
        <w:t>概况</w:t>
      </w:r>
    </w:p>
    <w:p w14:paraId="3160AF0B">
      <w:pPr>
        <w:spacing w:line="560" w:lineRule="exact"/>
        <w:jc w:val="left"/>
        <w:rPr>
          <w:rFonts w:ascii="仿宋_GB2312" w:hAnsi="仿宋_GB2312" w:eastAsia="仿宋_GB2312" w:cs="仿宋_GB2312"/>
          <w:color w:val="000000" w:themeColor="text1"/>
          <w:sz w:val="32"/>
          <w:szCs w:val="32"/>
          <w:highlight w:val="none"/>
          <w:u w:val="none"/>
          <w14:textFill>
            <w14:solidFill>
              <w14:schemeClr w14:val="tx1"/>
            </w14:solidFill>
          </w14:textFill>
        </w:rPr>
      </w:pPr>
    </w:p>
    <w:p w14:paraId="7754179F">
      <w:pPr>
        <w:pStyle w:val="9"/>
        <w:numPr>
          <w:ilvl w:val="-1"/>
          <w:numId w:val="0"/>
        </w:numPr>
        <w:spacing w:line="560" w:lineRule="exact"/>
        <w:ind w:left="0" w:firstLine="640" w:firstLineChars="200"/>
        <w:jc w:val="left"/>
        <w:rPr>
          <w:rFonts w:ascii="黑体" w:hAnsi="黑体" w:eastAsia="黑体" w:cs="仿宋_GB2312"/>
          <w:color w:val="000000" w:themeColor="text1"/>
          <w:sz w:val="32"/>
          <w:szCs w:val="32"/>
          <w:highlight w:val="none"/>
          <w:u w:val="none"/>
          <w14:textFill>
            <w14:solidFill>
              <w14:schemeClr w14:val="tx1"/>
            </w14:solidFill>
          </w14:textFill>
        </w:rPr>
      </w:pPr>
      <w:r>
        <w:rPr>
          <w:rFonts w:hint="eastAsia" w:ascii="黑体" w:hAnsi="黑体" w:eastAsia="黑体" w:cs="仿宋_GB2312"/>
          <w:color w:val="000000" w:themeColor="text1"/>
          <w:sz w:val="32"/>
          <w:szCs w:val="32"/>
          <w:highlight w:val="none"/>
          <w:u w:val="none"/>
          <w:lang w:eastAsia="zh-CN"/>
          <w14:textFill>
            <w14:solidFill>
              <w14:schemeClr w14:val="tx1"/>
            </w14:solidFill>
          </w14:textFill>
        </w:rPr>
        <w:t>一、</w:t>
      </w:r>
      <w:r>
        <w:rPr>
          <w:rFonts w:hint="eastAsia" w:ascii="黑体" w:hAnsi="黑体" w:eastAsia="黑体" w:cs="仿宋_GB2312"/>
          <w:color w:val="000000" w:themeColor="text1"/>
          <w:sz w:val="32"/>
          <w:szCs w:val="32"/>
          <w:highlight w:val="none"/>
          <w:u w:val="none"/>
          <w14:textFill>
            <w14:solidFill>
              <w14:schemeClr w14:val="tx1"/>
            </w14:solidFill>
          </w14:textFill>
        </w:rPr>
        <w:t>主要职能</w:t>
      </w:r>
    </w:p>
    <w:p w14:paraId="41229AA8">
      <w:pPr>
        <w:spacing w:line="560" w:lineRule="exact"/>
        <w:ind w:firstLine="620" w:firstLineChars="200"/>
        <w:rPr>
          <w:rFonts w:hint="eastAsia" w:ascii="仿宋_GB2312" w:hAnsi="仿宋_GB2312" w:eastAsia="仿宋_GB2312" w:cs="仿宋_GB2312"/>
          <w:color w:val="000000" w:themeColor="text1"/>
          <w:sz w:val="31"/>
          <w:szCs w:val="31"/>
          <w:highlight w:val="none"/>
          <w14:textFill>
            <w14:solidFill>
              <w14:schemeClr w14:val="tx1"/>
            </w14:solidFill>
          </w14:textFill>
        </w:rPr>
      </w:pPr>
      <w:r>
        <w:rPr>
          <w:rFonts w:hint="eastAsia" w:ascii="仿宋_GB2312" w:hAnsi="仿宋_GB2312" w:eastAsia="仿宋_GB2312" w:cs="仿宋_GB2312"/>
          <w:color w:val="000000" w:themeColor="text1"/>
          <w:sz w:val="31"/>
          <w:szCs w:val="31"/>
          <w:highlight w:val="none"/>
          <w14:textFill>
            <w14:solidFill>
              <w14:schemeClr w14:val="tx1"/>
            </w14:solidFill>
          </w14:textFill>
        </w:rPr>
        <w:t>儋州市西流中心幼儿园是儋州市教育局直属全额拨款事业单位，业务范围是对幼儿实施保育和教育，促进幼儿全身心和谐发展。</w:t>
      </w:r>
    </w:p>
    <w:p w14:paraId="0676A69C">
      <w:pPr>
        <w:spacing w:line="560" w:lineRule="exact"/>
        <w:ind w:firstLine="620" w:firstLineChars="200"/>
        <w:rPr>
          <w:rFonts w:hint="eastAsia" w:ascii="仿宋_GB2312" w:hAnsi="仿宋_GB2312" w:eastAsia="仿宋_GB2312" w:cs="仿宋_GB2312"/>
          <w:color w:val="000000" w:themeColor="text1"/>
          <w:sz w:val="31"/>
          <w:szCs w:val="31"/>
          <w:highlight w:val="none"/>
          <w14:textFill>
            <w14:solidFill>
              <w14:schemeClr w14:val="tx1"/>
            </w14:solidFill>
          </w14:textFill>
        </w:rPr>
      </w:pPr>
      <w:r>
        <w:rPr>
          <w:rFonts w:hint="eastAsia" w:ascii="仿宋_GB2312" w:hAnsi="仿宋_GB2312" w:eastAsia="仿宋_GB2312" w:cs="仿宋_GB2312"/>
          <w:color w:val="000000" w:themeColor="text1"/>
          <w:sz w:val="31"/>
          <w:szCs w:val="31"/>
          <w:highlight w:val="none"/>
          <w14:textFill>
            <w14:solidFill>
              <w14:schemeClr w14:val="tx1"/>
            </w14:solidFill>
          </w14:textFill>
        </w:rPr>
        <w:t>主要职能包括：</w:t>
      </w:r>
    </w:p>
    <w:p w14:paraId="51C9B2D8">
      <w:pPr>
        <w:spacing w:line="560" w:lineRule="exact"/>
        <w:ind w:firstLine="620" w:firstLineChars="200"/>
        <w:rPr>
          <w:rFonts w:hint="eastAsia" w:ascii="仿宋_GB2312" w:hAnsi="仿宋_GB2312" w:eastAsia="仿宋_GB2312" w:cs="仿宋_GB2312"/>
          <w:color w:val="000000" w:themeColor="text1"/>
          <w:sz w:val="31"/>
          <w:szCs w:val="31"/>
          <w:highlight w:val="none"/>
          <w14:textFill>
            <w14:solidFill>
              <w14:schemeClr w14:val="tx1"/>
            </w14:solidFill>
          </w14:textFill>
        </w:rPr>
      </w:pPr>
      <w:r>
        <w:rPr>
          <w:rFonts w:hint="eastAsia" w:ascii="仿宋_GB2312" w:hAnsi="仿宋_GB2312" w:eastAsia="仿宋_GB2312" w:cs="仿宋_GB2312"/>
          <w:color w:val="000000" w:themeColor="text1"/>
          <w:sz w:val="31"/>
          <w:szCs w:val="31"/>
          <w:highlight w:val="none"/>
          <w14:textFill>
            <w14:solidFill>
              <w14:schemeClr w14:val="tx1"/>
            </w14:solidFill>
          </w14:textFill>
        </w:rPr>
        <w:t>1、对3-6岁幼儿实施保育和教育。遵循保教结合的原则，对幼儿实施体、智、德、美诸全面发展的教育。</w:t>
      </w:r>
    </w:p>
    <w:p w14:paraId="41283F37">
      <w:pPr>
        <w:ind w:firstLine="620" w:firstLineChars="200"/>
        <w:jc w:val="left"/>
        <w:rPr>
          <w:rFonts w:ascii="仿宋_GB2312" w:hAnsi="黑体" w:eastAsia="仿宋_GB2312" w:cs="仿宋_GB2312"/>
          <w:color w:val="000000" w:themeColor="text1"/>
          <w:sz w:val="32"/>
          <w:szCs w:val="32"/>
          <w:highlight w:val="none"/>
          <w:u w:val="none"/>
          <w14:textFill>
            <w14:solidFill>
              <w14:schemeClr w14:val="tx1"/>
            </w14:solidFill>
          </w14:textFill>
        </w:rPr>
      </w:pPr>
      <w:r>
        <w:rPr>
          <w:rFonts w:hint="eastAsia" w:ascii="仿宋_GB2312" w:hAnsi="仿宋_GB2312" w:eastAsia="仿宋_GB2312" w:cs="仿宋_GB2312"/>
          <w:color w:val="000000" w:themeColor="text1"/>
          <w:sz w:val="31"/>
          <w:szCs w:val="31"/>
          <w:highlight w:val="none"/>
          <w14:textFill>
            <w14:solidFill>
              <w14:schemeClr w14:val="tx1"/>
            </w14:solidFill>
          </w14:textFill>
        </w:rPr>
        <w:t>2、大力开展教育科研活动，探索研究3-6岁幼儿教育的基本规律，积极探索3-6岁教育的有效途径和方法，大力开展亲子教育等促进幼儿成长的各类活动，并作相关的探索和研究。   </w:t>
      </w:r>
      <w:r>
        <w:rPr>
          <w:rFonts w:hint="eastAsia" w:ascii="仿宋_GB2312" w:hAnsi="仿宋_GB2312" w:eastAsia="仿宋_GB2312" w:cs="仿宋_GB2312"/>
          <w:color w:val="000000" w:themeColor="text1"/>
          <w:sz w:val="31"/>
          <w:szCs w:val="31"/>
          <w:highlight w:val="none"/>
          <w:shd w:val="clear" w:color="auto" w:fill="FFFFFF"/>
          <w14:textFill>
            <w14:solidFill>
              <w14:schemeClr w14:val="tx1"/>
            </w14:solidFill>
          </w14:textFill>
        </w:rPr>
        <w:t> </w:t>
      </w:r>
    </w:p>
    <w:p w14:paraId="2B9C969B">
      <w:pPr>
        <w:numPr>
          <w:ilvl w:val="-1"/>
          <w:numId w:val="0"/>
        </w:numPr>
        <w:spacing w:line="560" w:lineRule="exact"/>
        <w:ind w:firstLine="640" w:firstLineChars="200"/>
        <w:jc w:val="left"/>
        <w:rPr>
          <w:rFonts w:hint="eastAsia" w:ascii="黑体" w:hAnsi="黑体" w:eastAsia="黑体" w:cs="仿宋_GB2312"/>
          <w:color w:val="000000" w:themeColor="text1"/>
          <w:sz w:val="32"/>
          <w:szCs w:val="32"/>
          <w:highlight w:val="none"/>
          <w:u w:val="none"/>
          <w:lang w:eastAsia="zh-CN"/>
          <w14:textFill>
            <w14:solidFill>
              <w14:schemeClr w14:val="tx1"/>
            </w14:solidFill>
          </w14:textFill>
        </w:rPr>
      </w:pPr>
      <w:r>
        <w:rPr>
          <w:rFonts w:hint="eastAsia" w:ascii="黑体" w:hAnsi="黑体" w:eastAsia="黑体" w:cs="仿宋_GB2312"/>
          <w:color w:val="000000" w:themeColor="text1"/>
          <w:sz w:val="32"/>
          <w:szCs w:val="32"/>
          <w:highlight w:val="none"/>
          <w:u w:val="none"/>
          <w:lang w:eastAsia="zh-CN"/>
          <w14:textFill>
            <w14:solidFill>
              <w14:schemeClr w14:val="tx1"/>
            </w14:solidFill>
          </w14:textFill>
        </w:rPr>
        <w:t>二、机构设置</w:t>
      </w:r>
    </w:p>
    <w:p w14:paraId="00FF7B35">
      <w:pPr>
        <w:widowControl/>
        <w:snapToGrid w:val="0"/>
        <w:spacing w:before="100" w:beforeAutospacing="1" w:after="100" w:afterAutospacing="1" w:line="240" w:lineRule="auto"/>
        <w:ind w:firstLine="620" w:firstLineChars="200"/>
        <w:rPr>
          <w:rFonts w:hint="eastAsia" w:ascii="仿宋_GB2312" w:eastAsia="仿宋_GB2312" w:cs="仿宋_GB2312"/>
          <w:color w:val="000000" w:themeColor="text1"/>
          <w:sz w:val="31"/>
          <w:szCs w:val="31"/>
          <w:highlight w:val="none"/>
          <w:lang w:eastAsia="zh-CN"/>
          <w14:textFill>
            <w14:solidFill>
              <w14:schemeClr w14:val="tx1"/>
            </w14:solidFill>
          </w14:textFill>
        </w:rPr>
      </w:pPr>
      <w:r>
        <w:rPr>
          <w:rFonts w:hint="eastAsia" w:ascii="仿宋_GB2312" w:hAnsi="仿宋_GB2312" w:eastAsia="仿宋_GB2312" w:cs="仿宋_GB2312"/>
          <w:color w:val="000000" w:themeColor="text1"/>
          <w:sz w:val="31"/>
          <w:szCs w:val="31"/>
          <w:highlight w:val="none"/>
          <w:shd w:val="clear" w:color="auto" w:fill="FFFFFF"/>
          <w14:textFill>
            <w14:solidFill>
              <w14:schemeClr w14:val="tx1"/>
            </w14:solidFill>
          </w14:textFill>
        </w:rPr>
        <w:t>儋州市西流中心幼儿园设3个内设机构，包括；园务办公室、保教处、财务室</w:t>
      </w:r>
      <w:r>
        <w:rPr>
          <w:rFonts w:hint="eastAsia" w:ascii="仿宋_GB2312" w:hAnsi="仿宋_GB2312" w:eastAsia="仿宋_GB2312" w:cs="仿宋_GB2312"/>
          <w:color w:val="000000" w:themeColor="text1"/>
          <w:sz w:val="31"/>
          <w:szCs w:val="31"/>
          <w:highlight w:val="none"/>
          <w:shd w:val="clear" w:color="auto" w:fill="FFFFFF"/>
          <w:lang w:eastAsia="zh-CN"/>
          <w14:textFill>
            <w14:solidFill>
              <w14:schemeClr w14:val="tx1"/>
            </w14:solidFill>
          </w14:textFill>
        </w:rPr>
        <w:t>、</w:t>
      </w:r>
      <w:r>
        <w:rPr>
          <w:rFonts w:hint="default" w:ascii="仿宋_GB2312" w:hAnsi="宋体" w:eastAsia="仿宋_GB2312" w:cs="仿宋_GB2312"/>
          <w:color w:val="000000" w:themeColor="text1"/>
          <w:kern w:val="0"/>
          <w:sz w:val="32"/>
          <w:szCs w:val="32"/>
          <w:highlight w:val="none"/>
          <w:lang w:val="en-US" w:eastAsia="zh-CN" w:bidi="ar"/>
          <w14:textFill>
            <w14:solidFill>
              <w14:schemeClr w14:val="tx1"/>
            </w14:solidFill>
          </w14:textFill>
        </w:rPr>
        <w:t>工会等各职能部门。</w:t>
      </w:r>
    </w:p>
    <w:p w14:paraId="5D31DCAD">
      <w:pPr>
        <w:pStyle w:val="9"/>
        <w:numPr>
          <w:ilvl w:val="-1"/>
          <w:numId w:val="0"/>
        </w:numPr>
        <w:spacing w:line="560" w:lineRule="exact"/>
        <w:ind w:left="0" w:firstLine="0" w:firstLineChars="0"/>
        <w:jc w:val="left"/>
        <w:rPr>
          <w:rFonts w:ascii="仿宋_GB2312" w:hAnsi="黑体" w:eastAsia="仿宋_GB2312" w:cs="仿宋_GB2312"/>
          <w:color w:val="000000" w:themeColor="text1"/>
          <w:sz w:val="32"/>
          <w:szCs w:val="32"/>
          <w:highlight w:val="none"/>
          <w:u w:val="none"/>
          <w14:textFill>
            <w14:solidFill>
              <w14:schemeClr w14:val="tx1"/>
            </w14:solidFill>
          </w14:textFill>
        </w:rPr>
      </w:pPr>
    </w:p>
    <w:p w14:paraId="268C792E">
      <w:pPr>
        <w:pStyle w:val="9"/>
        <w:numPr>
          <w:ilvl w:val="0"/>
          <w:numId w:val="0"/>
        </w:numPr>
        <w:spacing w:line="560" w:lineRule="exact"/>
        <w:ind w:left="0" w:firstLine="0" w:firstLineChars="0"/>
        <w:jc w:val="left"/>
        <w:rPr>
          <w:rFonts w:ascii="黑体" w:hAnsi="黑体" w:eastAsia="黑体"/>
          <w:color w:val="000000" w:themeColor="text1"/>
          <w:sz w:val="32"/>
          <w:szCs w:val="32"/>
          <w:highlight w:val="none"/>
          <w:u w:val="none"/>
          <w14:textFill>
            <w14:solidFill>
              <w14:schemeClr w14:val="tx1"/>
            </w14:solidFill>
          </w14:textFill>
        </w:rPr>
      </w:pPr>
      <w:r>
        <w:rPr>
          <w:rFonts w:hint="eastAsia" w:ascii="方正黑体_GBK" w:hAnsi="方正黑体_GBK" w:eastAsia="方正黑体_GBK" w:cs="方正黑体_GBK"/>
          <w:b w:val="0"/>
          <w:bCs/>
          <w:color w:val="000000" w:themeColor="text1"/>
          <w:sz w:val="32"/>
          <w:szCs w:val="32"/>
          <w:highlight w:val="none"/>
          <w:u w:val="none"/>
          <w:lang w:eastAsia="zh-CN"/>
          <w14:textFill>
            <w14:solidFill>
              <w14:schemeClr w14:val="tx1"/>
            </w14:solidFill>
          </w14:textFill>
        </w:rPr>
        <w:t>第二部分</w:t>
      </w:r>
      <w:r>
        <w:rPr>
          <w:rFonts w:hint="eastAsia" w:ascii="方正黑体_GBK" w:hAnsi="方正黑体_GBK" w:eastAsia="方正黑体_GBK" w:cs="方正黑体_GBK"/>
          <w:b w:val="0"/>
          <w:bCs/>
          <w:color w:val="000000" w:themeColor="text1"/>
          <w:sz w:val="32"/>
          <w:szCs w:val="32"/>
          <w:highlight w:val="none"/>
          <w:u w:val="none"/>
          <w:lang w:val="en-US" w:eastAsia="zh-CN"/>
          <w14:textFill>
            <w14:solidFill>
              <w14:schemeClr w14:val="tx1"/>
            </w14:solidFill>
          </w14:textFill>
        </w:rPr>
        <w:t xml:space="preserve">  儋州市西流中心幼儿园2026</w:t>
      </w:r>
      <w:r>
        <w:rPr>
          <w:rFonts w:hint="eastAsia" w:ascii="方正黑体_GBK" w:hAnsi="方正黑体_GBK" w:eastAsia="方正黑体_GBK" w:cs="方正黑体_GBK"/>
          <w:b w:val="0"/>
          <w:bCs/>
          <w:color w:val="000000" w:themeColor="text1"/>
          <w:sz w:val="32"/>
          <w:szCs w:val="32"/>
          <w:highlight w:val="none"/>
          <w:u w:val="none"/>
          <w14:textFill>
            <w14:solidFill>
              <w14:schemeClr w14:val="tx1"/>
            </w14:solidFill>
          </w14:textFill>
        </w:rPr>
        <w:t>年</w:t>
      </w:r>
      <w:r>
        <w:rPr>
          <w:rFonts w:hint="eastAsia" w:ascii="方正黑体_GBK" w:hAnsi="方正黑体_GBK" w:eastAsia="方正黑体_GBK" w:cs="方正黑体_GBK"/>
          <w:b w:val="0"/>
          <w:bCs/>
          <w:color w:val="000000" w:themeColor="text1"/>
          <w:sz w:val="32"/>
          <w:szCs w:val="32"/>
          <w:highlight w:val="none"/>
          <w:u w:val="none"/>
          <w:lang w:val="en-US" w:eastAsia="zh-CN"/>
          <w14:textFill>
            <w14:solidFill>
              <w14:schemeClr w14:val="tx1"/>
            </w14:solidFill>
          </w14:textFill>
        </w:rPr>
        <w:t>部门</w:t>
      </w:r>
      <w:r>
        <w:rPr>
          <w:rFonts w:hint="eastAsia" w:ascii="方正黑体_GBK" w:hAnsi="方正黑体_GBK" w:eastAsia="方正黑体_GBK" w:cs="方正黑体_GBK"/>
          <w:b w:val="0"/>
          <w:bCs/>
          <w:color w:val="000000" w:themeColor="text1"/>
          <w:sz w:val="32"/>
          <w:szCs w:val="32"/>
          <w:highlight w:val="none"/>
          <w:u w:val="none"/>
          <w14:textFill>
            <w14:solidFill>
              <w14:schemeClr w14:val="tx1"/>
            </w14:solidFill>
          </w14:textFill>
        </w:rPr>
        <w:t>预算表</w:t>
      </w:r>
    </w:p>
    <w:p w14:paraId="4932EA18">
      <w:pPr>
        <w:spacing w:line="560" w:lineRule="exact"/>
        <w:ind w:left="0"/>
        <w:jc w:val="center"/>
        <w:rPr>
          <w:rFonts w:hint="eastAsia" w:ascii="仿宋_GB2312" w:hAnsi="黑体" w:eastAsia="仿宋_GB2312"/>
          <w:b/>
          <w:color w:val="000000" w:themeColor="text1"/>
          <w:sz w:val="32"/>
          <w:szCs w:val="32"/>
          <w:highlight w:val="none"/>
          <w:u w:val="none"/>
          <w14:textFill>
            <w14:solidFill>
              <w14:schemeClr w14:val="tx1"/>
            </w14:solidFill>
          </w14:textFill>
        </w:rPr>
      </w:pPr>
    </w:p>
    <w:p w14:paraId="07F225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center"/>
        <w:rPr>
          <w:rFonts w:hint="eastAsia" w:ascii="微软雅黑" w:hAnsi="微软雅黑" w:eastAsia="微软雅黑" w:cs="微软雅黑"/>
          <w:i w:val="0"/>
          <w:caps w:val="0"/>
          <w:color w:val="000000" w:themeColor="text1"/>
          <w:spacing w:val="0"/>
          <w:sz w:val="21"/>
          <w:szCs w:val="21"/>
          <w:highlight w:val="none"/>
          <w14:textFill>
            <w14:solidFill>
              <w14:schemeClr w14:val="tx1"/>
            </w14:solidFill>
          </w14:textFill>
        </w:rPr>
      </w:pPr>
      <w:r>
        <w:rPr>
          <w:rStyle w:val="8"/>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（见附件1-</w:t>
      </w:r>
      <w:r>
        <w:rPr>
          <w:rStyle w:val="8"/>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11</w:t>
      </w:r>
      <w:r>
        <w:rPr>
          <w:rStyle w:val="8"/>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表）</w:t>
      </w:r>
    </w:p>
    <w:p w14:paraId="17F977EA">
      <w:pPr>
        <w:spacing w:line="560" w:lineRule="exact"/>
        <w:ind w:left="800"/>
        <w:jc w:val="center"/>
        <w:rPr>
          <w:rFonts w:hint="eastAsia" w:ascii="仿宋_GB2312" w:hAnsi="黑体" w:eastAsia="仿宋_GB2312"/>
          <w:b/>
          <w:color w:val="000000" w:themeColor="text1"/>
          <w:sz w:val="32"/>
          <w:szCs w:val="32"/>
          <w:highlight w:val="none"/>
          <w:u w:val="none"/>
          <w14:textFill>
            <w14:solidFill>
              <w14:schemeClr w14:val="tx1"/>
            </w14:solidFill>
          </w14:textFill>
        </w:rPr>
      </w:pPr>
    </w:p>
    <w:p w14:paraId="3C8AA9D7">
      <w:pPr>
        <w:spacing w:line="560" w:lineRule="exact"/>
        <w:ind w:firstLine="0" w:firstLineChars="0"/>
        <w:jc w:val="center"/>
        <w:rPr>
          <w:rFonts w:ascii="黑体" w:hAnsi="黑体" w:eastAsia="黑体"/>
          <w:color w:val="000000" w:themeColor="text1"/>
          <w:sz w:val="32"/>
          <w:szCs w:val="32"/>
          <w:highlight w:val="none"/>
          <w:u w:val="none"/>
          <w14:textFill>
            <w14:solidFill>
              <w14:schemeClr w14:val="tx1"/>
            </w14:solidFill>
          </w14:textFill>
        </w:rPr>
      </w:pPr>
      <w:r>
        <w:rPr>
          <w:rFonts w:hint="eastAsia" w:ascii="黑体" w:hAnsi="黑体" w:eastAsia="黑体"/>
          <w:color w:val="000000" w:themeColor="text1"/>
          <w:sz w:val="32"/>
          <w:szCs w:val="32"/>
          <w:highlight w:val="none"/>
          <w:u w:val="none"/>
          <w:lang w:eastAsia="zh-CN"/>
          <w14:textFill>
            <w14:solidFill>
              <w14:schemeClr w14:val="tx1"/>
            </w14:solidFill>
          </w14:textFill>
        </w:rPr>
        <w:t>第三部分</w:t>
      </w:r>
      <w:r>
        <w:rPr>
          <w:rFonts w:hint="eastAsia" w:ascii="黑体" w:hAnsi="黑体" w:eastAsia="黑体"/>
          <w:color w:val="000000" w:themeColor="text1"/>
          <w:sz w:val="32"/>
          <w:szCs w:val="32"/>
          <w:highlight w:val="none"/>
          <w:u w:val="none"/>
          <w:lang w:val="en-US" w:eastAsia="zh-CN"/>
          <w14:textFill>
            <w14:solidFill>
              <w14:schemeClr w14:val="tx1"/>
            </w14:solidFill>
          </w14:textFill>
        </w:rPr>
        <w:t xml:space="preserve">  </w:t>
      </w:r>
      <w:r>
        <w:rPr>
          <w:rFonts w:hint="eastAsia" w:ascii="方正黑体_GBK" w:hAnsi="方正黑体_GBK" w:eastAsia="方正黑体_GBK" w:cs="方正黑体_GBK"/>
          <w:b w:val="0"/>
          <w:bCs/>
          <w:color w:val="000000" w:themeColor="text1"/>
          <w:sz w:val="32"/>
          <w:szCs w:val="32"/>
          <w:highlight w:val="none"/>
          <w:u w:val="none"/>
          <w:lang w:val="en-US" w:eastAsia="zh-CN"/>
          <w14:textFill>
            <w14:solidFill>
              <w14:schemeClr w14:val="tx1"/>
            </w14:solidFill>
          </w14:textFill>
        </w:rPr>
        <w:t>儋州市西流中心幼儿园</w:t>
      </w:r>
      <w:r>
        <w:rPr>
          <w:rFonts w:hint="eastAsia" w:ascii="黑体" w:hAnsi="黑体" w:eastAsia="黑体"/>
          <w:color w:val="000000" w:themeColor="text1"/>
          <w:sz w:val="32"/>
          <w:szCs w:val="32"/>
          <w:highlight w:val="none"/>
          <w:u w:val="none"/>
          <w:lang w:val="en-US" w:eastAsia="zh-CN"/>
          <w14:textFill>
            <w14:solidFill>
              <w14:schemeClr w14:val="tx1"/>
            </w14:solidFill>
          </w14:textFill>
        </w:rPr>
        <w:t>2026</w:t>
      </w:r>
      <w:r>
        <w:rPr>
          <w:rFonts w:hint="eastAsia" w:ascii="黑体" w:hAnsi="黑体" w:eastAsia="黑体"/>
          <w:color w:val="000000" w:themeColor="text1"/>
          <w:sz w:val="32"/>
          <w:szCs w:val="32"/>
          <w:highlight w:val="none"/>
          <w:u w:val="none"/>
          <w14:textFill>
            <w14:solidFill>
              <w14:schemeClr w14:val="tx1"/>
            </w14:solidFill>
          </w14:textFill>
        </w:rPr>
        <w:t>年</w:t>
      </w:r>
      <w:r>
        <w:rPr>
          <w:rFonts w:hint="eastAsia" w:ascii="黑体" w:hAnsi="黑体" w:eastAsia="黑体"/>
          <w:color w:val="000000" w:themeColor="text1"/>
          <w:sz w:val="32"/>
          <w:szCs w:val="32"/>
          <w:highlight w:val="none"/>
          <w:u w:val="none"/>
          <w:lang w:val="en-US" w:eastAsia="zh-CN"/>
          <w14:textFill>
            <w14:solidFill>
              <w14:schemeClr w14:val="tx1"/>
            </w14:solidFill>
          </w14:textFill>
        </w:rPr>
        <w:t>部门</w:t>
      </w:r>
      <w:r>
        <w:rPr>
          <w:rFonts w:hint="eastAsia" w:ascii="黑体" w:hAnsi="黑体" w:eastAsia="黑体"/>
          <w:color w:val="000000" w:themeColor="text1"/>
          <w:sz w:val="32"/>
          <w:szCs w:val="32"/>
          <w:highlight w:val="none"/>
          <w:u w:val="none"/>
          <w14:textFill>
            <w14:solidFill>
              <w14:schemeClr w14:val="tx1"/>
            </w14:solidFill>
          </w14:textFill>
        </w:rPr>
        <w:t>预算情况说明</w:t>
      </w:r>
    </w:p>
    <w:p w14:paraId="46D57E5E">
      <w:pPr>
        <w:spacing w:line="560" w:lineRule="exact"/>
        <w:jc w:val="center"/>
        <w:rPr>
          <w:rFonts w:ascii="黑体" w:hAnsi="黑体" w:eastAsia="黑体"/>
          <w:color w:val="000000" w:themeColor="text1"/>
          <w:sz w:val="32"/>
          <w:szCs w:val="32"/>
          <w:highlight w:val="none"/>
          <w:u w:val="none"/>
          <w14:textFill>
            <w14:solidFill>
              <w14:schemeClr w14:val="tx1"/>
            </w14:solidFill>
          </w14:textFill>
        </w:rPr>
      </w:pPr>
    </w:p>
    <w:p w14:paraId="2ACE3A28">
      <w:pPr>
        <w:spacing w:line="560" w:lineRule="exact"/>
        <w:ind w:firstLine="640" w:firstLineChars="200"/>
        <w:jc w:val="left"/>
        <w:rPr>
          <w:rFonts w:hint="eastAsia" w:ascii="方正黑体_GBK" w:hAnsi="方正黑体_GBK" w:eastAsia="方正黑体_GBK" w:cs="方正黑体_GBK"/>
          <w:color w:val="000000" w:themeColor="text1"/>
          <w:sz w:val="32"/>
          <w:szCs w:val="32"/>
          <w:highlight w:val="none"/>
          <w:u w:val="none"/>
          <w14:textFill>
            <w14:solidFill>
              <w14:schemeClr w14:val="tx1"/>
            </w14:solidFill>
          </w14:textFill>
        </w:rPr>
      </w:pPr>
      <w:r>
        <w:rPr>
          <w:rFonts w:hint="eastAsia" w:ascii="方正黑体_GBK" w:hAnsi="方正黑体_GBK" w:eastAsia="方正黑体_GBK" w:cs="方正黑体_GBK"/>
          <w:color w:val="000000" w:themeColor="text1"/>
          <w:sz w:val="32"/>
          <w:szCs w:val="32"/>
          <w:highlight w:val="none"/>
          <w:u w:val="none"/>
          <w14:textFill>
            <w14:solidFill>
              <w14:schemeClr w14:val="tx1"/>
            </w14:solidFill>
          </w14:textFill>
        </w:rPr>
        <w:t>一、财政拨款收支预算</w:t>
      </w:r>
      <w:r>
        <w:rPr>
          <w:rFonts w:hint="eastAsia" w:ascii="方正黑体_GBK" w:hAnsi="方正黑体_GBK" w:eastAsia="方正黑体_GBK" w:cs="方正黑体_GBK"/>
          <w:color w:val="000000" w:themeColor="text1"/>
          <w:sz w:val="32"/>
          <w:szCs w:val="32"/>
          <w:highlight w:val="none"/>
          <w:u w:val="none"/>
          <w:lang w:eastAsia="zh-CN"/>
          <w14:textFill>
            <w14:solidFill>
              <w14:schemeClr w14:val="tx1"/>
            </w14:solidFill>
          </w14:textFill>
        </w:rPr>
        <w:t>总体</w:t>
      </w:r>
      <w:r>
        <w:rPr>
          <w:rFonts w:hint="eastAsia" w:ascii="方正黑体_GBK" w:hAnsi="方正黑体_GBK" w:eastAsia="方正黑体_GBK" w:cs="方正黑体_GBK"/>
          <w:color w:val="000000" w:themeColor="text1"/>
          <w:sz w:val="32"/>
          <w:szCs w:val="32"/>
          <w:highlight w:val="none"/>
          <w:u w:val="none"/>
          <w14:textFill>
            <w14:solidFill>
              <w14:schemeClr w14:val="tx1"/>
            </w14:solidFill>
          </w14:textFill>
        </w:rPr>
        <w:t>情况说明</w:t>
      </w:r>
    </w:p>
    <w:p w14:paraId="3171F500">
      <w:pPr>
        <w:pStyle w:val="5"/>
        <w:widowControl/>
        <w:ind w:firstLine="645"/>
        <w:rPr>
          <w:color w:val="000000" w:themeColor="text1"/>
          <w:highlight w:val="none"/>
          <w14:textFill>
            <w14:solidFill>
              <w14:schemeClr w14:val="tx1"/>
            </w14:solidFill>
          </w14:textFill>
        </w:rPr>
      </w:pPr>
      <w:r>
        <w:rPr>
          <w:rFonts w:hint="eastAsia" w:ascii="黑体" w:hAnsi="宋体" w:eastAsia="黑体" w:cs="黑体"/>
          <w:color w:val="000000" w:themeColor="text1"/>
          <w:sz w:val="31"/>
          <w:szCs w:val="31"/>
          <w:highlight w:val="none"/>
          <w14:textFill>
            <w14:solidFill>
              <w14:schemeClr w14:val="tx1"/>
            </w14:solidFill>
          </w14:textFill>
        </w:rPr>
        <w:t>算情况的总体说明</w:t>
      </w:r>
    </w:p>
    <w:p w14:paraId="3EFC261B">
      <w:pPr>
        <w:pStyle w:val="5"/>
        <w:widowControl/>
        <w:shd w:val="clear" w:color="auto" w:fill="FFFFFF"/>
        <w:spacing w:before="0" w:beforeAutospacing="0" w:after="0" w:afterAutospacing="0"/>
        <w:ind w:firstLine="645"/>
        <w:jc w:val="both"/>
        <w:rPr>
          <w:rFonts w:hint="eastAsia" w:ascii="微软雅黑" w:hAnsi="微软雅黑" w:eastAsia="微软雅黑" w:cs="微软雅黑"/>
          <w:color w:val="000000" w:themeColor="text1"/>
          <w:sz w:val="21"/>
          <w:szCs w:val="21"/>
          <w:highlight w:val="none"/>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年财政拨款收支总预</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算3115809.21</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元。其中，</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本年</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收入总计</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3069316.36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元，包括一般公共预算本年收入</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3000372.28元</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上年结转</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总计</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46492.85</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元，包括一般公共预算</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上年结转46492.85元</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；支出总</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3115809.21</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元，包括教育支出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2777033.96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元，社会保障和就业支出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150764.16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元、卫生</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健康</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103698.54</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元、住房保障</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84312.55</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p>
    <w:p w14:paraId="31E27729">
      <w:pPr>
        <w:spacing w:line="560" w:lineRule="exact"/>
        <w:ind w:firstLine="640"/>
        <w:jc w:val="left"/>
        <w:rPr>
          <w:rFonts w:ascii="黑体" w:hAnsi="黑体" w:eastAsia="黑体"/>
          <w:color w:val="000000" w:themeColor="text1"/>
          <w:sz w:val="32"/>
          <w:szCs w:val="32"/>
          <w:highlight w:val="none"/>
          <w:u w:val="none"/>
          <w14:textFill>
            <w14:solidFill>
              <w14:schemeClr w14:val="tx1"/>
            </w14:solidFill>
          </w14:textFill>
        </w:rPr>
      </w:pPr>
      <w:r>
        <w:rPr>
          <w:rFonts w:hint="eastAsia" w:ascii="黑体" w:hAnsi="黑体" w:eastAsia="黑体"/>
          <w:color w:val="000000" w:themeColor="text1"/>
          <w:sz w:val="32"/>
          <w:szCs w:val="32"/>
          <w:highlight w:val="none"/>
          <w:u w:val="none"/>
          <w14:textFill>
            <w14:solidFill>
              <w14:schemeClr w14:val="tx1"/>
            </w14:solidFill>
          </w14:textFill>
        </w:rPr>
        <w:t>二、一般公共预算当年拨款情况说明</w:t>
      </w:r>
    </w:p>
    <w:p w14:paraId="057EACDD">
      <w:pPr>
        <w:spacing w:line="560" w:lineRule="exact"/>
        <w:ind w:firstLine="640"/>
        <w:jc w:val="left"/>
        <w:rPr>
          <w:rFonts w:ascii="楷体" w:hAnsi="楷体" w:eastAsia="楷体"/>
          <w:color w:val="000000" w:themeColor="text1"/>
          <w:sz w:val="32"/>
          <w:szCs w:val="32"/>
          <w:highlight w:val="none"/>
          <w:u w:val="none"/>
          <w14:textFill>
            <w14:solidFill>
              <w14:schemeClr w14:val="tx1"/>
            </w14:solidFill>
          </w14:textFill>
        </w:rPr>
      </w:pPr>
      <w:r>
        <w:rPr>
          <w:rFonts w:hint="eastAsia" w:ascii="楷体" w:hAnsi="楷体" w:eastAsia="楷体"/>
          <w:color w:val="000000" w:themeColor="text1"/>
          <w:sz w:val="32"/>
          <w:szCs w:val="32"/>
          <w:highlight w:val="none"/>
          <w:u w:val="none"/>
          <w14:textFill>
            <w14:solidFill>
              <w14:schemeClr w14:val="tx1"/>
            </w14:solidFill>
          </w14:textFill>
        </w:rPr>
        <w:t>（一）一般公共预算当年规模变化情况</w:t>
      </w:r>
    </w:p>
    <w:p w14:paraId="7BE872B9">
      <w:pPr>
        <w:pStyle w:val="5"/>
        <w:widowControl/>
        <w:shd w:val="clear" w:color="auto" w:fill="FFFFFF"/>
        <w:spacing w:before="0" w:beforeAutospacing="0" w:after="0" w:afterAutospacing="0"/>
        <w:ind w:firstLine="645"/>
        <w:rPr>
          <w:rFonts w:hint="default" w:ascii="微软雅黑" w:hAnsi="微软雅黑" w:eastAsia="微软雅黑" w:cs="微软雅黑"/>
          <w:color w:val="000000" w:themeColor="text1"/>
          <w:sz w:val="21"/>
          <w:szCs w:val="21"/>
          <w:highlight w:val="none"/>
          <w:lang w:val="en-US"/>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年一般公共预算当年拨款</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3000372.28</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元，比上年预算数</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增加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552616.20</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原因是2026年工资、建设等方面支出增加</w:t>
      </w:r>
    </w:p>
    <w:p w14:paraId="07AC122A">
      <w:pPr>
        <w:spacing w:line="560" w:lineRule="exact"/>
        <w:ind w:firstLine="640"/>
        <w:jc w:val="left"/>
        <w:rPr>
          <w:rFonts w:ascii="楷体" w:hAnsi="楷体" w:eastAsia="楷体"/>
          <w:color w:val="000000" w:themeColor="text1"/>
          <w:sz w:val="32"/>
          <w:szCs w:val="32"/>
          <w:highlight w:val="none"/>
          <w:u w:val="none"/>
          <w14:textFill>
            <w14:solidFill>
              <w14:schemeClr w14:val="tx1"/>
            </w14:solidFill>
          </w14:textFill>
        </w:rPr>
      </w:pPr>
      <w:r>
        <w:rPr>
          <w:rFonts w:hint="eastAsia" w:ascii="楷体" w:hAnsi="楷体" w:eastAsia="楷体"/>
          <w:color w:val="000000" w:themeColor="text1"/>
          <w:sz w:val="32"/>
          <w:szCs w:val="32"/>
          <w:highlight w:val="none"/>
          <w:u w:val="none"/>
          <w14:textFill>
            <w14:solidFill>
              <w14:schemeClr w14:val="tx1"/>
            </w14:solidFill>
          </w14:textFill>
        </w:rPr>
        <w:t>（二）一般公共预算当年拨款结构情况</w:t>
      </w:r>
    </w:p>
    <w:p w14:paraId="7225FB28">
      <w:pPr>
        <w:pStyle w:val="5"/>
        <w:widowControl/>
        <w:shd w:val="clear" w:color="auto" w:fill="FFFFFF"/>
        <w:spacing w:before="0" w:beforeAutospacing="0" w:after="0" w:afterAutospacing="0"/>
        <w:ind w:firstLine="480"/>
        <w:rPr>
          <w:rFonts w:hint="eastAsia" w:ascii="微软雅黑" w:hAnsi="微软雅黑" w:eastAsia="仿宋_GB2312" w:cs="微软雅黑"/>
          <w:color w:val="000000" w:themeColor="text1"/>
          <w:sz w:val="21"/>
          <w:szCs w:val="21"/>
          <w:highlight w:val="none"/>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教育支出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2708089.88</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元，占</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90.</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25</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；社会保障和就业支出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150764.16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5.02</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%；卫生</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健康</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103698.54</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3045</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%；住房保障支</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84312.55</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2.81</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p>
    <w:p w14:paraId="64C0ECA9">
      <w:pPr>
        <w:spacing w:line="560" w:lineRule="exact"/>
        <w:ind w:firstLine="640"/>
        <w:jc w:val="left"/>
        <w:rPr>
          <w:rFonts w:ascii="楷体" w:hAnsi="楷体" w:eastAsia="楷体"/>
          <w:color w:val="000000" w:themeColor="text1"/>
          <w:sz w:val="32"/>
          <w:szCs w:val="32"/>
          <w:highlight w:val="none"/>
          <w:u w:val="none"/>
          <w14:textFill>
            <w14:solidFill>
              <w14:schemeClr w14:val="tx1"/>
            </w14:solidFill>
          </w14:textFill>
        </w:rPr>
      </w:pPr>
      <w:r>
        <w:rPr>
          <w:rFonts w:hint="eastAsia" w:ascii="楷体" w:hAnsi="楷体" w:eastAsia="楷体"/>
          <w:color w:val="000000" w:themeColor="text1"/>
          <w:sz w:val="32"/>
          <w:szCs w:val="32"/>
          <w:highlight w:val="none"/>
          <w:u w:val="none"/>
          <w14:textFill>
            <w14:solidFill>
              <w14:schemeClr w14:val="tx1"/>
            </w14:solidFill>
          </w14:textFill>
        </w:rPr>
        <w:t>（三）一般公共预算当年拨款具体使用情况</w:t>
      </w:r>
    </w:p>
    <w:p w14:paraId="7C8174DC">
      <w:pPr>
        <w:pStyle w:val="5"/>
        <w:widowControl/>
        <w:shd w:val="clear" w:color="auto" w:fill="FFFFFF"/>
        <w:spacing w:before="0" w:beforeAutospacing="0" w:after="0" w:afterAutospacing="0"/>
        <w:ind w:firstLine="645"/>
        <w:rPr>
          <w:rFonts w:hint="eastAsia" w:ascii="微软雅黑" w:hAnsi="微软雅黑" w:eastAsia="仿宋_GB2312" w:cs="微软雅黑"/>
          <w:color w:val="000000" w:themeColor="text1"/>
          <w:sz w:val="21"/>
          <w:szCs w:val="21"/>
          <w:highlight w:val="none"/>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1.教育支出（类）</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普通教育</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（款）</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学前教育</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（项）202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年预算数为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2708089.88</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元，比上年预算数</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增加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486832.59</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主要原因是工资、建设、</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人员增加</w:t>
      </w:r>
      <w:r>
        <w:rPr>
          <w:rFonts w:hint="eastAsia" w:ascii="仿宋_GB2312" w:hAnsi="微软雅黑" w:eastAsia="仿宋_GB2312" w:cs="仿宋_GB2312"/>
          <w:color w:val="000000" w:themeColor="text1"/>
          <w:sz w:val="31"/>
          <w:szCs w:val="31"/>
          <w:highlight w:val="none"/>
          <w:shd w:val="clear" w:color="auto" w:fill="FFFFFF"/>
          <w:lang w:eastAsia="zh-CN"/>
          <w14:textFill>
            <w14:solidFill>
              <w14:schemeClr w14:val="tx1"/>
            </w14:solidFill>
          </w14:textFill>
        </w:rPr>
        <w:t>，</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教育</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支出也</w:t>
      </w:r>
      <w:bookmarkStart w:id="0" w:name="_GoBack"/>
      <w:bookmarkEnd w:id="0"/>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相应提高。</w:t>
      </w:r>
    </w:p>
    <w:p w14:paraId="108CABB5">
      <w:pPr>
        <w:pStyle w:val="5"/>
        <w:widowControl/>
        <w:shd w:val="clear" w:color="auto" w:fill="FFFFFF"/>
        <w:spacing w:before="0" w:beforeAutospacing="0" w:after="0" w:afterAutospacing="0"/>
        <w:ind w:firstLine="645"/>
        <w:rPr>
          <w:rFonts w:hint="eastAsia" w:ascii="微软雅黑" w:hAnsi="微软雅黑" w:eastAsia="仿宋_GB2312" w:cs="微软雅黑"/>
          <w:color w:val="000000" w:themeColor="text1"/>
          <w:sz w:val="21"/>
          <w:szCs w:val="21"/>
          <w:highlight w:val="none"/>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2. 社会保障和就业支出（类）行政事业单位养老支出（款）机关事业单位基本养老保险缴费支出 （项）202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年预算数为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150764.16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元，比上年预算数</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增加了</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53480.29</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主要原因是2026年1月一位在编人员职称的变动及两名特岗教师转正入编，</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基本工资提高，</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单位</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基本养老保险缴费支出也相应提高。</w:t>
      </w:r>
    </w:p>
    <w:p w14:paraId="6050E467">
      <w:pPr>
        <w:pStyle w:val="5"/>
        <w:widowControl/>
        <w:shd w:val="clear" w:color="auto" w:fill="FFFFFF"/>
        <w:spacing w:before="0" w:beforeAutospacing="0" w:after="0" w:afterAutospacing="0"/>
        <w:ind w:firstLine="645"/>
        <w:rPr>
          <w:rFonts w:hint="eastAsia" w:ascii="微软雅黑" w:hAnsi="微软雅黑" w:eastAsia="微软雅黑" w:cs="微软雅黑"/>
          <w:color w:val="auto"/>
          <w:sz w:val="21"/>
          <w:szCs w:val="21"/>
          <w:highlight w:val="none"/>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3.卫生健康支出（类）行政事业单位医疗（款）事业单位医疗</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、公务员医疗补助</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（项）202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年预算数为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103698.54</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元，比上年预算数</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增加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29237.20</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主要原因是2026年1月一位在编人员职称的变动及两名特岗教师转正入编，</w:t>
      </w:r>
      <w:r>
        <w:rPr>
          <w:rFonts w:ascii="仿宋_GB2312" w:hAnsi="微软雅黑" w:eastAsia="仿宋_GB2312" w:cs="仿宋_GB2312"/>
          <w:color w:val="auto"/>
          <w:sz w:val="31"/>
          <w:szCs w:val="31"/>
          <w:highlight w:val="none"/>
          <w:shd w:val="clear" w:color="auto" w:fill="FFFFFF"/>
        </w:rPr>
        <w:t>基本工资提高</w:t>
      </w:r>
      <w:r>
        <w:rPr>
          <w:rFonts w:hint="eastAsia" w:ascii="仿宋_GB2312" w:hAnsi="微软雅黑" w:eastAsia="仿宋_GB2312" w:cs="仿宋_GB2312"/>
          <w:color w:val="auto"/>
          <w:sz w:val="31"/>
          <w:szCs w:val="31"/>
          <w:highlight w:val="none"/>
          <w:shd w:val="clear" w:color="auto" w:fill="FFFFFF"/>
        </w:rPr>
        <w:t>，单位医疗补助</w:t>
      </w:r>
      <w:r>
        <w:rPr>
          <w:rFonts w:ascii="仿宋_GB2312" w:hAnsi="微软雅黑" w:eastAsia="仿宋_GB2312" w:cs="仿宋_GB2312"/>
          <w:color w:val="auto"/>
          <w:sz w:val="31"/>
          <w:szCs w:val="31"/>
          <w:highlight w:val="none"/>
          <w:shd w:val="clear" w:color="auto" w:fill="FFFFFF"/>
        </w:rPr>
        <w:t>支出也相应提高。</w:t>
      </w:r>
    </w:p>
    <w:p w14:paraId="7B6AB72D">
      <w:pPr>
        <w:pStyle w:val="5"/>
        <w:widowControl/>
        <w:shd w:val="clear" w:color="auto" w:fill="FFFFFF"/>
        <w:spacing w:before="0" w:beforeAutospacing="0" w:after="0" w:afterAutospacing="0"/>
        <w:ind w:firstLine="645"/>
        <w:rPr>
          <w:rFonts w:hint="eastAsia" w:ascii="微软雅黑" w:hAnsi="微软雅黑" w:eastAsia="微软雅黑" w:cs="微软雅黑"/>
          <w:color w:val="000000" w:themeColor="text1"/>
          <w:sz w:val="21"/>
          <w:szCs w:val="21"/>
          <w:highlight w:val="none"/>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4.住房保障支出（类）住房改革支出（款）住房公积金（项）202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年预算数为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84312.55</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元，比上年预算数</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增加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29558.97</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主要原因是2026年1月一位在编人员职称的变动及两名特岗教师转正入编，</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基本工资提高，住房公积金支出也相应提高。</w:t>
      </w:r>
    </w:p>
    <w:p w14:paraId="5E490B10">
      <w:pPr>
        <w:spacing w:line="560" w:lineRule="exact"/>
        <w:ind w:firstLine="640"/>
        <w:rPr>
          <w:rFonts w:ascii="黑体" w:hAnsi="黑体" w:eastAsia="黑体"/>
          <w:color w:val="000000" w:themeColor="text1"/>
          <w:sz w:val="32"/>
          <w:szCs w:val="32"/>
          <w:highlight w:val="none"/>
          <w:u w:val="none"/>
          <w14:textFill>
            <w14:solidFill>
              <w14:schemeClr w14:val="tx1"/>
            </w14:solidFill>
          </w14:textFill>
        </w:rPr>
      </w:pPr>
      <w:r>
        <w:rPr>
          <w:rFonts w:hint="eastAsia" w:ascii="黑体" w:hAnsi="黑体" w:eastAsia="黑体"/>
          <w:color w:val="000000" w:themeColor="text1"/>
          <w:sz w:val="32"/>
          <w:szCs w:val="32"/>
          <w:highlight w:val="none"/>
          <w:u w:val="none"/>
          <w14:textFill>
            <w14:solidFill>
              <w14:schemeClr w14:val="tx1"/>
            </w14:solidFill>
          </w14:textFill>
        </w:rPr>
        <w:t>三、一般公共预算基本支出情况说明</w:t>
      </w:r>
    </w:p>
    <w:p w14:paraId="2B090CD2">
      <w:pPr>
        <w:pStyle w:val="5"/>
        <w:widowControl/>
        <w:shd w:val="clear" w:color="auto" w:fill="FFFFFF"/>
        <w:spacing w:before="0" w:beforeAutospacing="0" w:after="0" w:afterAutospacing="0"/>
        <w:ind w:firstLine="645"/>
        <w:rPr>
          <w:rFonts w:hint="eastAsia" w:ascii="微软雅黑" w:hAnsi="微软雅黑" w:eastAsia="微软雅黑" w:cs="微软雅黑"/>
          <w:color w:val="000000" w:themeColor="text1"/>
          <w:sz w:val="21"/>
          <w:szCs w:val="21"/>
          <w:highlight w:val="none"/>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年一般公共预算基本支出为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2371586.74</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，其中：</w:t>
      </w:r>
    </w:p>
    <w:p w14:paraId="1A657DEC">
      <w:pPr>
        <w:pStyle w:val="5"/>
        <w:widowControl/>
        <w:shd w:val="clear" w:color="auto" w:fill="FFFFFF"/>
        <w:spacing w:before="0" w:beforeAutospacing="0" w:after="0" w:afterAutospacing="0"/>
        <w:ind w:firstLine="645"/>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人员经费</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2360650.66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元，主要包括：基本工资、津贴补贴、绩效工资、</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机关事业单位基本养老保险缴费、职业年金缴费、职工基本医疗保险缴费、公务员医疗补助缴费、其他</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社会保障缴费、住房公积金</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、医疗费、其他工资福利支出</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等;</w:t>
      </w:r>
    </w:p>
    <w:p w14:paraId="0D960D19">
      <w:pPr>
        <w:spacing w:line="560" w:lineRule="exact"/>
        <w:ind w:firstLine="620" w:firstLineChars="200"/>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pP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公用经费10936.08元，主要包括商品和服务支出、办公费、邮电费。</w:t>
      </w:r>
    </w:p>
    <w:p w14:paraId="4FBB75EC">
      <w:pPr>
        <w:spacing w:line="560" w:lineRule="exact"/>
        <w:ind w:firstLine="620" w:firstLineChars="200"/>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pP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工会经费10936.08元</w:t>
      </w:r>
      <w:r>
        <w:rPr>
          <w:rFonts w:hint="eastAsia" w:ascii="仿宋_GB2312" w:hAnsi="微软雅黑" w:eastAsia="仿宋_GB2312" w:cs="仿宋_GB2312"/>
          <w:color w:val="000000" w:themeColor="text1"/>
          <w:sz w:val="31"/>
          <w:szCs w:val="31"/>
          <w:highlight w:val="none"/>
          <w:shd w:val="clear" w:color="auto" w:fill="FFFFFF"/>
          <w:lang w:eastAsia="zh-CN"/>
          <w14:textFill>
            <w14:solidFill>
              <w14:schemeClr w14:val="tx1"/>
            </w14:solidFill>
          </w14:textFill>
        </w:rPr>
        <w:t>，</w:t>
      </w:r>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主要包括：</w:t>
      </w:r>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工</w:t>
      </w:r>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会经费。</w:t>
      </w:r>
    </w:p>
    <w:p w14:paraId="58FD35DD">
      <w:pPr>
        <w:spacing w:line="560" w:lineRule="exact"/>
        <w:ind w:firstLine="620" w:firstLineChars="200"/>
        <w:rPr>
          <w:rFonts w:hint="eastAsia" w:ascii="黑体" w:hAnsi="黑体" w:eastAsia="黑体" w:cs="Times New Roman"/>
          <w:color w:val="000000" w:themeColor="text1"/>
          <w:sz w:val="32"/>
          <w:highlight w:val="none"/>
          <w:u w:val="none"/>
          <w:shd w:val="clear" w:color="auto" w:fill="FFFFFF"/>
          <w14:textFill>
            <w14:solidFill>
              <w14:schemeClr w14:val="tx1"/>
            </w14:solidFill>
          </w14:textFill>
        </w:rPr>
      </w:pPr>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对个人和家庭的补助</w:t>
      </w:r>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0.01元，</w:t>
      </w:r>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主要包括：</w:t>
      </w:r>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奖励金</w:t>
      </w:r>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w:t>
      </w:r>
    </w:p>
    <w:p w14:paraId="31006210">
      <w:pPr>
        <w:spacing w:line="560" w:lineRule="exact"/>
        <w:ind w:firstLine="640" w:firstLineChars="200"/>
        <w:rPr>
          <w:rFonts w:ascii="黑体" w:hAnsi="黑体" w:eastAsia="黑体" w:cs="Times New Roman"/>
          <w:color w:val="000000" w:themeColor="text1"/>
          <w:sz w:val="32"/>
          <w:highlight w:val="none"/>
          <w:u w:val="none"/>
          <w:shd w:val="clear" w:color="auto" w:fill="FFFFFF"/>
          <w14:textFill>
            <w14:solidFill>
              <w14:schemeClr w14:val="tx1"/>
            </w14:solidFill>
          </w14:textFill>
        </w:rPr>
      </w:pPr>
      <w:r>
        <w:rPr>
          <w:rFonts w:hint="eastAsia" w:ascii="黑体" w:hAnsi="黑体" w:eastAsia="黑体" w:cs="Times New Roman"/>
          <w:color w:val="000000" w:themeColor="text1"/>
          <w:sz w:val="32"/>
          <w:highlight w:val="none"/>
          <w:u w:val="none"/>
          <w:shd w:val="clear" w:color="auto" w:fill="FFFFFF"/>
          <w14:textFill>
            <w14:solidFill>
              <w14:schemeClr w14:val="tx1"/>
            </w14:solidFill>
          </w14:textFill>
        </w:rPr>
        <w:t>四、</w:t>
      </w:r>
      <w:r>
        <w:rPr>
          <w:rFonts w:ascii="黑体" w:hAnsi="黑体" w:eastAsia="黑体" w:cs="Times New Roman"/>
          <w:color w:val="000000" w:themeColor="text1"/>
          <w:sz w:val="32"/>
          <w:highlight w:val="none"/>
          <w:u w:val="none"/>
          <w:shd w:val="clear" w:color="auto" w:fill="FFFFFF"/>
          <w14:textFill>
            <w14:solidFill>
              <w14:schemeClr w14:val="tx1"/>
            </w14:solidFill>
          </w14:textFill>
        </w:rPr>
        <w:t>“三公”经费预算情况</w:t>
      </w:r>
      <w:r>
        <w:rPr>
          <w:rFonts w:hint="eastAsia" w:ascii="黑体" w:hAnsi="黑体" w:eastAsia="黑体" w:cs="Times New Roman"/>
          <w:color w:val="000000" w:themeColor="text1"/>
          <w:sz w:val="32"/>
          <w:highlight w:val="none"/>
          <w:u w:val="none"/>
          <w:shd w:val="clear" w:color="auto" w:fill="FFFFFF"/>
          <w14:textFill>
            <w14:solidFill>
              <w14:schemeClr w14:val="tx1"/>
            </w14:solidFill>
          </w14:textFill>
        </w:rPr>
        <w:t>说明</w:t>
      </w:r>
    </w:p>
    <w:p w14:paraId="28F6468E">
      <w:pPr>
        <w:spacing w:line="560" w:lineRule="exact"/>
        <w:ind w:firstLine="620" w:firstLineChars="200"/>
        <w:rPr>
          <w:rFonts w:hint="eastAsia" w:ascii="仿宋_GB2312" w:hAnsi="仿宋_GB2312" w:eastAsia="仿宋_GB2312" w:cs="仿宋_GB2312"/>
          <w:color w:val="000000" w:themeColor="text1"/>
          <w:sz w:val="32"/>
          <w:szCs w:val="32"/>
          <w:highlight w:val="none"/>
          <w:u w:val="none"/>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年“三公”经费预算</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288000.00</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元，</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其中：</w:t>
      </w:r>
    </w:p>
    <w:p w14:paraId="2CB8BE54">
      <w:pPr>
        <w:spacing w:line="560" w:lineRule="exact"/>
        <w:ind w:firstLine="630"/>
        <w:rPr>
          <w:rFonts w:hint="eastAsia" w:ascii="仿宋_GB2312" w:hAnsi="仿宋_GB2312" w:eastAsia="仿宋_GB2312" w:cs="仿宋_GB2312"/>
          <w:color w:val="000000" w:themeColor="text1"/>
          <w:sz w:val="32"/>
          <w:highlight w:val="none"/>
          <w:u w:val="none"/>
          <w:shd w:val="clear" w:color="auto" w:fill="FFFFFF"/>
          <w:lang w:eastAsia="zh-CN"/>
          <w14:textFill>
            <w14:solidFill>
              <w14:schemeClr w14:val="tx1"/>
            </w14:solidFill>
          </w14:textFill>
        </w:rPr>
      </w:pPr>
      <w:r>
        <w:rPr>
          <w:rFonts w:hint="eastAsia" w:ascii="仿宋_GB2312" w:hAnsi="仿宋_GB2312" w:eastAsia="仿宋_GB2312" w:cs="仿宋_GB2312"/>
          <w:color w:val="000000" w:themeColor="text1"/>
          <w:sz w:val="32"/>
          <w:highlight w:val="none"/>
          <w:u w:val="none"/>
          <w:shd w:val="clear" w:color="auto" w:fill="FFFFFF"/>
          <w14:textFill>
            <w14:solidFill>
              <w14:schemeClr w14:val="tx1"/>
            </w14:solidFill>
          </w14:textFill>
        </w:rPr>
        <w:t>公务用车购置及运行费</w:t>
      </w: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288000.00</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元（其中，</w:t>
      </w:r>
      <w:r>
        <w:rPr>
          <w:rFonts w:hint="eastAsia" w:ascii="仿宋_GB2312" w:hAnsi="仿宋_GB2312" w:eastAsia="仿宋_GB2312" w:cs="仿宋_GB2312"/>
          <w:color w:val="000000" w:themeColor="text1"/>
          <w:sz w:val="32"/>
          <w:highlight w:val="none"/>
          <w:u w:val="none"/>
          <w:shd w:val="clear" w:color="auto" w:fill="FFFFFF"/>
          <w14:textFill>
            <w14:solidFill>
              <w14:schemeClr w14:val="tx1"/>
            </w14:solidFill>
          </w14:textFill>
        </w:rPr>
        <w:t>公务用车购置费</w:t>
      </w: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元</w:t>
      </w:r>
      <w:r>
        <w:rPr>
          <w:rFonts w:hint="eastAsia" w:ascii="仿宋_GB2312" w:hAnsi="仿宋_GB2312" w:eastAsia="仿宋_GB2312" w:cs="仿宋_GB2312"/>
          <w:color w:val="000000" w:themeColor="text1"/>
          <w:sz w:val="32"/>
          <w:highlight w:val="none"/>
          <w:u w:val="none"/>
          <w:shd w:val="clear" w:color="auto" w:fill="FFFFFF"/>
          <w14:textFill>
            <w14:solidFill>
              <w14:schemeClr w14:val="tx1"/>
            </w14:solidFill>
          </w14:textFill>
        </w:rPr>
        <w:t>，公务用车运行费</w:t>
      </w: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288000.00</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元）</w:t>
      </w:r>
      <w:r>
        <w:rPr>
          <w:rFonts w:hint="eastAsia" w:ascii="仿宋_GB2312" w:hAnsi="仿宋_GB2312" w:eastAsia="仿宋_GB2312" w:cs="仿宋_GB2312"/>
          <w:color w:val="000000" w:themeColor="text1"/>
          <w:sz w:val="32"/>
          <w:highlight w:val="none"/>
          <w:u w:val="none"/>
          <w:shd w:val="clear" w:color="auto" w:fill="FFFFFF"/>
          <w14:textFill>
            <w14:solidFill>
              <w14:schemeClr w14:val="tx1"/>
            </w14:solidFill>
          </w14:textFill>
        </w:rPr>
        <w:t>，与上年预算增长</w:t>
      </w: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highlight w:val="none"/>
          <w:u w:val="none"/>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highlight w:val="none"/>
          <w:u w:val="none"/>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highlight w:val="none"/>
          <w:u w:val="none"/>
          <w14:textFill>
            <w14:solidFill>
              <w14:schemeClr w14:val="tx1"/>
            </w14:solidFill>
          </w14:textFill>
        </w:rPr>
        <w:t>增长的</w:t>
      </w:r>
      <w:r>
        <w:rPr>
          <w:rFonts w:hint="eastAsia" w:ascii="仿宋_GB2312" w:hAnsi="仿宋_GB2312" w:eastAsia="仿宋_GB2312" w:cs="仿宋_GB2312"/>
          <w:color w:val="000000" w:themeColor="text1"/>
          <w:sz w:val="32"/>
          <w:highlight w:val="none"/>
          <w:u w:val="none"/>
          <w:shd w:val="clear" w:color="auto" w:fill="FFFFFF"/>
          <w14:textFill>
            <w14:solidFill>
              <w14:schemeClr w14:val="tx1"/>
            </w14:solidFill>
          </w14:textFill>
        </w:rPr>
        <w:t>主要原因包括：</w:t>
      </w:r>
      <w:r>
        <w:rPr>
          <w:rFonts w:hint="eastAsia" w:ascii="仿宋_GB2312" w:hAnsi="仿宋_GB2312" w:eastAsia="仿宋_GB2312" w:cs="仿宋_GB2312"/>
          <w:color w:val="000000" w:themeColor="text1"/>
          <w:sz w:val="32"/>
          <w:highlight w:val="none"/>
          <w:u w:val="none"/>
          <w:shd w:val="clear" w:color="auto" w:fill="FFFFFF"/>
          <w:lang w:eastAsia="zh-CN"/>
          <w14:textFill>
            <w14:solidFill>
              <w14:schemeClr w14:val="tx1"/>
            </w14:solidFill>
          </w14:textFill>
        </w:rPr>
        <w:t>上年未将幼儿校车租赁费纳入“三公”经费预算。</w:t>
      </w:r>
    </w:p>
    <w:p w14:paraId="054B58B8">
      <w:pPr>
        <w:numPr>
          <w:ilvl w:val="0"/>
          <w:numId w:val="4"/>
        </w:numPr>
        <w:spacing w:line="560" w:lineRule="exact"/>
        <w:ind w:firstLine="640" w:firstLineChars="200"/>
        <w:rPr>
          <w:rFonts w:hint="eastAsia" w:ascii="方正仿宋_GBK" w:hAnsi="方正仿宋_GBK" w:eastAsia="方正仿宋_GBK" w:cs="方正仿宋_GBK"/>
          <w:color w:val="000000" w:themeColor="text1"/>
          <w:sz w:val="32"/>
          <w:szCs w:val="32"/>
          <w:highlight w:val="none"/>
          <w:u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u w:val="none"/>
          <w:lang w:val="en-US" w:eastAsia="zh-CN"/>
          <w14:textFill>
            <w14:solidFill>
              <w14:schemeClr w14:val="tx1"/>
            </w14:solidFill>
          </w14:textFill>
        </w:rPr>
        <w:t>儋州市西流中心幼儿园</w:t>
      </w:r>
      <w:r>
        <w:rPr>
          <w:rFonts w:hint="eastAsia" w:ascii="方正仿宋_GBK" w:hAnsi="方正仿宋_GBK" w:eastAsia="方正仿宋_GBK" w:cs="方正仿宋_GBK"/>
          <w:color w:val="000000" w:themeColor="text1"/>
          <w:sz w:val="32"/>
          <w:szCs w:val="32"/>
          <w:highlight w:val="none"/>
          <w:u w:val="none"/>
          <w:lang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highlight w:val="none"/>
          <w:u w:val="none"/>
          <w:lang w:val="en-US" w:eastAsia="zh-CN"/>
          <w14:textFill>
            <w14:solidFill>
              <w14:schemeClr w14:val="tx1"/>
            </w14:solidFill>
          </w14:textFill>
        </w:rPr>
        <w:t>026</w:t>
      </w:r>
      <w:r>
        <w:rPr>
          <w:rFonts w:hint="eastAsia" w:ascii="方正仿宋_GBK" w:hAnsi="方正仿宋_GBK" w:eastAsia="方正仿宋_GBK" w:cs="方正仿宋_GBK"/>
          <w:color w:val="000000" w:themeColor="text1"/>
          <w:sz w:val="32"/>
          <w:szCs w:val="32"/>
          <w:highlight w:val="none"/>
          <w:u w:val="none"/>
          <w14:textFill>
            <w14:solidFill>
              <w14:schemeClr w14:val="tx1"/>
            </w14:solidFill>
          </w14:textFill>
        </w:rPr>
        <w:t>年</w:t>
      </w:r>
      <w:r>
        <w:rPr>
          <w:rFonts w:hint="eastAsia" w:ascii="方正仿宋_GBK" w:hAnsi="方正仿宋_GBK" w:eastAsia="方正仿宋_GBK" w:cs="方正仿宋_GBK"/>
          <w:color w:val="000000" w:themeColor="text1"/>
          <w:sz w:val="32"/>
          <w:szCs w:val="32"/>
          <w:highlight w:val="none"/>
          <w:u w:val="none"/>
          <w:lang w:val="en-US" w:eastAsia="zh-CN"/>
          <w14:textFill>
            <w14:solidFill>
              <w14:schemeClr w14:val="tx1"/>
            </w14:solidFill>
          </w14:textFill>
        </w:rPr>
        <w:t>无</w:t>
      </w:r>
      <w:r>
        <w:rPr>
          <w:rFonts w:hint="eastAsia" w:ascii="方正仿宋_GBK" w:hAnsi="方正仿宋_GBK" w:eastAsia="方正仿宋_GBK" w:cs="方正仿宋_GBK"/>
          <w:color w:val="000000" w:themeColor="text1"/>
          <w:sz w:val="32"/>
          <w:szCs w:val="32"/>
          <w:highlight w:val="none"/>
          <w:u w:val="none"/>
          <w14:textFill>
            <w14:solidFill>
              <w14:schemeClr w14:val="tx1"/>
            </w14:solidFill>
          </w14:textFill>
        </w:rPr>
        <w:t>政府性基金预算“三公”经费预算</w:t>
      </w:r>
      <w:r>
        <w:rPr>
          <w:rFonts w:hint="eastAsia" w:ascii="方正仿宋_GBK" w:hAnsi="方正仿宋_GBK" w:eastAsia="方正仿宋_GBK" w:cs="方正仿宋_GBK"/>
          <w:color w:val="000000" w:themeColor="text1"/>
          <w:sz w:val="32"/>
          <w:szCs w:val="32"/>
          <w:highlight w:val="none"/>
          <w:u w:val="none"/>
          <w:lang w:eastAsia="zh-CN"/>
          <w14:textFill>
            <w14:solidFill>
              <w14:schemeClr w14:val="tx1"/>
            </w14:solidFill>
          </w14:textFill>
        </w:rPr>
        <w:t>。</w:t>
      </w:r>
    </w:p>
    <w:p w14:paraId="48F3B169">
      <w:pPr>
        <w:spacing w:line="560" w:lineRule="exact"/>
        <w:ind w:firstLine="640" w:firstLineChars="200"/>
        <w:rPr>
          <w:rFonts w:ascii="黑体" w:hAnsi="黑体" w:eastAsia="黑体" w:cs="Times New Roman"/>
          <w:color w:val="000000" w:themeColor="text1"/>
          <w:sz w:val="32"/>
          <w:highlight w:val="none"/>
          <w:u w:val="none"/>
          <w:shd w:val="clear" w:color="auto" w:fill="FFFFFF"/>
          <w14:textFill>
            <w14:solidFill>
              <w14:schemeClr w14:val="tx1"/>
            </w14:solidFill>
          </w14:textFill>
        </w:rPr>
      </w:pPr>
      <w:r>
        <w:rPr>
          <w:rFonts w:hint="eastAsia" w:ascii="黑体" w:hAnsi="黑体" w:eastAsia="黑体" w:cs="Times New Roman"/>
          <w:color w:val="000000" w:themeColor="text1"/>
          <w:sz w:val="32"/>
          <w:highlight w:val="none"/>
          <w:u w:val="none"/>
          <w:shd w:val="clear" w:color="auto" w:fill="FFFFFF"/>
          <w14:textFill>
            <w14:solidFill>
              <w14:schemeClr w14:val="tx1"/>
            </w14:solidFill>
          </w14:textFill>
        </w:rPr>
        <w:t>五、政府性基金预算当年拨款情况说明</w:t>
      </w:r>
    </w:p>
    <w:p w14:paraId="5C743A72">
      <w:pPr>
        <w:spacing w:line="560" w:lineRule="exact"/>
        <w:ind w:firstLine="640"/>
        <w:jc w:val="left"/>
        <w:rPr>
          <w:rFonts w:ascii="楷体" w:hAnsi="楷体" w:eastAsia="楷体"/>
          <w:color w:val="000000" w:themeColor="text1"/>
          <w:sz w:val="32"/>
          <w:szCs w:val="32"/>
          <w:highlight w:val="none"/>
          <w:u w:val="none"/>
          <w14:textFill>
            <w14:solidFill>
              <w14:schemeClr w14:val="tx1"/>
            </w14:solidFill>
          </w14:textFill>
        </w:rPr>
      </w:pPr>
      <w:r>
        <w:rPr>
          <w:rFonts w:hint="eastAsia" w:ascii="楷体" w:hAnsi="楷体" w:eastAsia="楷体"/>
          <w:color w:val="000000" w:themeColor="text1"/>
          <w:sz w:val="32"/>
          <w:szCs w:val="32"/>
          <w:highlight w:val="none"/>
          <w:u w:val="none"/>
          <w14:textFill>
            <w14:solidFill>
              <w14:schemeClr w14:val="tx1"/>
            </w14:solidFill>
          </w14:textFill>
        </w:rPr>
        <w:t>（一）政府性基金预算当年规模变化情况</w:t>
      </w:r>
    </w:p>
    <w:p w14:paraId="1E2DCB54">
      <w:pPr>
        <w:spacing w:line="560" w:lineRule="exact"/>
        <w:ind w:firstLine="620" w:firstLineChars="200"/>
        <w:rPr>
          <w:rFonts w:ascii="仿宋_GB2312" w:hAnsi="黑体" w:eastAsia="仿宋_GB2312"/>
          <w:color w:val="000000" w:themeColor="text1"/>
          <w:sz w:val="32"/>
          <w:szCs w:val="32"/>
          <w:highlight w:val="none"/>
          <w:u w:val="none"/>
          <w14:textFill>
            <w14:solidFill>
              <w14:schemeClr w14:val="tx1"/>
            </w14:solidFill>
          </w14:textFill>
        </w:rPr>
      </w:pPr>
      <w:r>
        <w:rPr>
          <w:rFonts w:ascii="仿宋_GB2312" w:eastAsia="仿宋_GB2312" w:cs="仿宋_GB2312"/>
          <w:color w:val="000000" w:themeColor="text1"/>
          <w:sz w:val="31"/>
          <w:szCs w:val="31"/>
          <w:highlight w:val="none"/>
          <w:shd w:val="clear" w:color="auto" w:fill="FFFFFF"/>
          <w14:textFill>
            <w14:solidFill>
              <w14:schemeClr w14:val="tx1"/>
            </w14:solidFill>
          </w14:textFill>
        </w:rPr>
        <w:t>儋州市西流中心幼儿园无政府性基金预算</w:t>
      </w:r>
      <w:r>
        <w:rPr>
          <w:rFonts w:hint="eastAsia" w:ascii="仿宋_GB2312" w:eastAsia="仿宋_GB2312" w:cs="仿宋_GB2312"/>
          <w:color w:val="000000" w:themeColor="text1"/>
          <w:sz w:val="31"/>
          <w:szCs w:val="31"/>
          <w:highlight w:val="none"/>
          <w:shd w:val="clear" w:color="auto" w:fill="FFFFFF"/>
          <w:lang w:eastAsia="zh-CN"/>
          <w14:textFill>
            <w14:solidFill>
              <w14:schemeClr w14:val="tx1"/>
            </w14:solidFill>
          </w14:textFill>
        </w:rPr>
        <w:t>。</w:t>
      </w:r>
    </w:p>
    <w:p w14:paraId="508AF67A">
      <w:pPr>
        <w:spacing w:line="560" w:lineRule="exact"/>
        <w:ind w:firstLine="640"/>
        <w:jc w:val="left"/>
        <w:rPr>
          <w:rFonts w:ascii="楷体" w:hAnsi="楷体" w:eastAsia="楷体"/>
          <w:color w:val="000000" w:themeColor="text1"/>
          <w:sz w:val="32"/>
          <w:szCs w:val="32"/>
          <w:highlight w:val="none"/>
          <w:u w:val="none"/>
          <w14:textFill>
            <w14:solidFill>
              <w14:schemeClr w14:val="tx1"/>
            </w14:solidFill>
          </w14:textFill>
        </w:rPr>
      </w:pPr>
      <w:r>
        <w:rPr>
          <w:rFonts w:hint="eastAsia" w:ascii="楷体" w:hAnsi="楷体" w:eastAsia="楷体"/>
          <w:color w:val="000000" w:themeColor="text1"/>
          <w:sz w:val="32"/>
          <w:szCs w:val="32"/>
          <w:highlight w:val="none"/>
          <w:u w:val="none"/>
          <w14:textFill>
            <w14:solidFill>
              <w14:schemeClr w14:val="tx1"/>
            </w14:solidFill>
          </w14:textFill>
        </w:rPr>
        <w:t>（二）政府性基金预算当年拨款结构情况</w:t>
      </w:r>
    </w:p>
    <w:p w14:paraId="05F4EAD9">
      <w:pPr>
        <w:spacing w:line="560" w:lineRule="exact"/>
        <w:ind w:firstLine="640"/>
        <w:jc w:val="left"/>
        <w:rPr>
          <w:rFonts w:hint="eastAsia" w:ascii="楷体" w:hAnsi="楷体" w:eastAsia="楷体"/>
          <w:color w:val="000000" w:themeColor="text1"/>
          <w:sz w:val="32"/>
          <w:szCs w:val="32"/>
          <w:highlight w:val="none"/>
          <w:u w:val="none"/>
          <w14:textFill>
            <w14:solidFill>
              <w14:schemeClr w14:val="tx1"/>
            </w14:solidFill>
          </w14:textFill>
        </w:rPr>
      </w:pPr>
      <w:r>
        <w:rPr>
          <w:rFonts w:ascii="仿宋_GB2312" w:eastAsia="仿宋_GB2312" w:cs="仿宋_GB2312"/>
          <w:color w:val="000000" w:themeColor="text1"/>
          <w:sz w:val="31"/>
          <w:szCs w:val="31"/>
          <w:highlight w:val="none"/>
          <w:shd w:val="clear" w:color="auto" w:fill="FFFFFF"/>
          <w14:textFill>
            <w14:solidFill>
              <w14:schemeClr w14:val="tx1"/>
            </w14:solidFill>
          </w14:textFill>
        </w:rPr>
        <w:t>儋州市西流中心幼儿园无政府性基金预算</w:t>
      </w:r>
      <w:r>
        <w:rPr>
          <w:rFonts w:hint="eastAsia" w:ascii="仿宋_GB2312" w:eastAsia="仿宋_GB2312" w:cs="仿宋_GB2312"/>
          <w:color w:val="000000" w:themeColor="text1"/>
          <w:sz w:val="31"/>
          <w:szCs w:val="31"/>
          <w:highlight w:val="none"/>
          <w:shd w:val="clear" w:color="auto" w:fill="FFFFFF"/>
          <w:lang w:eastAsia="zh-CN"/>
          <w14:textFill>
            <w14:solidFill>
              <w14:schemeClr w14:val="tx1"/>
            </w14:solidFill>
          </w14:textFill>
        </w:rPr>
        <w:t>。</w:t>
      </w:r>
    </w:p>
    <w:p w14:paraId="438BB537">
      <w:pPr>
        <w:numPr>
          <w:ilvl w:val="0"/>
          <w:numId w:val="5"/>
        </w:numPr>
        <w:spacing w:line="560" w:lineRule="exact"/>
        <w:ind w:firstLine="640"/>
        <w:jc w:val="left"/>
        <w:rPr>
          <w:rFonts w:hint="eastAsia" w:ascii="楷体" w:hAnsi="楷体" w:eastAsia="楷体"/>
          <w:color w:val="000000" w:themeColor="text1"/>
          <w:sz w:val="32"/>
          <w:szCs w:val="32"/>
          <w:highlight w:val="none"/>
          <w:u w:val="none"/>
          <w14:textFill>
            <w14:solidFill>
              <w14:schemeClr w14:val="tx1"/>
            </w14:solidFill>
          </w14:textFill>
        </w:rPr>
      </w:pPr>
      <w:r>
        <w:rPr>
          <w:rFonts w:hint="eastAsia" w:ascii="楷体" w:hAnsi="楷体" w:eastAsia="楷体"/>
          <w:color w:val="000000" w:themeColor="text1"/>
          <w:sz w:val="32"/>
          <w:szCs w:val="32"/>
          <w:highlight w:val="none"/>
          <w:u w:val="none"/>
          <w14:textFill>
            <w14:solidFill>
              <w14:schemeClr w14:val="tx1"/>
            </w14:solidFill>
          </w14:textFill>
        </w:rPr>
        <w:t>政府性基金预算当年拨款具体使用情况</w:t>
      </w:r>
    </w:p>
    <w:p w14:paraId="4FE06BE9">
      <w:pPr>
        <w:numPr>
          <w:ilvl w:val="-1"/>
          <w:numId w:val="0"/>
        </w:numPr>
        <w:spacing w:line="560" w:lineRule="exact"/>
        <w:ind w:firstLine="640" w:firstLineChars="0"/>
        <w:jc w:val="left"/>
        <w:rPr>
          <w:rFonts w:hint="eastAsia" w:ascii="黑体" w:hAnsi="黑体" w:eastAsia="黑体" w:cs="Times New Roman"/>
          <w:color w:val="000000" w:themeColor="text1"/>
          <w:sz w:val="32"/>
          <w:highlight w:val="none"/>
          <w:u w:val="none"/>
          <w:shd w:val="clear" w:color="auto" w:fill="FFFFFF"/>
          <w:lang w:eastAsia="zh-CN"/>
          <w14:textFill>
            <w14:solidFill>
              <w14:schemeClr w14:val="tx1"/>
            </w14:solidFill>
          </w14:textFill>
        </w:rPr>
      </w:pPr>
      <w:r>
        <w:rPr>
          <w:rFonts w:ascii="仿宋_GB2312" w:eastAsia="仿宋_GB2312" w:cs="仿宋_GB2312"/>
          <w:color w:val="000000" w:themeColor="text1"/>
          <w:sz w:val="31"/>
          <w:szCs w:val="31"/>
          <w:highlight w:val="none"/>
          <w:shd w:val="clear" w:color="auto" w:fill="FFFFFF"/>
          <w14:textFill>
            <w14:solidFill>
              <w14:schemeClr w14:val="tx1"/>
            </w14:solidFill>
          </w14:textFill>
        </w:rPr>
        <w:t>儋州市西流中心幼儿园无政府性基金预算</w:t>
      </w:r>
      <w:r>
        <w:rPr>
          <w:rFonts w:hint="eastAsia" w:ascii="仿宋_GB2312" w:eastAsia="仿宋_GB2312" w:cs="仿宋_GB2312"/>
          <w:color w:val="000000" w:themeColor="text1"/>
          <w:sz w:val="31"/>
          <w:szCs w:val="31"/>
          <w:highlight w:val="none"/>
          <w:shd w:val="clear" w:color="auto" w:fill="FFFFFF"/>
          <w:lang w:eastAsia="zh-CN"/>
          <w14:textFill>
            <w14:solidFill>
              <w14:schemeClr w14:val="tx1"/>
            </w14:solidFill>
          </w14:textFill>
        </w:rPr>
        <w:t>。</w:t>
      </w:r>
    </w:p>
    <w:p w14:paraId="59FD4FD7">
      <w:pPr>
        <w:numPr>
          <w:ilvl w:val="0"/>
          <w:numId w:val="6"/>
        </w:numPr>
        <w:spacing w:line="560" w:lineRule="exact"/>
        <w:ind w:firstLine="640" w:firstLineChars="200"/>
        <w:rPr>
          <w:rFonts w:hint="eastAsia" w:ascii="黑体" w:hAnsi="黑体" w:eastAsia="黑体" w:cs="Times New Roman"/>
          <w:color w:val="000000" w:themeColor="text1"/>
          <w:sz w:val="32"/>
          <w:highlight w:val="none"/>
          <w:u w:val="none"/>
          <w:shd w:val="clear" w:color="auto" w:fill="FFFFFF"/>
          <w:lang w:eastAsia="zh-CN"/>
          <w14:textFill>
            <w14:solidFill>
              <w14:schemeClr w14:val="tx1"/>
            </w14:solidFill>
          </w14:textFill>
        </w:rPr>
      </w:pPr>
      <w:r>
        <w:rPr>
          <w:rFonts w:hint="eastAsia" w:ascii="黑体" w:hAnsi="黑体" w:eastAsia="黑体" w:cs="Times New Roman"/>
          <w:color w:val="000000" w:themeColor="text1"/>
          <w:sz w:val="32"/>
          <w:highlight w:val="none"/>
          <w:u w:val="none"/>
          <w:shd w:val="clear" w:color="auto" w:fill="FFFFFF"/>
          <w:lang w:eastAsia="zh-CN"/>
          <w14:textFill>
            <w14:solidFill>
              <w14:schemeClr w14:val="tx1"/>
            </w14:solidFill>
          </w14:textFill>
        </w:rPr>
        <w:t>国有资本经营预算当年拨款情况说明</w:t>
      </w:r>
    </w:p>
    <w:p w14:paraId="2D225060">
      <w:pPr>
        <w:numPr>
          <w:ilvl w:val="0"/>
          <w:numId w:val="0"/>
        </w:numPr>
        <w:spacing w:line="560" w:lineRule="exact"/>
        <w:ind w:firstLine="640" w:firstLineChars="200"/>
        <w:rPr>
          <w:rFonts w:hint="default" w:ascii="仿宋_GB2312" w:hAnsi="仿宋_GB2312"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highlight w:val="none"/>
          <w:u w:val="none"/>
          <w:shd w:val="clear" w:color="auto" w:fill="FFFFFF"/>
          <w:lang w:eastAsia="zh-CN"/>
          <w14:textFill>
            <w14:solidFill>
              <w14:schemeClr w14:val="tx1"/>
            </w14:solidFill>
          </w14:textFill>
        </w:rPr>
        <w:t>儋州市</w:t>
      </w:r>
      <w:r>
        <w:rPr>
          <w:rFonts w:hint="eastAsia" w:ascii="仿宋_GB2312" w:hAnsi="仿宋_GB2312" w:eastAsia="仿宋_GB2312" w:cs="仿宋_GB2312"/>
          <w:color w:val="000000" w:themeColor="text1"/>
          <w:sz w:val="32"/>
          <w:highlight w:val="none"/>
          <w:u w:val="none"/>
          <w:shd w:val="clear" w:color="auto" w:fill="FFFFFF"/>
          <w:lang w:val="en-US" w:eastAsia="zh-CN"/>
          <w14:textFill>
            <w14:solidFill>
              <w14:schemeClr w14:val="tx1"/>
            </w14:solidFill>
          </w14:textFill>
        </w:rPr>
        <w:t>西流</w:t>
      </w:r>
      <w:r>
        <w:rPr>
          <w:rFonts w:hint="eastAsia" w:ascii="仿宋_GB2312" w:hAnsi="仿宋_GB2312" w:eastAsia="仿宋_GB2312" w:cs="仿宋_GB2312"/>
          <w:color w:val="000000" w:themeColor="text1"/>
          <w:sz w:val="32"/>
          <w:highlight w:val="none"/>
          <w:u w:val="none"/>
          <w:shd w:val="clear" w:color="auto" w:fill="FFFFFF"/>
          <w:lang w:eastAsia="zh-CN"/>
          <w14:textFill>
            <w14:solidFill>
              <w14:schemeClr w14:val="tx1"/>
            </w14:solidFill>
          </w14:textFill>
        </w:rPr>
        <w:t>中心幼儿园</w:t>
      </w:r>
      <w:r>
        <w:rPr>
          <w:rFonts w:hint="eastAsia" w:ascii="仿宋_GB2312" w:hAnsi="仿宋_GB2312" w:eastAsia="仿宋_GB2312" w:cs="仿宋_GB2312"/>
          <w:color w:val="000000" w:themeColor="text1"/>
          <w:sz w:val="32"/>
          <w:highlight w:val="none"/>
          <w:u w:val="none"/>
          <w:shd w:val="clear" w:color="auto" w:fill="FFFFFF"/>
          <w:lang w:val="en-US" w:eastAsia="zh-CN"/>
          <w14:textFill>
            <w14:solidFill>
              <w14:schemeClr w14:val="tx1"/>
            </w14:solidFill>
          </w14:textFill>
        </w:rPr>
        <w:t>2026年没有国有资本经营</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预算</w:t>
      </w:r>
      <w:r>
        <w:rPr>
          <w:rFonts w:hint="eastAsia" w:ascii="仿宋_GB2312" w:hAnsi="仿宋_GB2312" w:eastAsia="仿宋_GB2312" w:cs="仿宋_GB2312"/>
          <w:color w:val="000000" w:themeColor="text1"/>
          <w:sz w:val="32"/>
          <w:szCs w:val="32"/>
          <w:highlight w:val="none"/>
          <w:u w:val="none"/>
          <w:lang w:eastAsia="zh-CN"/>
          <w14:textFill>
            <w14:solidFill>
              <w14:schemeClr w14:val="tx1"/>
            </w14:solidFill>
          </w14:textFill>
        </w:rPr>
        <w:t>。</w:t>
      </w:r>
    </w:p>
    <w:p w14:paraId="20F04752">
      <w:pPr>
        <w:spacing w:line="560" w:lineRule="exact"/>
        <w:ind w:firstLine="640" w:firstLineChars="200"/>
        <w:rPr>
          <w:rFonts w:ascii="黑体" w:hAnsi="黑体" w:eastAsia="黑体" w:cs="Times New Roman"/>
          <w:color w:val="000000" w:themeColor="text1"/>
          <w:sz w:val="32"/>
          <w:highlight w:val="none"/>
          <w:u w:val="none"/>
          <w:shd w:val="clear" w:color="auto" w:fill="FFFFFF"/>
          <w14:textFill>
            <w14:solidFill>
              <w14:schemeClr w14:val="tx1"/>
            </w14:solidFill>
          </w14:textFill>
        </w:rPr>
      </w:pPr>
      <w:r>
        <w:rPr>
          <w:rFonts w:hint="eastAsia" w:ascii="黑体" w:hAnsi="黑体" w:eastAsia="黑体" w:cs="Times New Roman"/>
          <w:color w:val="000000" w:themeColor="text1"/>
          <w:sz w:val="32"/>
          <w:highlight w:val="none"/>
          <w:u w:val="none"/>
          <w:shd w:val="clear" w:color="auto" w:fill="FFFFFF"/>
          <w:lang w:eastAsia="zh-CN"/>
          <w14:textFill>
            <w14:solidFill>
              <w14:schemeClr w14:val="tx1"/>
            </w14:solidFill>
          </w14:textFill>
        </w:rPr>
        <w:t>七、</w:t>
      </w:r>
      <w:r>
        <w:rPr>
          <w:rFonts w:hint="eastAsia" w:ascii="黑体" w:hAnsi="黑体" w:eastAsia="黑体" w:cs="Times New Roman"/>
          <w:color w:val="000000" w:themeColor="text1"/>
          <w:sz w:val="32"/>
          <w:highlight w:val="none"/>
          <w:u w:val="none"/>
          <w:shd w:val="clear" w:color="auto" w:fill="FFFFFF"/>
          <w14:textFill>
            <w14:solidFill>
              <w14:schemeClr w14:val="tx1"/>
            </w14:solidFill>
          </w14:textFill>
        </w:rPr>
        <w:t>收支预算总体情况说明</w:t>
      </w:r>
    </w:p>
    <w:p w14:paraId="59373249">
      <w:pPr>
        <w:spacing w:line="560" w:lineRule="exact"/>
        <w:ind w:firstLine="620" w:firstLineChars="200"/>
        <w:rPr>
          <w:rFonts w:hint="eastAsia" w:ascii="黑体" w:hAnsi="黑体" w:eastAsia="黑体" w:cs="Times New Roman"/>
          <w:color w:val="000000" w:themeColor="text1"/>
          <w:sz w:val="32"/>
          <w:highlight w:val="none"/>
          <w:u w:val="none"/>
          <w:shd w:val="clear" w:color="auto" w:fill="FFFFFF"/>
          <w:lang w:eastAsia="zh-CN"/>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按照综合预算原则，儋州市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所有收入和支出均纳入部门预算管理。收入包括：一般公共预算收入</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3000372.28</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事业单位经营</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收入</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0</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，上年结转46492.85元；</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支出包括：教育支出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2708089.88</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元、社会保障和就业支出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150764.16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元、卫生健康支出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103698.54</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元、住房保障支出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84312.55</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，结转下年0元。</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年收支总预</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算3046865.13</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p>
    <w:p w14:paraId="202F1514">
      <w:pPr>
        <w:spacing w:line="560" w:lineRule="exact"/>
        <w:ind w:firstLine="640" w:firstLineChars="200"/>
        <w:rPr>
          <w:rFonts w:ascii="黑体" w:hAnsi="黑体" w:eastAsia="黑体" w:cs="Times New Roman"/>
          <w:color w:val="000000" w:themeColor="text1"/>
          <w:sz w:val="32"/>
          <w:highlight w:val="none"/>
          <w:u w:val="none"/>
          <w:shd w:val="clear" w:color="auto" w:fill="FFFFFF"/>
          <w14:textFill>
            <w14:solidFill>
              <w14:schemeClr w14:val="tx1"/>
            </w14:solidFill>
          </w14:textFill>
        </w:rPr>
      </w:pPr>
      <w:r>
        <w:rPr>
          <w:rFonts w:hint="eastAsia" w:ascii="黑体" w:hAnsi="黑体" w:eastAsia="黑体" w:cs="Times New Roman"/>
          <w:color w:val="000000" w:themeColor="text1"/>
          <w:sz w:val="32"/>
          <w:highlight w:val="none"/>
          <w:u w:val="none"/>
          <w:shd w:val="clear" w:color="auto" w:fill="FFFFFF"/>
          <w:lang w:eastAsia="zh-CN"/>
          <w14:textFill>
            <w14:solidFill>
              <w14:schemeClr w14:val="tx1"/>
            </w14:solidFill>
          </w14:textFill>
        </w:rPr>
        <w:t>八</w:t>
      </w:r>
      <w:r>
        <w:rPr>
          <w:rFonts w:hint="eastAsia" w:ascii="黑体" w:hAnsi="黑体" w:eastAsia="黑体" w:cs="Times New Roman"/>
          <w:color w:val="000000" w:themeColor="text1"/>
          <w:sz w:val="32"/>
          <w:highlight w:val="none"/>
          <w:u w:val="none"/>
          <w:shd w:val="clear" w:color="auto" w:fill="FFFFFF"/>
          <w14:textFill>
            <w14:solidFill>
              <w14:schemeClr w14:val="tx1"/>
            </w14:solidFill>
          </w14:textFill>
        </w:rPr>
        <w:t>、收入预算情况说明</w:t>
      </w:r>
    </w:p>
    <w:p w14:paraId="525B2BA7">
      <w:pPr>
        <w:spacing w:line="560" w:lineRule="exact"/>
        <w:ind w:firstLine="620" w:firstLineChars="200"/>
        <w:rPr>
          <w:rFonts w:ascii="黑体" w:hAnsi="黑体" w:eastAsia="黑体" w:cs="Times New Roman"/>
          <w:color w:val="000000" w:themeColor="text1"/>
          <w:sz w:val="32"/>
          <w:highlight w:val="none"/>
          <w:u w:val="none"/>
          <w:shd w:val="clear" w:color="auto" w:fill="FFFFFF"/>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年收入预算</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3069316.36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上年结转46492.85元，占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1.51</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一般公共预算收入</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3000372.28元</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98.49</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；事业单位经营收入0元，占0%；</w:t>
      </w:r>
      <w:r>
        <w:rPr>
          <w:rFonts w:hint="eastAsia" w:ascii="黑体" w:hAnsi="黑体" w:eastAsia="黑体" w:cs="Times New Roman"/>
          <w:color w:val="000000" w:themeColor="text1"/>
          <w:sz w:val="32"/>
          <w:highlight w:val="none"/>
          <w:u w:val="none"/>
          <w:shd w:val="clear" w:color="auto" w:fill="FFFFFF"/>
          <w:lang w:eastAsia="zh-CN"/>
          <w14:textFill>
            <w14:solidFill>
              <w14:schemeClr w14:val="tx1"/>
            </w14:solidFill>
          </w14:textFill>
        </w:rPr>
        <w:t>九</w:t>
      </w:r>
      <w:r>
        <w:rPr>
          <w:rFonts w:hint="eastAsia" w:ascii="黑体" w:hAnsi="黑体" w:eastAsia="黑体" w:cs="Times New Roman"/>
          <w:color w:val="000000" w:themeColor="text1"/>
          <w:sz w:val="32"/>
          <w:highlight w:val="none"/>
          <w:u w:val="none"/>
          <w:shd w:val="clear" w:color="auto" w:fill="FFFFFF"/>
          <w14:textFill>
            <w14:solidFill>
              <w14:schemeClr w14:val="tx1"/>
            </w14:solidFill>
          </w14:textFill>
        </w:rPr>
        <w:t>、支出预算情况说明</w:t>
      </w:r>
    </w:p>
    <w:p w14:paraId="046E70E7">
      <w:pPr>
        <w:pStyle w:val="5"/>
        <w:widowControl/>
        <w:shd w:val="clear" w:color="auto" w:fill="FFFFFF"/>
        <w:spacing w:before="0" w:beforeAutospacing="0" w:after="0" w:afterAutospacing="0"/>
        <w:ind w:firstLine="645"/>
        <w:rPr>
          <w:rFonts w:ascii="黑体" w:hAnsi="宋体" w:eastAsia="仿宋_GB2312" w:cs="黑体"/>
          <w:color w:val="000000" w:themeColor="text1"/>
          <w:sz w:val="31"/>
          <w:szCs w:val="31"/>
          <w:highlight w:val="none"/>
          <w:shd w:val="clear" w:color="auto" w:fill="FFFFFF"/>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年支出预算</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3115809.21</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元，其中：基本支出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2371586.74</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76.11</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%；项目支出</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744222.47</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元，占</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23.89</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，结转下年0元。</w:t>
      </w:r>
    </w:p>
    <w:p w14:paraId="34986AD3">
      <w:pPr>
        <w:spacing w:line="560" w:lineRule="exact"/>
        <w:ind w:firstLine="640" w:firstLineChars="200"/>
        <w:rPr>
          <w:rFonts w:ascii="黑体" w:hAnsi="黑体" w:eastAsia="黑体" w:cs="Times New Roman"/>
          <w:color w:val="000000" w:themeColor="text1"/>
          <w:sz w:val="32"/>
          <w:highlight w:val="none"/>
          <w:u w:val="none"/>
          <w:shd w:val="clear" w:color="auto" w:fill="FFFFFF"/>
          <w14:textFill>
            <w14:solidFill>
              <w14:schemeClr w14:val="tx1"/>
            </w14:solidFill>
          </w14:textFill>
        </w:rPr>
      </w:pPr>
      <w:r>
        <w:rPr>
          <w:rFonts w:hint="eastAsia" w:ascii="黑体" w:hAnsi="黑体" w:eastAsia="黑体" w:cs="Times New Roman"/>
          <w:color w:val="000000" w:themeColor="text1"/>
          <w:sz w:val="32"/>
          <w:highlight w:val="none"/>
          <w:u w:val="none"/>
          <w:shd w:val="clear" w:color="auto" w:fill="FFFFFF"/>
          <w:lang w:eastAsia="zh-CN"/>
          <w14:textFill>
            <w14:solidFill>
              <w14:schemeClr w14:val="tx1"/>
            </w14:solidFill>
          </w14:textFill>
        </w:rPr>
        <w:t>十</w:t>
      </w:r>
      <w:r>
        <w:rPr>
          <w:rFonts w:hint="eastAsia" w:ascii="黑体" w:hAnsi="黑体" w:eastAsia="黑体" w:cs="Times New Roman"/>
          <w:color w:val="000000" w:themeColor="text1"/>
          <w:sz w:val="32"/>
          <w:highlight w:val="none"/>
          <w:u w:val="none"/>
          <w:shd w:val="clear" w:color="auto" w:fill="FFFFFF"/>
          <w14:textFill>
            <w14:solidFill>
              <w14:schemeClr w14:val="tx1"/>
            </w14:solidFill>
          </w14:textFill>
        </w:rPr>
        <w:t>、其他重要事项的情况说明</w:t>
      </w:r>
    </w:p>
    <w:p w14:paraId="48B4E6D2">
      <w:pPr>
        <w:spacing w:line="560" w:lineRule="exact"/>
        <w:ind w:firstLine="640" w:firstLineChars="200"/>
        <w:rPr>
          <w:rFonts w:ascii="楷体" w:hAnsi="楷体" w:eastAsia="楷体"/>
          <w:color w:val="000000" w:themeColor="text1"/>
          <w:sz w:val="32"/>
          <w:szCs w:val="32"/>
          <w:highlight w:val="none"/>
          <w:u w:val="none"/>
          <w14:textFill>
            <w14:solidFill>
              <w14:schemeClr w14:val="tx1"/>
            </w14:solidFill>
          </w14:textFill>
        </w:rPr>
      </w:pPr>
      <w:r>
        <w:rPr>
          <w:rFonts w:hint="eastAsia" w:ascii="楷体" w:hAnsi="楷体" w:eastAsia="楷体"/>
          <w:color w:val="000000" w:themeColor="text1"/>
          <w:sz w:val="32"/>
          <w:szCs w:val="32"/>
          <w:highlight w:val="none"/>
          <w:u w:val="none"/>
          <w14:textFill>
            <w14:solidFill>
              <w14:schemeClr w14:val="tx1"/>
            </w14:solidFill>
          </w14:textFill>
        </w:rPr>
        <w:t>（一）机关运行经费</w:t>
      </w:r>
    </w:p>
    <w:p w14:paraId="7859705B">
      <w:pPr>
        <w:spacing w:line="560" w:lineRule="exact"/>
        <w:ind w:firstLine="620" w:firstLineChars="200"/>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西流中心幼儿园无</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机关运行经费预算</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w:t>
      </w:r>
    </w:p>
    <w:p w14:paraId="04B6692F">
      <w:pPr>
        <w:numPr>
          <w:ilvl w:val="0"/>
          <w:numId w:val="4"/>
        </w:numPr>
        <w:spacing w:line="560" w:lineRule="exact"/>
        <w:ind w:firstLine="640" w:firstLineChars="200"/>
        <w:rPr>
          <w:rFonts w:hint="eastAsia" w:ascii="楷体" w:hAnsi="楷体" w:eastAsia="楷体"/>
          <w:color w:val="000000" w:themeColor="text1"/>
          <w:sz w:val="32"/>
          <w:szCs w:val="32"/>
          <w:highlight w:val="none"/>
          <w:u w:val="none"/>
          <w14:textFill>
            <w14:solidFill>
              <w14:schemeClr w14:val="tx1"/>
            </w14:solidFill>
          </w14:textFill>
        </w:rPr>
      </w:pPr>
      <w:r>
        <w:rPr>
          <w:rFonts w:hint="eastAsia" w:ascii="楷体" w:hAnsi="楷体" w:eastAsia="楷体"/>
          <w:color w:val="000000" w:themeColor="text1"/>
          <w:sz w:val="32"/>
          <w:szCs w:val="32"/>
          <w:highlight w:val="none"/>
          <w:u w:val="none"/>
          <w14:textFill>
            <w14:solidFill>
              <w14:schemeClr w14:val="tx1"/>
            </w14:solidFill>
          </w14:textFill>
        </w:rPr>
        <w:t>政府采购情况</w:t>
      </w:r>
    </w:p>
    <w:p w14:paraId="00EF82AF">
      <w:pPr>
        <w:spacing w:line="560" w:lineRule="exact"/>
        <w:ind w:firstLine="620" w:firstLineChars="200"/>
        <w:rPr>
          <w:rFonts w:ascii="仿宋_GB2312" w:hAnsi="黑体" w:eastAsia="仿宋_GB2312"/>
          <w:color w:val="000000" w:themeColor="text1"/>
          <w:sz w:val="32"/>
          <w:szCs w:val="32"/>
          <w:highlight w:val="none"/>
          <w:u w:val="none"/>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政府采购预算总额0元，其中：政府采购服务预算0元。</w:t>
      </w:r>
    </w:p>
    <w:p w14:paraId="16B1BC5C">
      <w:pPr>
        <w:numPr>
          <w:ilvl w:val="0"/>
          <w:numId w:val="7"/>
        </w:numPr>
        <w:spacing w:line="560" w:lineRule="exact"/>
        <w:ind w:firstLine="640" w:firstLineChars="200"/>
        <w:rPr>
          <w:rFonts w:hint="eastAsia" w:ascii="楷体" w:hAnsi="楷体" w:eastAsia="楷体"/>
          <w:color w:val="000000" w:themeColor="text1"/>
          <w:sz w:val="32"/>
          <w:szCs w:val="32"/>
          <w:highlight w:val="none"/>
          <w:u w:val="none"/>
          <w14:textFill>
            <w14:solidFill>
              <w14:schemeClr w14:val="tx1"/>
            </w14:solidFill>
          </w14:textFill>
        </w:rPr>
      </w:pPr>
      <w:r>
        <w:rPr>
          <w:rFonts w:hint="eastAsia" w:ascii="楷体" w:hAnsi="楷体" w:eastAsia="楷体"/>
          <w:color w:val="000000" w:themeColor="text1"/>
          <w:sz w:val="32"/>
          <w:szCs w:val="32"/>
          <w:highlight w:val="none"/>
          <w:u w:val="none"/>
          <w14:textFill>
            <w14:solidFill>
              <w14:schemeClr w14:val="tx1"/>
            </w14:solidFill>
          </w14:textFill>
        </w:rPr>
        <w:t>国有资产占有使用情况</w:t>
      </w:r>
    </w:p>
    <w:p w14:paraId="046D279D">
      <w:pPr>
        <w:widowControl/>
        <w:spacing w:before="0" w:beforeAutospacing="0" w:after="0" w:afterAutospacing="0" w:line="560" w:lineRule="exact"/>
        <w:ind w:firstLine="640" w:firstLineChars="200"/>
        <w:rPr>
          <w:rFonts w:ascii="仿宋_GB2312" w:hAnsi="ˎ̥" w:eastAsia="仿宋_GB2312" w:cs="仿宋_GB2312"/>
          <w:color w:val="000000" w:themeColor="text1"/>
          <w:kern w:val="0"/>
          <w:sz w:val="32"/>
          <w:szCs w:val="32"/>
          <w:highlight w:val="none"/>
          <w14:textFill>
            <w14:solidFill>
              <w14:schemeClr w14:val="tx1"/>
            </w14:solidFill>
          </w14:textFill>
        </w:rPr>
      </w:pPr>
      <w:r>
        <w:rPr>
          <w:rFonts w:ascii="仿宋_GB2312" w:hAnsi="ˎ̥" w:eastAsia="仿宋_GB2312" w:cs="仿宋_GB2312"/>
          <w:color w:val="000000" w:themeColor="text1"/>
          <w:kern w:val="0"/>
          <w:sz w:val="32"/>
          <w:szCs w:val="32"/>
          <w:highlight w:val="none"/>
          <w14:textFill>
            <w14:solidFill>
              <w14:schemeClr w14:val="tx1"/>
            </w14:solidFill>
          </w14:textFill>
        </w:rPr>
        <w:t>截至202</w:t>
      </w:r>
      <w:r>
        <w:rPr>
          <w:rFonts w:hint="eastAsia" w:ascii="仿宋_GB2312" w:hAnsi="ˎ̥" w:eastAsia="仿宋_GB2312" w:cs="仿宋_GB2312"/>
          <w:color w:val="000000" w:themeColor="text1"/>
          <w:kern w:val="0"/>
          <w:sz w:val="32"/>
          <w:szCs w:val="32"/>
          <w:highlight w:val="none"/>
          <w:lang w:val="en-US" w:eastAsia="zh-CN"/>
          <w14:textFill>
            <w14:solidFill>
              <w14:schemeClr w14:val="tx1"/>
            </w14:solidFill>
          </w14:textFill>
        </w:rPr>
        <w:t>5</w:t>
      </w:r>
      <w:r>
        <w:rPr>
          <w:rFonts w:ascii="仿宋_GB2312" w:hAnsi="ˎ̥" w:eastAsia="仿宋_GB2312" w:cs="仿宋_GB2312"/>
          <w:color w:val="000000" w:themeColor="text1"/>
          <w:kern w:val="0"/>
          <w:sz w:val="32"/>
          <w:szCs w:val="32"/>
          <w:highlight w:val="none"/>
          <w14:textFill>
            <w14:solidFill>
              <w14:schemeClr w14:val="tx1"/>
            </w14:solidFill>
          </w14:textFill>
        </w:rPr>
        <w:t>年12月31日，本部门占用房屋面积0平方米，其中：办公用房0平方米，业务用房0平方米，其他（不含构筑物）0平方米。备注：本园土地、房屋资产属于小学还未交接。</w:t>
      </w:r>
    </w:p>
    <w:p w14:paraId="10EB5694">
      <w:pPr>
        <w:widowControl/>
        <w:spacing w:before="0" w:beforeAutospacing="0" w:after="0" w:afterAutospacing="0" w:line="560" w:lineRule="exact"/>
        <w:ind w:firstLine="640" w:firstLineChars="200"/>
        <w:rPr>
          <w:rFonts w:ascii="仿宋_GB2312" w:hAnsi="ˎ̥" w:eastAsia="仿宋_GB2312" w:cs="仿宋_GB2312"/>
          <w:color w:val="000000" w:themeColor="text1"/>
          <w:kern w:val="0"/>
          <w:sz w:val="32"/>
          <w:szCs w:val="32"/>
          <w:highlight w:val="none"/>
          <w14:textFill>
            <w14:solidFill>
              <w14:schemeClr w14:val="tx1"/>
            </w14:solidFill>
          </w14:textFill>
        </w:rPr>
      </w:pPr>
      <w:r>
        <w:rPr>
          <w:rFonts w:ascii="仿宋_GB2312" w:hAnsi="ˎ̥" w:eastAsia="仿宋_GB2312" w:cs="仿宋_GB2312"/>
          <w:color w:val="000000" w:themeColor="text1"/>
          <w:kern w:val="0"/>
          <w:sz w:val="32"/>
          <w:szCs w:val="32"/>
          <w:highlight w:val="none"/>
          <w14:textFill>
            <w14:solidFill>
              <w14:schemeClr w14:val="tx1"/>
            </w14:solidFill>
          </w14:textFill>
        </w:rPr>
        <w:t>本部门共有车辆0辆，单位价值50万元（含）以上通用设备0台（套），单价100万元（含）以上专用设备0台（套）</w:t>
      </w:r>
    </w:p>
    <w:p w14:paraId="451979E3">
      <w:pPr>
        <w:widowControl/>
        <w:spacing w:before="0" w:beforeAutospacing="0" w:after="0" w:afterAutospacing="0" w:line="560" w:lineRule="exact"/>
        <w:ind w:firstLine="640" w:firstLineChars="200"/>
        <w:rPr>
          <w:rFonts w:ascii="仿宋_GB2312" w:hAnsi="ˎ̥" w:eastAsia="仿宋_GB2312" w:cs="仿宋_GB2312"/>
          <w:color w:val="000000" w:themeColor="text1"/>
          <w:kern w:val="0"/>
          <w:sz w:val="32"/>
          <w:szCs w:val="32"/>
          <w:highlight w:val="none"/>
          <w14:textFill>
            <w14:solidFill>
              <w14:schemeClr w14:val="tx1"/>
            </w14:solidFill>
          </w14:textFill>
        </w:rPr>
      </w:pPr>
      <w:r>
        <w:rPr>
          <w:rFonts w:ascii="仿宋_GB2312" w:hAnsi="ˎ̥" w:eastAsia="仿宋_GB2312" w:cs="仿宋_GB2312"/>
          <w:color w:val="000000" w:themeColor="text1"/>
          <w:kern w:val="0"/>
          <w:sz w:val="32"/>
          <w:szCs w:val="32"/>
          <w:highlight w:val="none"/>
          <w14:textFill>
            <w14:solidFill>
              <w14:schemeClr w14:val="tx1"/>
            </w14:solidFill>
          </w14:textFill>
        </w:rPr>
        <w:t>年末在建工程0万元。</w:t>
      </w:r>
    </w:p>
    <w:p w14:paraId="50D2916B">
      <w:pPr>
        <w:widowControl/>
        <w:spacing w:line="560" w:lineRule="exact"/>
        <w:ind w:firstLine="640" w:firstLineChars="200"/>
        <w:jc w:val="left"/>
        <w:rPr>
          <w:rFonts w:ascii="楷体" w:hAnsi="楷体" w:eastAsia="楷体"/>
          <w:color w:val="000000" w:themeColor="text1"/>
          <w:sz w:val="32"/>
          <w:szCs w:val="32"/>
          <w:highlight w:val="none"/>
          <w:u w:val="none"/>
          <w14:textFill>
            <w14:solidFill>
              <w14:schemeClr w14:val="tx1"/>
            </w14:solidFill>
          </w14:textFill>
        </w:rPr>
      </w:pPr>
      <w:r>
        <w:rPr>
          <w:rFonts w:hint="eastAsia" w:ascii="楷体" w:hAnsi="楷体" w:eastAsia="楷体"/>
          <w:color w:val="000000" w:themeColor="text1"/>
          <w:sz w:val="32"/>
          <w:szCs w:val="32"/>
          <w:highlight w:val="none"/>
          <w:u w:val="none"/>
          <w14:textFill>
            <w14:solidFill>
              <w14:schemeClr w14:val="tx1"/>
            </w14:solidFill>
          </w14:textFill>
        </w:rPr>
        <w:t>（四）</w:t>
      </w:r>
      <w:r>
        <w:rPr>
          <w:rFonts w:hint="eastAsia" w:ascii="楷体" w:hAnsi="楷体" w:eastAsia="楷体" w:cs="黑体"/>
          <w:i w:val="0"/>
          <w:caps w:val="0"/>
          <w:color w:val="000000" w:themeColor="text1"/>
          <w:spacing w:val="0"/>
          <w:kern w:val="2"/>
          <w:sz w:val="32"/>
          <w:szCs w:val="32"/>
          <w:highlight w:val="none"/>
          <w:lang w:val="en-US" w:eastAsia="zh-CN" w:bidi="ar"/>
          <w14:textFill>
            <w14:solidFill>
              <w14:schemeClr w14:val="tx1"/>
            </w14:solidFill>
          </w14:textFill>
        </w:rPr>
        <w:t>绩效目标设置及重点项目绩效目标说明</w:t>
      </w:r>
    </w:p>
    <w:p w14:paraId="6446C3B3">
      <w:pPr>
        <w:pStyle w:val="5"/>
        <w:widowControl/>
        <w:shd w:val="clear" w:color="auto" w:fill="FFFFFF"/>
        <w:spacing w:before="0" w:beforeAutospacing="0" w:after="0" w:afterAutospacing="0"/>
        <w:ind w:firstLine="645"/>
        <w:rPr>
          <w:rFonts w:hint="eastAsia" w:ascii="微软雅黑" w:hAnsi="微软雅黑" w:eastAsia="微软雅黑" w:cs="微软雅黑"/>
          <w:color w:val="000000" w:themeColor="text1"/>
          <w:sz w:val="21"/>
          <w:szCs w:val="21"/>
          <w:highlight w:val="none"/>
          <w14:textFill>
            <w14:solidFill>
              <w14:schemeClr w14:val="tx1"/>
            </w14:solidFill>
          </w14:textFill>
        </w:rPr>
      </w:pP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202</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6</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年儋州市</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西流中心幼儿园</w:t>
      </w:r>
      <w:r>
        <w:rPr>
          <w:rFonts w:hint="eastAsia" w:ascii="仿宋_GB2312" w:hAnsi="微软雅黑" w:eastAsia="仿宋_GB2312" w:cs="仿宋_GB2312"/>
          <w:color w:val="000000" w:themeColor="text1"/>
          <w:sz w:val="31"/>
          <w:szCs w:val="31"/>
          <w:highlight w:val="none"/>
          <w:shd w:val="clear" w:color="auto" w:fill="FFFFFF"/>
          <w:lang w:val="en-US" w:eastAsia="zh-CN"/>
          <w14:textFill>
            <w14:solidFill>
              <w14:schemeClr w14:val="tx1"/>
            </w14:solidFill>
          </w14:textFill>
        </w:rPr>
        <w:t>18</w:t>
      </w:r>
      <w:r>
        <w:rPr>
          <w:rFonts w:ascii="仿宋_GB2312" w:hAnsi="微软雅黑" w:eastAsia="仿宋_GB2312" w:cs="仿宋_GB2312"/>
          <w:color w:val="000000" w:themeColor="text1"/>
          <w:sz w:val="31"/>
          <w:szCs w:val="31"/>
          <w:highlight w:val="none"/>
          <w:shd w:val="clear" w:color="auto" w:fill="FFFFFF"/>
          <w14:textFill>
            <w14:solidFill>
              <w14:schemeClr w14:val="tx1"/>
            </w14:solidFill>
          </w14:textFill>
        </w:rPr>
        <w:t>个项目实行绩效目标管理，涉及一般公共预算</w:t>
      </w:r>
      <w:r>
        <w:rPr>
          <w:rFonts w:hint="eastAsia" w:ascii="仿宋_GB2312" w:hAnsi="微软雅黑" w:eastAsia="仿宋_GB2312" w:cs="仿宋_GB2312"/>
          <w:color w:val="000000" w:themeColor="text1"/>
          <w:sz w:val="31"/>
          <w:szCs w:val="31"/>
          <w:highlight w:val="none"/>
          <w:shd w:val="clear" w:color="auto" w:fill="FFFFFF"/>
          <w14:textFill>
            <w14:solidFill>
              <w14:schemeClr w14:val="tx1"/>
            </w14:solidFill>
          </w14:textFill>
        </w:rPr>
        <w:t>收入3069316.36元，事业单位经营收入0元。</w:t>
      </w:r>
    </w:p>
    <w:p w14:paraId="59A58395">
      <w:pPr>
        <w:spacing w:line="560" w:lineRule="exact"/>
        <w:jc w:val="center"/>
        <w:rPr>
          <w:rFonts w:hint="eastAsia" w:ascii="黑体" w:hAnsi="黑体" w:eastAsia="黑体"/>
          <w:b w:val="0"/>
          <w:bCs/>
          <w:color w:val="000000" w:themeColor="text1"/>
          <w:sz w:val="32"/>
          <w:szCs w:val="32"/>
          <w:highlight w:val="none"/>
          <w:u w:val="none"/>
          <w:lang w:eastAsia="zh-CN"/>
          <w14:textFill>
            <w14:solidFill>
              <w14:schemeClr w14:val="tx1"/>
            </w14:solidFill>
          </w14:textFill>
        </w:rPr>
      </w:pPr>
    </w:p>
    <w:p w14:paraId="091CE024">
      <w:pPr>
        <w:spacing w:line="560" w:lineRule="exact"/>
        <w:jc w:val="center"/>
        <w:rPr>
          <w:rFonts w:ascii="黑体" w:hAnsi="黑体" w:eastAsia="黑体"/>
          <w:b w:val="0"/>
          <w:bCs/>
          <w:color w:val="000000" w:themeColor="text1"/>
          <w:sz w:val="32"/>
          <w:szCs w:val="32"/>
          <w:highlight w:val="none"/>
          <w:u w:val="none"/>
          <w14:textFill>
            <w14:solidFill>
              <w14:schemeClr w14:val="tx1"/>
            </w14:solidFill>
          </w14:textFill>
        </w:rPr>
      </w:pPr>
      <w:r>
        <w:rPr>
          <w:rFonts w:hint="eastAsia" w:ascii="黑体" w:hAnsi="黑体" w:eastAsia="黑体"/>
          <w:b w:val="0"/>
          <w:bCs/>
          <w:color w:val="000000" w:themeColor="text1"/>
          <w:sz w:val="32"/>
          <w:szCs w:val="32"/>
          <w:highlight w:val="none"/>
          <w:u w:val="none"/>
          <w14:textFill>
            <w14:solidFill>
              <w14:schemeClr w14:val="tx1"/>
            </w14:solidFill>
          </w14:textFill>
        </w:rPr>
        <w:t>第四部分  名词解释</w:t>
      </w:r>
    </w:p>
    <w:p w14:paraId="57BE3D33">
      <w:pPr>
        <w:spacing w:line="560" w:lineRule="exact"/>
        <w:ind w:firstLine="640" w:firstLineChars="200"/>
        <w:jc w:val="left"/>
        <w:rPr>
          <w:rFonts w:ascii="仿宋_GB2312" w:eastAsia="仿宋_GB2312" w:cs="宋体"/>
          <w:bCs/>
          <w:color w:val="000000" w:themeColor="text1"/>
          <w:kern w:val="0"/>
          <w:sz w:val="32"/>
          <w:szCs w:val="32"/>
          <w:highlight w:val="none"/>
          <w:u w:val="none"/>
          <w:lang w:val="zh-CN"/>
          <w14:textFill>
            <w14:solidFill>
              <w14:schemeClr w14:val="tx1"/>
            </w14:solidFill>
          </w14:textFill>
        </w:rPr>
      </w:pPr>
    </w:p>
    <w:p w14:paraId="76F94767">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一、财政拨款收入：指本级财政当年拨付的资金。</w:t>
      </w:r>
    </w:p>
    <w:p w14:paraId="26CF98BE">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二、一般公共预算拨款收入：指用于反映税收收入、专项收入、行政事业性收费收入、罚没收入、国有资源（资产）有偿使用收入、政府住房基金收入、捐赠收入等财政收入。</w:t>
      </w:r>
    </w:p>
    <w:p w14:paraId="0497CE55">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lang w:eastAsia="zh-CN"/>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themeColor="text1"/>
          <w:kern w:val="0"/>
          <w:sz w:val="32"/>
          <w:szCs w:val="30"/>
          <w:highlight w:val="none"/>
          <w:u w:val="none"/>
          <w:lang w:eastAsia="zh-CN"/>
          <w14:textFill>
            <w14:solidFill>
              <w14:schemeClr w14:val="tx1"/>
            </w14:solidFill>
          </w14:textFill>
        </w:rPr>
        <w:t>。</w:t>
      </w:r>
    </w:p>
    <w:p w14:paraId="6F16D38F">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 xml:space="preserve">四、事业收入：指用于反映事业单位开展专业业务活动及辅助活动所取得的收入。 </w:t>
      </w:r>
    </w:p>
    <w:p w14:paraId="52EF3B56">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五、事业单位经营收入：指用于反映事业单位在专业活动及辅助活动之外开展非独立核算经营活动取得的收入。</w:t>
      </w:r>
    </w:p>
    <w:p w14:paraId="18E409D0">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六、其他收入：指除上述“财政拨款收入”“事业收入”“经营收入”等以外的收入。</w:t>
      </w:r>
    </w:p>
    <w:p w14:paraId="244098E4">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七、上年结转：指以前年度尚未完成、结转到本年按有关规定继续使用的资金。</w:t>
      </w:r>
    </w:p>
    <w:p w14:paraId="5FB23C92">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八、基本支出：指行政事业单位用于为保障其机构正常运转、完成日常工作任务而发生的人员支出和公用支出。</w:t>
      </w:r>
    </w:p>
    <w:p w14:paraId="11B483FA">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九、工资福利支出：反映单位开支的在职职工和编制外长期聘用人员的各类劳动报酬，以及为上述人员缴纳的各项社会保险费等。</w:t>
      </w:r>
    </w:p>
    <w:p w14:paraId="25B8CE94">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十、对个人和家庭的补助支出：反映政府用于对个人和家庭的补助支出，包括离休费、退休费、退职（役）费、抚恤金、生活补助、救济费、医疗费补助、助学金、独生子女奖励金、其他等。</w:t>
      </w:r>
    </w:p>
    <w:p w14:paraId="3045EA7D">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11074356">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十二、项目支出：指各部门、各单位为完成其特定的工作任务和事业发展目标所发生的支出。</w:t>
      </w:r>
    </w:p>
    <w:p w14:paraId="1599B479">
      <w:pPr>
        <w:spacing w:line="560" w:lineRule="exact"/>
        <w:ind w:firstLine="640" w:firstLineChars="200"/>
        <w:jc w:val="left"/>
        <w:rPr>
          <w:rFonts w:hint="eastAsia"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themeColor="text1"/>
          <w:kern w:val="0"/>
          <w:sz w:val="32"/>
          <w:szCs w:val="30"/>
          <w:highlight w:val="none"/>
          <w:u w:val="none"/>
          <w:lang w:eastAsia="zh-CN"/>
          <w14:textFill>
            <w14:solidFill>
              <w14:schemeClr w14:val="tx1"/>
            </w14:solidFill>
          </w14:textFill>
        </w:rPr>
        <w:t>、</w:t>
      </w:r>
      <w:r>
        <w:rPr>
          <w:rFonts w:hint="eastAsia" w:ascii="仿宋_GB2312" w:hAnsi="宋体" w:eastAsia="仿宋_GB2312" w:cs="宋体"/>
          <w:color w:val="000000" w:themeColor="text1"/>
          <w:kern w:val="0"/>
          <w:sz w:val="32"/>
          <w:szCs w:val="30"/>
          <w:highlight w:val="none"/>
          <w:u w:val="none"/>
          <w:lang w:val="en-US" w:eastAsia="zh-CN"/>
          <w14:textFill>
            <w14:solidFill>
              <w14:schemeClr w14:val="tx1"/>
            </w14:solidFill>
          </w14:textFill>
        </w:rPr>
        <w:t>1个月及以上租车费用</w:t>
      </w: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等支出；公务接待费指单位按规定开支的各类公务接待（含外宾接待）支出。</w:t>
      </w:r>
    </w:p>
    <w:p w14:paraId="06DD6A44">
      <w:pPr>
        <w:spacing w:line="560" w:lineRule="exact"/>
        <w:ind w:firstLine="640" w:firstLineChars="200"/>
        <w:jc w:val="left"/>
        <w:rPr>
          <w:rFonts w:ascii="仿宋_GB2312" w:hAnsi="宋体" w:eastAsia="仿宋_GB2312" w:cs="宋体"/>
          <w:color w:val="000000" w:themeColor="text1"/>
          <w:kern w:val="0"/>
          <w:sz w:val="32"/>
          <w:szCs w:val="30"/>
          <w:highlight w:val="none"/>
          <w:u w:val="none"/>
          <w14:textFill>
            <w14:solidFill>
              <w14:schemeClr w14:val="tx1"/>
            </w14:solidFill>
          </w14:textFill>
        </w:rPr>
      </w:pPr>
      <w:r>
        <w:rPr>
          <w:rFonts w:hint="eastAsia" w:ascii="仿宋_GB2312" w:hAnsi="宋体" w:eastAsia="仿宋_GB2312" w:cs="宋体"/>
          <w:color w:val="000000" w:themeColor="text1"/>
          <w:kern w:val="0"/>
          <w:sz w:val="32"/>
          <w:szCs w:val="30"/>
          <w:highlight w:val="none"/>
          <w:u w:val="none"/>
          <w14:textFill>
            <w14:solidFill>
              <w14:schemeClr w14:val="tx1"/>
            </w14:solidFill>
          </w14:textFill>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05E88B3">
      <w:pPr>
        <w:spacing w:line="560" w:lineRule="exact"/>
        <w:ind w:firstLine="0" w:firstLineChars="0"/>
        <w:jc w:val="left"/>
        <w:rPr>
          <w:rFonts w:ascii="仿宋_GB2312" w:hAnsi="黑体" w:eastAsia="仿宋_GB2312" w:cs="仿宋_GB2312"/>
          <w:color w:val="000000" w:themeColor="text1"/>
          <w:sz w:val="32"/>
          <w:szCs w:val="32"/>
          <w:highlight w:val="none"/>
          <w:u w:val="none"/>
          <w14:textFill>
            <w14:solidFill>
              <w14:schemeClr w14:val="tx1"/>
            </w14:solidFill>
          </w14:textFill>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BA5E2B-F32B-4B26-BA71-2FBB702D6E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embedRegular r:id="rId2" w:fontKey="{3AE1987D-6855-4241-8163-D88D560A2920}"/>
  </w:font>
  <w:font w:name="微软雅黑">
    <w:panose1 w:val="020B0503020204020204"/>
    <w:charset w:val="86"/>
    <w:family w:val="auto"/>
    <w:pitch w:val="default"/>
    <w:sig w:usb0="80000287" w:usb1="2ACF3C50" w:usb2="00000016" w:usb3="00000000" w:csb0="0004001F" w:csb1="00000000"/>
    <w:embedRegular r:id="rId3" w:fontKey="{150AD3DC-A1DD-4DC6-8D76-7F5145469373}"/>
  </w:font>
  <w:font w:name="方正仿宋_GBK">
    <w:panose1 w:val="02000000000000000000"/>
    <w:charset w:val="86"/>
    <w:family w:val="auto"/>
    <w:pitch w:val="default"/>
    <w:sig w:usb0="A00002BF" w:usb1="38CF7CFA" w:usb2="00082016" w:usb3="00000000" w:csb0="00040001" w:csb1="00000000"/>
    <w:embedRegular r:id="rId4" w:fontKey="{9C4D5805-5E82-475D-8B78-87F818A14D48}"/>
  </w:font>
  <w:font w:name="仿宋_GB2312">
    <w:altName w:val="仿宋"/>
    <w:panose1 w:val="02010609030101010101"/>
    <w:charset w:val="86"/>
    <w:family w:val="auto"/>
    <w:pitch w:val="default"/>
    <w:sig w:usb0="00000000" w:usb1="00000000" w:usb2="00000000" w:usb3="00000000" w:csb0="00040000" w:csb1="00000000"/>
    <w:embedRegular r:id="rId5" w:fontKey="{DC264227-DF18-43CE-A8C3-E3DEA50C831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embedRegular r:id="rId6" w:fontKey="{D6BEB6CE-306D-4593-AE4E-F1E5537857B4}"/>
  </w:font>
  <w:font w:name="ˎ̥">
    <w:altName w:val="微软雅黑"/>
    <w:panose1 w:val="00000000000000000000"/>
    <w:charset w:val="00"/>
    <w:family w:val="roman"/>
    <w:pitch w:val="default"/>
    <w:sig w:usb0="00000000" w:usb1="00000000" w:usb2="00000000" w:usb3="00000000" w:csb0="00040001" w:csb1="00000000"/>
    <w:embedRegular r:id="rId7" w:fontKey="{3D60984A-96CB-4A6B-8D53-7611FD864661}"/>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8929A"/>
    <w:multiLevelType w:val="singleLevel"/>
    <w:tmpl w:val="9C78929A"/>
    <w:lvl w:ilvl="0" w:tentative="0">
      <w:start w:val="3"/>
      <w:numFmt w:val="chineseCounting"/>
      <w:suff w:val="nothing"/>
      <w:lvlText w:val="（%1）"/>
      <w:lvlJc w:val="left"/>
      <w:rPr>
        <w:rFonts w:hint="eastAsia"/>
      </w:rPr>
    </w:lvl>
  </w:abstractNum>
  <w:abstractNum w:abstractNumId="1">
    <w:nsid w:val="B419400A"/>
    <w:multiLevelType w:val="singleLevel"/>
    <w:tmpl w:val="B419400A"/>
    <w:lvl w:ilvl="0" w:tentative="0">
      <w:start w:val="2"/>
      <w:numFmt w:val="chineseCounting"/>
      <w:suff w:val="nothing"/>
      <w:lvlText w:val="（%1）"/>
      <w:lvlJc w:val="left"/>
      <w:rPr>
        <w:rFonts w:hint="eastAsia"/>
      </w:rPr>
    </w:lvl>
  </w:abstractNum>
  <w:abstractNum w:abstractNumId="2">
    <w:nsid w:val="BC89F4D1"/>
    <w:multiLevelType w:val="singleLevel"/>
    <w:tmpl w:val="BC89F4D1"/>
    <w:lvl w:ilvl="0" w:tentative="0">
      <w:start w:val="3"/>
      <w:numFmt w:val="chineseCounting"/>
      <w:suff w:val="nothing"/>
      <w:lvlText w:val="（%1）"/>
      <w:lvlJc w:val="left"/>
      <w:rPr>
        <w:rFonts w:hint="eastAsia"/>
      </w:rPr>
    </w:lvl>
  </w:abstractNum>
  <w:abstractNum w:abstractNumId="3">
    <w:nsid w:val="DBDEEC51"/>
    <w:multiLevelType w:val="singleLevel"/>
    <w:tmpl w:val="DBDEEC51"/>
    <w:lvl w:ilvl="0" w:tentative="0">
      <w:start w:val="6"/>
      <w:numFmt w:val="chineseCounting"/>
      <w:suff w:val="nothing"/>
      <w:lvlText w:val="%1、"/>
      <w:lvlJc w:val="left"/>
      <w:rPr>
        <w:rFonts w:hint="eastAsia"/>
      </w:rPr>
    </w:lvl>
  </w:abstractNum>
  <w:abstractNum w:abstractNumId="4">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5"/>
  </w:num>
  <w:num w:numId="3">
    <w:abstractNumId w:val="6"/>
  </w:num>
  <w:num w:numId="4">
    <w:abstractNumId w:val="1"/>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70785"/>
    <w:rsid w:val="05561A3B"/>
    <w:rsid w:val="0DA87805"/>
    <w:rsid w:val="0DF7383C"/>
    <w:rsid w:val="13051255"/>
    <w:rsid w:val="130B2B58"/>
    <w:rsid w:val="172D6C54"/>
    <w:rsid w:val="18133ACD"/>
    <w:rsid w:val="18AF5EEB"/>
    <w:rsid w:val="19793C95"/>
    <w:rsid w:val="1A3F6DFB"/>
    <w:rsid w:val="1C5F0079"/>
    <w:rsid w:val="211663DC"/>
    <w:rsid w:val="21C4408A"/>
    <w:rsid w:val="27AC1848"/>
    <w:rsid w:val="27F9D6AD"/>
    <w:rsid w:val="2AE412F9"/>
    <w:rsid w:val="2CFFD3C3"/>
    <w:rsid w:val="2D80355B"/>
    <w:rsid w:val="2FBF19B9"/>
    <w:rsid w:val="2FE064F9"/>
    <w:rsid w:val="37DF1B78"/>
    <w:rsid w:val="38313EF7"/>
    <w:rsid w:val="3BBA3F14"/>
    <w:rsid w:val="3DE53401"/>
    <w:rsid w:val="41410DFB"/>
    <w:rsid w:val="47971775"/>
    <w:rsid w:val="48E56510"/>
    <w:rsid w:val="4C52210E"/>
    <w:rsid w:val="4D7A78E7"/>
    <w:rsid w:val="4F517F97"/>
    <w:rsid w:val="51EB539F"/>
    <w:rsid w:val="521340EE"/>
    <w:rsid w:val="53A616BE"/>
    <w:rsid w:val="54BF40B9"/>
    <w:rsid w:val="55C23E61"/>
    <w:rsid w:val="5CD71462"/>
    <w:rsid w:val="5D456C14"/>
    <w:rsid w:val="5ECC178B"/>
    <w:rsid w:val="5EFF8EDA"/>
    <w:rsid w:val="5FBFEA10"/>
    <w:rsid w:val="62397BA1"/>
    <w:rsid w:val="629152E7"/>
    <w:rsid w:val="64BE613B"/>
    <w:rsid w:val="65847385"/>
    <w:rsid w:val="65B35574"/>
    <w:rsid w:val="6F3A0AB4"/>
    <w:rsid w:val="6F772982"/>
    <w:rsid w:val="6F7F7F61"/>
    <w:rsid w:val="6FDB1131"/>
    <w:rsid w:val="6FDF3A11"/>
    <w:rsid w:val="71257C6E"/>
    <w:rsid w:val="72BFF0B5"/>
    <w:rsid w:val="730C2768"/>
    <w:rsid w:val="73CF45A9"/>
    <w:rsid w:val="74FB2A94"/>
    <w:rsid w:val="77304C77"/>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0"/>
    <w:pPr>
      <w:jc w:val="left"/>
    </w:p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paragraph" w:customStyle="1" w:styleId="9">
    <w:name w:val="List Paragraph"/>
    <w:basedOn w:val="1"/>
    <w:qFormat/>
    <w:uiPriority w:val="34"/>
    <w:pPr>
      <w:ind w:firstLine="420" w:firstLineChars="200"/>
    </w:pPr>
  </w:style>
  <w:style w:type="paragraph" w:customStyle="1" w:styleId="10">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1">
    <w:name w:val="页眉 Char"/>
    <w:basedOn w:val="7"/>
    <w:link w:val="4"/>
    <w:semiHidden/>
    <w:qFormat/>
    <w:uiPriority w:val="99"/>
    <w:rPr>
      <w:sz w:val="18"/>
      <w:szCs w:val="18"/>
    </w:rPr>
  </w:style>
  <w:style w:type="character" w:customStyle="1" w:styleId="12">
    <w:name w:val="页脚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405</Words>
  <Characters>420</Characters>
  <Lines>1</Lines>
  <Paragraphs>1</Paragraphs>
  <TotalTime>7</TotalTime>
  <ScaleCrop>false</ScaleCrop>
  <LinksUpToDate>false</LinksUpToDate>
  <CharactersWithSpaces>433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修心</cp:lastModifiedBy>
  <cp:lastPrinted>2025-01-20T00:28:00Z</cp:lastPrinted>
  <dcterms:modified xsi:type="dcterms:W3CDTF">2026-03-02T01:37:55Z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8BBB51190A004E6EB1F423037A4B5982_13</vt:lpwstr>
  </property>
  <property fmtid="{D5CDD505-2E9C-101B-9397-08002B2CF9AE}" pid="4" name="KSOTemplateDocerSaveRecord">
    <vt:lpwstr>eyJoZGlkIjoiZjcxZjU0OGYxZDM5Y2U1YTQyNDE4ZTg3YzVmNTI2OWYiLCJ1c2VySWQiOiIyNjgwNTQ1MjAifQ==</vt:lpwstr>
  </property>
</Properties>
</file>