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A4AA0">
      <w:pPr>
        <w:spacing w:line="560" w:lineRule="exact"/>
        <w:jc w:val="both"/>
        <w:rPr>
          <w:rFonts w:hint="eastAsia" w:ascii="Calibri" w:hAnsi="Calibri" w:eastAsia="宋体" w:cs="黑体"/>
          <w:sz w:val="48"/>
          <w:szCs w:val="48"/>
          <w:lang w:val="en-US" w:eastAsia="zh-CN"/>
        </w:rPr>
      </w:pPr>
    </w:p>
    <w:p w14:paraId="53BE7C1D">
      <w:pPr>
        <w:spacing w:line="560" w:lineRule="exact"/>
        <w:jc w:val="both"/>
        <w:rPr>
          <w:rFonts w:hint="eastAsia" w:ascii="Calibri" w:hAnsi="Calibri" w:eastAsia="宋体" w:cs="黑体"/>
          <w:sz w:val="48"/>
          <w:szCs w:val="48"/>
          <w:lang w:val="en-US" w:eastAsia="zh-CN"/>
        </w:rPr>
      </w:pPr>
    </w:p>
    <w:p w14:paraId="2AB67ACF">
      <w:pPr>
        <w:spacing w:line="560" w:lineRule="exact"/>
        <w:jc w:val="both"/>
        <w:rPr>
          <w:rFonts w:hint="eastAsia" w:ascii="Calibri" w:hAnsi="Calibri" w:eastAsia="宋体" w:cs="黑体"/>
          <w:sz w:val="48"/>
          <w:szCs w:val="48"/>
          <w:lang w:val="en-US" w:eastAsia="zh-CN"/>
        </w:rPr>
      </w:pPr>
    </w:p>
    <w:p w14:paraId="4871C5B7">
      <w:pPr>
        <w:spacing w:line="560" w:lineRule="exact"/>
        <w:jc w:val="both"/>
        <w:rPr>
          <w:rFonts w:hint="eastAsia" w:ascii="Calibri" w:hAnsi="Calibri" w:eastAsia="宋体" w:cs="黑体"/>
          <w:sz w:val="48"/>
          <w:szCs w:val="48"/>
          <w:lang w:val="en-US" w:eastAsia="zh-CN"/>
        </w:rPr>
      </w:pPr>
    </w:p>
    <w:p w14:paraId="5E7B49B0">
      <w:pPr>
        <w:spacing w:line="560" w:lineRule="exact"/>
        <w:jc w:val="both"/>
        <w:rPr>
          <w:rFonts w:hint="eastAsia" w:ascii="Calibri" w:hAnsi="Calibri" w:eastAsia="宋体" w:cs="黑体"/>
          <w:sz w:val="48"/>
          <w:szCs w:val="48"/>
          <w:lang w:val="en-US" w:eastAsia="zh-CN"/>
        </w:rPr>
      </w:pPr>
    </w:p>
    <w:p w14:paraId="0A45C796">
      <w:pPr>
        <w:spacing w:line="560" w:lineRule="exact"/>
        <w:jc w:val="both"/>
        <w:rPr>
          <w:rFonts w:hint="eastAsia" w:ascii="Calibri" w:hAnsi="Calibri" w:eastAsia="宋体" w:cs="黑体"/>
          <w:sz w:val="48"/>
          <w:szCs w:val="48"/>
          <w:lang w:val="en-US" w:eastAsia="zh-CN"/>
        </w:rPr>
      </w:pPr>
    </w:p>
    <w:p w14:paraId="4637BC07">
      <w:pPr>
        <w:spacing w:line="560" w:lineRule="exact"/>
        <w:jc w:val="both"/>
        <w:rPr>
          <w:rFonts w:hint="eastAsia" w:ascii="Calibri" w:hAnsi="Calibri" w:eastAsia="宋体" w:cs="黑体"/>
          <w:sz w:val="48"/>
          <w:szCs w:val="48"/>
        </w:rPr>
      </w:pPr>
      <w:r>
        <w:rPr>
          <w:rFonts w:hint="eastAsia" w:ascii="Calibri" w:hAnsi="Calibri" w:eastAsia="宋体" w:cs="黑体"/>
          <w:sz w:val="48"/>
          <w:szCs w:val="48"/>
          <w:lang w:val="en-US" w:eastAsia="zh-CN"/>
        </w:rPr>
        <w:t>202</w:t>
      </w:r>
      <w:r>
        <w:rPr>
          <w:rFonts w:hint="eastAsia" w:cs="黑体"/>
          <w:sz w:val="48"/>
          <w:szCs w:val="48"/>
          <w:lang w:val="en-US" w:eastAsia="zh-CN"/>
        </w:rPr>
        <w:t>6</w:t>
      </w:r>
      <w:r>
        <w:rPr>
          <w:rFonts w:hint="eastAsia" w:ascii="Calibri" w:hAnsi="Calibri" w:eastAsia="宋体" w:cs="黑体"/>
          <w:sz w:val="48"/>
          <w:szCs w:val="48"/>
        </w:rPr>
        <w:t>年</w:t>
      </w:r>
      <w:r>
        <w:rPr>
          <w:rFonts w:hint="eastAsia" w:ascii="Calibri" w:hAnsi="Calibri" w:eastAsia="宋体" w:cs="黑体"/>
          <w:sz w:val="48"/>
          <w:szCs w:val="48"/>
          <w:lang w:val="en-US" w:eastAsia="zh-CN"/>
        </w:rPr>
        <w:t>儋州市新州镇中心幼儿园</w:t>
      </w:r>
      <w:r>
        <w:rPr>
          <w:rFonts w:hint="eastAsia" w:ascii="Calibri" w:hAnsi="Calibri" w:eastAsia="宋体" w:cs="黑体"/>
          <w:sz w:val="48"/>
          <w:szCs w:val="48"/>
        </w:rPr>
        <w:t>预算</w:t>
      </w:r>
    </w:p>
    <w:p w14:paraId="14070B66">
      <w:pPr>
        <w:ind w:firstLine="1680"/>
        <w:jc w:val="center"/>
        <w:rPr>
          <w:sz w:val="84"/>
          <w:szCs w:val="84"/>
        </w:rPr>
      </w:pPr>
    </w:p>
    <w:p w14:paraId="4D2F416F">
      <w:pPr>
        <w:ind w:firstLine="1680"/>
        <w:jc w:val="center"/>
        <w:rPr>
          <w:sz w:val="84"/>
          <w:szCs w:val="84"/>
        </w:rPr>
      </w:pPr>
    </w:p>
    <w:p w14:paraId="06BE86EF">
      <w:pPr>
        <w:ind w:firstLine="1680"/>
        <w:jc w:val="center"/>
        <w:rPr>
          <w:sz w:val="84"/>
          <w:szCs w:val="84"/>
        </w:rPr>
      </w:pPr>
    </w:p>
    <w:p w14:paraId="66F0A3D8">
      <w:pPr>
        <w:ind w:firstLine="1680"/>
        <w:jc w:val="center"/>
        <w:rPr>
          <w:sz w:val="84"/>
          <w:szCs w:val="84"/>
        </w:rPr>
      </w:pPr>
    </w:p>
    <w:p w14:paraId="56C1A8D4">
      <w:pPr>
        <w:ind w:firstLine="1680"/>
        <w:jc w:val="center"/>
        <w:rPr>
          <w:sz w:val="84"/>
          <w:szCs w:val="84"/>
        </w:rPr>
      </w:pPr>
    </w:p>
    <w:p w14:paraId="1281FC78">
      <w:pPr>
        <w:rPr>
          <w:sz w:val="84"/>
          <w:szCs w:val="84"/>
        </w:rPr>
      </w:pPr>
    </w:p>
    <w:p w14:paraId="4DE23DFF">
      <w:pPr>
        <w:jc w:val="center"/>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14:paraId="30689E97">
      <w:pPr>
        <w:spacing w:line="578" w:lineRule="exact"/>
        <w:jc w:val="center"/>
        <w:rPr>
          <w:rFonts w:hint="eastAsia" w:ascii="黑体" w:hAnsi="黑体" w:eastAsia="黑体"/>
          <w:sz w:val="52"/>
          <w:szCs w:val="52"/>
        </w:rPr>
      </w:pPr>
    </w:p>
    <w:p w14:paraId="52A58552">
      <w:pPr>
        <w:spacing w:line="578" w:lineRule="exact"/>
        <w:jc w:val="center"/>
        <w:rPr>
          <w:rFonts w:hint="eastAsia" w:ascii="黑体" w:hAnsi="黑体" w:eastAsia="黑体"/>
          <w:sz w:val="52"/>
          <w:szCs w:val="52"/>
        </w:rPr>
      </w:pPr>
    </w:p>
    <w:p w14:paraId="43342FE6">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7B916659">
      <w:pPr>
        <w:spacing w:line="578" w:lineRule="exact"/>
        <w:jc w:val="center"/>
        <w:rPr>
          <w:rFonts w:hint="eastAsia" w:ascii="黑体" w:hAnsi="黑体" w:eastAsia="黑体"/>
          <w:sz w:val="52"/>
          <w:szCs w:val="52"/>
        </w:rPr>
      </w:pPr>
    </w:p>
    <w:p w14:paraId="4905BEE4">
      <w:pPr>
        <w:pStyle w:val="6"/>
        <w:numPr>
          <w:ilvl w:val="0"/>
          <w:numId w:val="1"/>
        </w:numPr>
        <w:spacing w:line="240" w:lineRule="auto"/>
        <w:ind w:firstLine="0"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儋州市新州镇中心幼儿园</w:t>
      </w:r>
      <w:r>
        <w:rPr>
          <w:rFonts w:hint="eastAsia" w:ascii="黑体" w:hAnsi="黑体" w:eastAsia="黑体"/>
          <w:sz w:val="32"/>
          <w:szCs w:val="32"/>
        </w:rPr>
        <w:t>概况</w:t>
      </w:r>
    </w:p>
    <w:p w14:paraId="3EE14FBD">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37F91A11">
      <w:pPr>
        <w:pStyle w:val="6"/>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w:t>
      </w:r>
    </w:p>
    <w:p w14:paraId="3524F192">
      <w:pPr>
        <w:pStyle w:val="6"/>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儋州市新州镇中心幼儿园2026年</w:t>
      </w:r>
      <w:r>
        <w:rPr>
          <w:rFonts w:hint="eastAsia" w:ascii="黑体" w:hAnsi="黑体" w:eastAsia="黑体"/>
          <w:sz w:val="32"/>
          <w:szCs w:val="32"/>
        </w:rPr>
        <w:t>预算表</w:t>
      </w:r>
    </w:p>
    <w:p w14:paraId="5263BD5A">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148EFEBE">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58326815">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A4F6E8E">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2E19231F">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148B8755">
      <w:pPr>
        <w:pStyle w:val="6"/>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378AC7E5">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2BB92194">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29F1C16B">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13DB5558">
      <w:pPr>
        <w:pStyle w:val="6"/>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37B14C34">
      <w:pPr>
        <w:pStyle w:val="6"/>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儋州市新州镇中心幼儿园2026年</w:t>
      </w:r>
      <w:r>
        <w:rPr>
          <w:rFonts w:hint="eastAsia" w:ascii="黑体" w:hAnsi="黑体" w:eastAsia="黑体"/>
          <w:sz w:val="32"/>
          <w:szCs w:val="32"/>
        </w:rPr>
        <w:t>预算情况说明</w:t>
      </w:r>
    </w:p>
    <w:p w14:paraId="7A5724CD">
      <w:pPr>
        <w:pStyle w:val="6"/>
        <w:numPr>
          <w:ilvl w:val="0"/>
          <w:numId w:val="0"/>
        </w:numPr>
        <w:spacing w:line="240" w:lineRule="auto"/>
        <w:ind w:left="1320" w:hanging="1320" w:firstLineChars="0"/>
        <w:jc w:val="left"/>
        <w:rPr>
          <w:rFonts w:ascii="仿宋_GB2312" w:hAnsi="仿宋_GB2312" w:eastAsia="仿宋_GB2312" w:cs="仿宋_GB2312"/>
          <w:sz w:val="32"/>
          <w:szCs w:val="32"/>
        </w:rPr>
      </w:pPr>
      <w:r>
        <w:rPr>
          <w:rFonts w:hint="eastAsia" w:ascii="黑体" w:hAnsi="黑体" w:eastAsia="黑体" w:cs="黑体"/>
          <w:kern w:val="2"/>
          <w:sz w:val="32"/>
          <w:szCs w:val="32"/>
          <w:lang w:val="en-US" w:eastAsia="zh-CN" w:bidi="ar-SA"/>
        </w:rPr>
        <w:t>第四部分</w:t>
      </w:r>
      <w:r>
        <w:rPr>
          <w:rFonts w:hint="eastAsia" w:ascii="黑体" w:hAnsi="黑体" w:eastAsia="黑体"/>
          <w:sz w:val="32"/>
          <w:szCs w:val="32"/>
        </w:rPr>
        <w:t xml:space="preserve">   名词解释</w:t>
      </w:r>
    </w:p>
    <w:p w14:paraId="504192C0">
      <w:pPr>
        <w:spacing w:line="578" w:lineRule="exact"/>
        <w:jc w:val="left"/>
        <w:rPr>
          <w:rFonts w:ascii="黑体" w:hAnsi="黑体" w:eastAsia="黑体"/>
          <w:sz w:val="32"/>
          <w:szCs w:val="32"/>
        </w:rPr>
      </w:pPr>
    </w:p>
    <w:p w14:paraId="50FFB250">
      <w:pPr>
        <w:pStyle w:val="6"/>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14:paraId="642400D0">
      <w:pPr>
        <w:pStyle w:val="6"/>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儋州市新州镇中心幼儿园</w:t>
      </w:r>
      <w:r>
        <w:rPr>
          <w:rFonts w:hint="eastAsia" w:ascii="黑体" w:hAnsi="黑体" w:eastAsia="黑体"/>
          <w:sz w:val="32"/>
          <w:szCs w:val="32"/>
        </w:rPr>
        <w:t>概况</w:t>
      </w:r>
    </w:p>
    <w:p w14:paraId="4889870F">
      <w:pPr>
        <w:spacing w:line="578" w:lineRule="exact"/>
        <w:jc w:val="left"/>
        <w:rPr>
          <w:rFonts w:ascii="仿宋_GB2312" w:hAnsi="仿宋_GB2312" w:eastAsia="仿宋_GB2312" w:cs="仿宋_GB2312"/>
          <w:sz w:val="32"/>
          <w:szCs w:val="32"/>
        </w:rPr>
      </w:pPr>
    </w:p>
    <w:p w14:paraId="68DA23E7">
      <w:pPr>
        <w:pStyle w:val="6"/>
        <w:numPr>
          <w:ilvl w:val="0"/>
          <w:numId w:val="5"/>
        </w:numPr>
        <w:spacing w:line="240" w:lineRule="auto"/>
        <w:ind w:firstLine="0"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14:paraId="176D1BD1">
      <w:pPr>
        <w:pStyle w:val="6"/>
        <w:numPr>
          <w:ilvl w:val="0"/>
          <w:numId w:val="0"/>
        </w:numPr>
        <w:ind w:left="0"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儋州市新州镇中心幼儿园是一所隶属于儋州市教育局管理的公办性质的学前教育事业单位，主要职能是对3-6岁幼儿实施保育和教育。遵循保教结合的原则，对幼儿实施体、智、德、美诸全面发展的教育。</w:t>
      </w:r>
    </w:p>
    <w:p w14:paraId="79C5D609">
      <w:pPr>
        <w:spacing w:line="578" w:lineRule="exact"/>
        <w:ind w:firstLine="640" w:firstLineChars="200"/>
        <w:jc w:val="left"/>
        <w:rPr>
          <w:rFonts w:hint="eastAsia" w:ascii="仿宋" w:hAnsi="仿宋" w:eastAsia="仿宋" w:cs="仿宋"/>
          <w:sz w:val="32"/>
          <w:szCs w:val="32"/>
        </w:rPr>
      </w:pPr>
      <w:r>
        <w:rPr>
          <w:rFonts w:hint="eastAsia" w:ascii="黑体" w:hAnsi="黑体" w:eastAsia="黑体" w:cs="仿宋_GB2312"/>
          <w:sz w:val="32"/>
          <w:szCs w:val="32"/>
          <w:lang w:val="en-US" w:eastAsia="zh-CN"/>
        </w:rPr>
        <w:t>二、儋州市新州镇中心幼儿园</w:t>
      </w:r>
      <w:r>
        <w:rPr>
          <w:rFonts w:hint="eastAsia" w:ascii="黑体" w:hAnsi="黑体" w:eastAsia="黑体" w:cs="仿宋_GB2312"/>
          <w:sz w:val="32"/>
          <w:szCs w:val="32"/>
        </w:rPr>
        <w:t>构成</w:t>
      </w:r>
    </w:p>
    <w:p w14:paraId="082BE932">
      <w:pPr>
        <w:spacing w:line="240" w:lineRule="auto"/>
        <w:ind w:left="0"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儋州市新州镇中心幼儿园设5个内设机构，包括：园务办公室、保教室、财务室、教研室、后勤室。</w:t>
      </w:r>
    </w:p>
    <w:p w14:paraId="6DA4B19A">
      <w:pPr>
        <w:spacing w:line="578" w:lineRule="exact"/>
        <w:ind w:firstLine="640" w:firstLineChars="200"/>
        <w:jc w:val="both"/>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儋州市新州镇中心幼儿园2026年</w:t>
      </w:r>
      <w:r>
        <w:rPr>
          <w:rFonts w:hint="eastAsia" w:ascii="黑体" w:hAnsi="黑体" w:eastAsia="黑体"/>
          <w:sz w:val="32"/>
          <w:szCs w:val="32"/>
        </w:rPr>
        <w:t>预算表</w:t>
      </w:r>
    </w:p>
    <w:p w14:paraId="1A69E2C7">
      <w:pPr>
        <w:spacing w:line="578" w:lineRule="exact"/>
        <w:ind w:firstLine="640" w:firstLineChars="200"/>
        <w:rPr>
          <w:rFonts w:ascii="黑体" w:hAnsi="黑体" w:eastAsia="黑体"/>
          <w:sz w:val="32"/>
          <w:szCs w:val="32"/>
        </w:rPr>
      </w:pPr>
      <w:r>
        <w:rPr>
          <w:rFonts w:hint="eastAsia" w:ascii="仿宋_GB2312" w:hAnsi="黑体" w:eastAsia="仿宋_GB2312"/>
          <w:bCs/>
          <w:sz w:val="32"/>
          <w:szCs w:val="32"/>
        </w:rPr>
        <w:t>附:202</w:t>
      </w:r>
      <w:r>
        <w:rPr>
          <w:rFonts w:hint="eastAsia" w:ascii="仿宋_GB2312" w:hAnsi="黑体" w:eastAsia="仿宋_GB2312"/>
          <w:bCs/>
          <w:sz w:val="32"/>
          <w:szCs w:val="32"/>
          <w:lang w:val="en-US" w:eastAsia="zh-CN"/>
        </w:rPr>
        <w:t>6</w:t>
      </w:r>
      <w:r>
        <w:rPr>
          <w:rFonts w:hint="eastAsia" w:ascii="仿宋_GB2312" w:hAnsi="黑体" w:eastAsia="仿宋_GB2312"/>
          <w:bCs/>
          <w:sz w:val="32"/>
          <w:szCs w:val="32"/>
        </w:rPr>
        <w:t>年</w:t>
      </w:r>
      <w:r>
        <w:rPr>
          <w:rFonts w:hint="eastAsia" w:ascii="仿宋_GB2312" w:hAnsi="黑体" w:eastAsia="仿宋_GB2312"/>
          <w:bCs/>
          <w:sz w:val="32"/>
          <w:szCs w:val="32"/>
          <w:lang w:val="en-US" w:eastAsia="zh-CN"/>
        </w:rPr>
        <w:t>幼儿园</w:t>
      </w:r>
      <w:r>
        <w:rPr>
          <w:rFonts w:hint="eastAsia" w:ascii="仿宋_GB2312" w:hAnsi="黑体" w:eastAsia="仿宋_GB2312"/>
          <w:bCs/>
          <w:sz w:val="32"/>
          <w:szCs w:val="32"/>
        </w:rPr>
        <w:t>单位预算公开表</w:t>
      </w:r>
    </w:p>
    <w:p w14:paraId="24A91589">
      <w:pPr>
        <w:spacing w:line="240" w:lineRule="auto"/>
        <w:ind w:firstLine="800" w:firstLineChars="250"/>
        <w:jc w:val="left"/>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儋州市新州镇中心幼儿园2026年</w:t>
      </w:r>
      <w:r>
        <w:rPr>
          <w:rFonts w:hint="eastAsia" w:ascii="黑体" w:hAnsi="黑体" w:eastAsia="黑体"/>
          <w:sz w:val="32"/>
          <w:szCs w:val="32"/>
        </w:rPr>
        <w:t>预算情况说明</w:t>
      </w:r>
    </w:p>
    <w:p w14:paraId="7A2FB5B0">
      <w:pPr>
        <w:pStyle w:val="6"/>
        <w:numPr>
          <w:ilvl w:val="0"/>
          <w:numId w:val="0"/>
        </w:numPr>
        <w:ind w:firstLine="640" w:firstLineChars="200"/>
        <w:rPr>
          <w:rFonts w:ascii="黑体" w:hAnsi="黑体" w:eastAsia="黑体"/>
          <w:color w:val="FF0000"/>
          <w:sz w:val="32"/>
          <w:szCs w:val="32"/>
          <w:highlight w:val="none"/>
        </w:rPr>
      </w:pPr>
      <w:r>
        <w:rPr>
          <w:rFonts w:hint="eastAsia" w:ascii="黑体" w:hAnsi="黑体" w:eastAsia="黑体"/>
          <w:sz w:val="32"/>
          <w:szCs w:val="32"/>
        </w:rPr>
        <w:t>一、关于</w:t>
      </w:r>
      <w:r>
        <w:rPr>
          <w:rFonts w:hint="eastAsia" w:ascii="黑体" w:hAnsi="黑体" w:eastAsia="黑体"/>
          <w:sz w:val="32"/>
          <w:szCs w:val="32"/>
          <w:lang w:val="en-US" w:eastAsia="zh-CN"/>
        </w:rPr>
        <w:t>儋州市新州镇中心幼儿园2026年</w:t>
      </w:r>
      <w:r>
        <w:rPr>
          <w:rFonts w:hint="eastAsia" w:ascii="黑体" w:hAnsi="黑体" w:eastAsia="黑体"/>
          <w:sz w:val="32"/>
          <w:szCs w:val="32"/>
        </w:rPr>
        <w:t>财政拨款收支预算情况的总体说明</w:t>
      </w:r>
    </w:p>
    <w:p w14:paraId="170B5A96">
      <w:pPr>
        <w:pStyle w:val="3"/>
        <w:widowControl/>
        <w:pBdr>
          <w:top w:val="none" w:color="auto" w:sz="0" w:space="0"/>
          <w:left w:val="none" w:color="auto" w:sz="0" w:space="0"/>
          <w:bottom w:val="none" w:color="auto" w:sz="0" w:space="0"/>
          <w:right w:val="none" w:color="auto" w:sz="0" w:space="0"/>
        </w:pBdr>
        <w:shd w:val="clear" w:color="auto" w:fill="FFFFFF"/>
        <w:ind w:firstLine="645"/>
        <w:rPr>
          <w:rFonts w:hint="eastAsia" w:ascii="仿宋" w:hAnsi="仿宋" w:eastAsia="仿宋" w:cs="仿宋"/>
          <w:sz w:val="32"/>
          <w:szCs w:val="32"/>
        </w:rPr>
      </w:pPr>
      <w:r>
        <w:rPr>
          <w:rFonts w:hint="eastAsia" w:ascii="仿宋" w:hAnsi="仿宋" w:eastAsia="仿宋" w:cs="仿宋"/>
          <w:sz w:val="32"/>
          <w:szCs w:val="32"/>
          <w:lang w:val="en-US" w:eastAsia="zh-CN"/>
        </w:rPr>
        <w:t>儋州市新州镇中心幼儿园2026</w:t>
      </w:r>
      <w:r>
        <w:rPr>
          <w:rFonts w:hint="eastAsia" w:ascii="仿宋" w:hAnsi="仿宋" w:eastAsia="仿宋" w:cs="仿宋"/>
          <w:sz w:val="32"/>
          <w:szCs w:val="32"/>
        </w:rPr>
        <w:t>年财政拨款收支总</w:t>
      </w:r>
      <w:r>
        <w:rPr>
          <w:rFonts w:hint="eastAsia" w:ascii="仿宋" w:hAnsi="仿宋" w:eastAsia="仿宋" w:cs="仿宋"/>
          <w:sz w:val="32"/>
          <w:szCs w:val="32"/>
          <w:lang w:eastAsia="zh-CN"/>
        </w:rPr>
        <w:t>预算</w:t>
      </w:r>
      <w:r>
        <w:rPr>
          <w:rFonts w:hint="eastAsia" w:ascii="仿宋" w:hAnsi="仿宋" w:eastAsia="仿宋" w:cs="仿宋"/>
          <w:sz w:val="32"/>
          <w:szCs w:val="32"/>
          <w:lang w:val="en-US" w:eastAsia="zh-CN"/>
        </w:rPr>
        <w:t>580.35</w:t>
      </w:r>
      <w:r>
        <w:rPr>
          <w:rFonts w:hint="eastAsia" w:ascii="仿宋" w:hAnsi="仿宋" w:eastAsia="仿宋" w:cs="仿宋"/>
          <w:sz w:val="32"/>
          <w:szCs w:val="32"/>
        </w:rPr>
        <w:t>万元。其中，收入总计</w:t>
      </w:r>
      <w:r>
        <w:rPr>
          <w:rFonts w:hint="eastAsia" w:ascii="仿宋" w:hAnsi="仿宋" w:eastAsia="仿宋" w:cs="仿宋"/>
          <w:sz w:val="32"/>
          <w:szCs w:val="32"/>
          <w:lang w:val="en-US" w:eastAsia="zh-CN"/>
        </w:rPr>
        <w:t>580.35</w:t>
      </w:r>
      <w:r>
        <w:rPr>
          <w:rFonts w:hint="eastAsia" w:ascii="仿宋" w:hAnsi="仿宋" w:eastAsia="仿宋" w:cs="仿宋"/>
          <w:sz w:val="32"/>
          <w:szCs w:val="32"/>
        </w:rPr>
        <w:t>万元，包括一般公共预算本年收入</w:t>
      </w:r>
      <w:r>
        <w:rPr>
          <w:rFonts w:hint="eastAsia" w:ascii="仿宋" w:hAnsi="仿宋" w:eastAsia="仿宋" w:cs="仿宋"/>
          <w:sz w:val="32"/>
          <w:szCs w:val="32"/>
          <w:lang w:val="en-US" w:eastAsia="zh-CN"/>
        </w:rPr>
        <w:t>573.41</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6.94</w:t>
      </w:r>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580.35</w:t>
      </w:r>
      <w:r>
        <w:rPr>
          <w:rFonts w:hint="eastAsia" w:ascii="仿宋" w:hAnsi="仿宋" w:eastAsia="仿宋" w:cs="仿宋"/>
          <w:sz w:val="32"/>
          <w:szCs w:val="32"/>
        </w:rPr>
        <w:t>万元，</w:t>
      </w:r>
      <w:r>
        <w:rPr>
          <w:rFonts w:hint="eastAsia" w:ascii="仿宋_GB2312" w:hAnsi="微软雅黑" w:eastAsia="仿宋_GB2312" w:cs="仿宋_GB2312"/>
          <w:i w:val="0"/>
          <w:iCs w:val="0"/>
          <w:caps w:val="0"/>
          <w:color w:val="3A3A3A"/>
          <w:spacing w:val="0"/>
          <w:sz w:val="32"/>
          <w:szCs w:val="32"/>
          <w:shd w:val="clear" w:color="auto" w:fill="FFFFFF"/>
          <w:lang w:val="en-US" w:eastAsia="zh-CN"/>
        </w:rPr>
        <w:t>包括教育支出492.09万元、社会保险和就业支出39.48万元、卫生健康支出27.07万元，住房保障支出21.71万元，结转下年0万元。</w:t>
      </w:r>
    </w:p>
    <w:p w14:paraId="15E12FC2">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儋州市新州镇中心幼儿园2026</w:t>
      </w:r>
      <w:r>
        <w:rPr>
          <w:rFonts w:hint="eastAsia" w:ascii="黑体" w:hAnsi="黑体" w:eastAsia="黑体"/>
          <w:sz w:val="32"/>
          <w:szCs w:val="32"/>
        </w:rPr>
        <w:t>年一般公共预算当年拨款情况说明</w:t>
      </w:r>
    </w:p>
    <w:p w14:paraId="5D778544">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14:paraId="1F0DB6D8">
      <w:pPr>
        <w:spacing w:line="24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lang w:val="en-US" w:eastAsia="zh-CN"/>
        </w:rPr>
        <w:t>儋州市新州镇中心幼儿园2026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573.41</w:t>
      </w:r>
      <w:r>
        <w:rPr>
          <w:rFonts w:hint="eastAsia" w:ascii="仿宋" w:hAnsi="仿宋" w:eastAsia="仿宋" w:cs="仿宋"/>
          <w:sz w:val="32"/>
          <w:szCs w:val="32"/>
        </w:rPr>
        <w:t>万元，比上年预算数增加</w:t>
      </w:r>
      <w:r>
        <w:rPr>
          <w:rFonts w:hint="eastAsia" w:ascii="仿宋" w:hAnsi="仿宋" w:eastAsia="仿宋" w:cs="仿宋"/>
          <w:sz w:val="32"/>
          <w:szCs w:val="32"/>
          <w:lang w:val="en-US" w:eastAsia="zh-CN"/>
        </w:rPr>
        <w:t>92.67</w:t>
      </w:r>
      <w:r>
        <w:rPr>
          <w:rFonts w:hint="eastAsia" w:ascii="仿宋" w:hAnsi="仿宋" w:eastAsia="仿宋" w:cs="仿宋"/>
          <w:sz w:val="32"/>
          <w:szCs w:val="32"/>
        </w:rPr>
        <w:t>万元，</w:t>
      </w:r>
      <w:r>
        <w:rPr>
          <w:rFonts w:hint="eastAsia" w:ascii="仿宋_GB2312" w:hAnsi="黑体" w:eastAsia="仿宋_GB2312"/>
          <w:color w:val="000000" w:themeColor="text1"/>
          <w:sz w:val="32"/>
          <w:szCs w:val="32"/>
          <w:lang w:val="en-US" w:eastAsia="zh-CN"/>
          <w14:textFill>
            <w14:solidFill>
              <w14:schemeClr w14:val="tx1"/>
            </w14:solidFill>
          </w14:textFill>
        </w:rPr>
        <w:t>主要是本年教育支出增加。</w:t>
      </w:r>
    </w:p>
    <w:p w14:paraId="26AE5DA1">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14:paraId="7C619A67">
      <w:pPr>
        <w:spacing w:line="24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492.09</w:t>
      </w:r>
      <w:r>
        <w:rPr>
          <w:rFonts w:hint="eastAsia" w:ascii="仿宋" w:hAnsi="仿宋" w:eastAsia="仿宋" w:cs="仿宋"/>
          <w:sz w:val="32"/>
          <w:szCs w:val="32"/>
        </w:rPr>
        <w:t>万元，占</w:t>
      </w:r>
      <w:r>
        <w:rPr>
          <w:rFonts w:hint="eastAsia" w:ascii="仿宋" w:hAnsi="仿宋" w:eastAsia="仿宋" w:cs="仿宋"/>
          <w:sz w:val="32"/>
          <w:szCs w:val="32"/>
          <w:lang w:val="en-US" w:eastAsia="zh-CN"/>
        </w:rPr>
        <w:t>84.79</w:t>
      </w:r>
      <w:r>
        <w:rPr>
          <w:rFonts w:hint="eastAsia" w:ascii="仿宋" w:hAnsi="仿宋" w:eastAsia="仿宋" w:cs="仿宋"/>
          <w:sz w:val="32"/>
          <w:szCs w:val="32"/>
        </w:rPr>
        <w:t>%；</w:t>
      </w:r>
      <w:r>
        <w:rPr>
          <w:rFonts w:hint="eastAsia" w:ascii="仿宋_GB2312" w:hAnsi="黑体" w:eastAsia="仿宋_GB2312"/>
          <w:sz w:val="32"/>
          <w:szCs w:val="32"/>
          <w:lang w:val="en-US" w:eastAsia="zh-CN"/>
        </w:rPr>
        <w:t>社会保险和就业支出39.48万元，占6.80%；卫生健康支出27.07万元，占4.66%；住房保障支出21.71万元，占3.74%。</w:t>
      </w:r>
    </w:p>
    <w:p w14:paraId="5D89F2BE">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14:paraId="60D3C54A">
      <w:pPr>
        <w:ind w:firstLine="640" w:firstLineChars="200"/>
        <w:rPr>
          <w:rFonts w:hint="eastAsia" w:ascii="仿宋_GB2312" w:hAnsi="黑体" w:eastAsia="仿宋_GB2312"/>
          <w:color w:val="FF0000"/>
          <w:sz w:val="32"/>
          <w:szCs w:val="32"/>
          <w:lang w:val="en-US" w:eastAsia="zh-CN"/>
        </w:rPr>
      </w:pPr>
      <w:r>
        <w:rPr>
          <w:rFonts w:hint="default" w:ascii="仿宋_GB2312" w:hAnsi="黑体" w:eastAsia="仿宋_GB2312"/>
          <w:sz w:val="32"/>
          <w:szCs w:val="32"/>
          <w:lang w:val="en-US" w:eastAsia="zh-CN"/>
        </w:rPr>
        <w:t>1.教育支出（类）普通教育（款）学前教育（项）202</w:t>
      </w: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年预算数为</w:t>
      </w:r>
      <w:r>
        <w:rPr>
          <w:rFonts w:hint="eastAsia" w:ascii="仿宋_GB2312" w:hAnsi="黑体" w:eastAsia="仿宋_GB2312"/>
          <w:sz w:val="32"/>
          <w:szCs w:val="32"/>
          <w:lang w:val="en-US" w:eastAsia="zh-CN"/>
        </w:rPr>
        <w:t>492.09万</w:t>
      </w:r>
      <w:r>
        <w:rPr>
          <w:rFonts w:hint="default" w:ascii="仿宋_GB2312" w:hAnsi="黑体" w:eastAsia="仿宋_GB2312"/>
          <w:sz w:val="32"/>
          <w:szCs w:val="32"/>
          <w:lang w:val="en-US" w:eastAsia="zh-CN"/>
        </w:rPr>
        <w:t>元，比上年预算数</w:t>
      </w:r>
      <w:r>
        <w:rPr>
          <w:rFonts w:hint="eastAsia" w:ascii="仿宋_GB2312" w:hAnsi="黑体" w:eastAsia="仿宋_GB2312"/>
          <w:sz w:val="32"/>
          <w:szCs w:val="32"/>
          <w:lang w:val="en-US" w:eastAsia="zh-CN"/>
        </w:rPr>
        <w:t>增加83.2万</w:t>
      </w:r>
      <w:r>
        <w:rPr>
          <w:rFonts w:hint="default" w:ascii="仿宋_GB2312" w:hAnsi="黑体" w:eastAsia="仿宋_GB2312"/>
          <w:sz w:val="32"/>
          <w:szCs w:val="32"/>
          <w:lang w:val="en-US" w:eastAsia="zh-CN"/>
        </w:rPr>
        <w:t>元，</w:t>
      </w:r>
      <w:r>
        <w:rPr>
          <w:rFonts w:hint="eastAsia" w:ascii="仿宋_GB2312" w:hAnsi="黑体" w:eastAsia="仿宋_GB2312"/>
          <w:sz w:val="32"/>
          <w:szCs w:val="32"/>
          <w:lang w:val="en-US" w:eastAsia="zh-CN"/>
        </w:rPr>
        <w:t>主要是学前教育生均经费、办公用运转经费及学校事务管理与后勤服务经费增加。</w:t>
      </w:r>
    </w:p>
    <w:p w14:paraId="6E4FBC28">
      <w:pPr>
        <w:ind w:firstLine="640" w:firstLineChars="200"/>
        <w:rPr>
          <w:rFonts w:hint="default" w:ascii="仿宋_GB2312" w:hAnsi="黑体" w:eastAsia="仿宋_GB2312"/>
          <w:color w:val="C00000"/>
          <w:sz w:val="32"/>
          <w:szCs w:val="32"/>
          <w:lang w:val="en-US" w:eastAsia="zh-CN"/>
        </w:rPr>
      </w:pPr>
      <w:r>
        <w:rPr>
          <w:rFonts w:hint="eastAsia" w:ascii="仿宋_GB2312" w:hAnsi="黑体" w:eastAsia="仿宋_GB2312"/>
          <w:sz w:val="32"/>
          <w:szCs w:val="32"/>
          <w:lang w:val="en-US" w:eastAsia="zh-CN"/>
        </w:rPr>
        <w:t xml:space="preserve"> </w:t>
      </w:r>
      <w:r>
        <w:rPr>
          <w:rFonts w:hint="default" w:ascii="仿宋_GB2312" w:hAnsi="黑体" w:eastAsia="仿宋_GB2312"/>
          <w:sz w:val="32"/>
          <w:szCs w:val="32"/>
          <w:lang w:val="en-US" w:eastAsia="zh-CN"/>
        </w:rPr>
        <w:t>2. 社会保障和就业支出（类）行政事业单位养老支出（款）机关事业单位基本养老保险缴费支出（项）202</w:t>
      </w: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年预算数为</w:t>
      </w:r>
      <w:r>
        <w:rPr>
          <w:rFonts w:hint="eastAsia" w:ascii="仿宋_GB2312" w:hAnsi="黑体" w:eastAsia="仿宋_GB2312"/>
          <w:sz w:val="32"/>
          <w:szCs w:val="32"/>
          <w:lang w:val="en-US" w:eastAsia="zh-CN"/>
        </w:rPr>
        <w:t>26.32万</w:t>
      </w:r>
      <w:r>
        <w:rPr>
          <w:rFonts w:hint="default" w:ascii="仿宋_GB2312" w:hAnsi="黑体" w:eastAsia="仿宋_GB2312"/>
          <w:sz w:val="32"/>
          <w:szCs w:val="32"/>
          <w:lang w:val="en-US" w:eastAsia="zh-CN"/>
        </w:rPr>
        <w:t>元，比上年预算数增加</w:t>
      </w:r>
      <w:r>
        <w:rPr>
          <w:rFonts w:hint="eastAsia" w:ascii="仿宋_GB2312" w:hAnsi="黑体" w:eastAsia="仿宋_GB2312"/>
          <w:sz w:val="32"/>
          <w:szCs w:val="32"/>
          <w:lang w:val="en-US" w:eastAsia="zh-CN"/>
        </w:rPr>
        <w:t>3.05万</w:t>
      </w:r>
      <w:r>
        <w:rPr>
          <w:rFonts w:hint="default" w:ascii="仿宋_GB2312" w:hAnsi="黑体" w:eastAsia="仿宋_GB2312"/>
          <w:sz w:val="32"/>
          <w:szCs w:val="32"/>
          <w:lang w:val="en-US" w:eastAsia="zh-CN"/>
        </w:rPr>
        <w:t>元，</w:t>
      </w:r>
      <w:r>
        <w:rPr>
          <w:rFonts w:hint="eastAsia" w:ascii="仿宋_GB2312" w:hAnsi="黑体" w:eastAsia="仿宋_GB2312"/>
          <w:sz w:val="32"/>
          <w:szCs w:val="32"/>
          <w:lang w:val="en-US" w:eastAsia="zh-CN"/>
        </w:rPr>
        <w:t>主要是在编人员工资及社保增加。</w:t>
      </w:r>
    </w:p>
    <w:p w14:paraId="129DCACF">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w:t>
      </w:r>
      <w:r>
        <w:rPr>
          <w:rFonts w:hint="default" w:ascii="仿宋_GB2312" w:hAnsi="黑体" w:eastAsia="仿宋_GB2312"/>
          <w:sz w:val="32"/>
          <w:szCs w:val="32"/>
          <w:lang w:val="en-US" w:eastAsia="zh-CN"/>
        </w:rPr>
        <w:t>社会保障和就业支出（类）行政事业单位养老支出（款）</w:t>
      </w:r>
      <w:r>
        <w:rPr>
          <w:rFonts w:hint="eastAsia" w:ascii="仿宋_GB2312" w:hAnsi="黑体" w:eastAsia="仿宋_GB2312"/>
          <w:sz w:val="32"/>
          <w:szCs w:val="32"/>
          <w:lang w:val="en-US" w:eastAsia="zh-CN"/>
        </w:rPr>
        <w:t>机关事业单位职业年金缴费支出（项）2026年预算数为13.16万元，</w:t>
      </w:r>
      <w:r>
        <w:rPr>
          <w:rFonts w:hint="default" w:ascii="仿宋_GB2312" w:hAnsi="黑体" w:eastAsia="仿宋_GB2312"/>
          <w:sz w:val="32"/>
          <w:szCs w:val="32"/>
          <w:lang w:val="en-US" w:eastAsia="zh-CN"/>
        </w:rPr>
        <w:t>比上年预算数增加</w:t>
      </w:r>
      <w:r>
        <w:rPr>
          <w:rFonts w:hint="eastAsia" w:ascii="仿宋_GB2312" w:hAnsi="黑体" w:eastAsia="仿宋_GB2312"/>
          <w:sz w:val="32"/>
          <w:szCs w:val="32"/>
          <w:lang w:val="en-US" w:eastAsia="zh-CN"/>
        </w:rPr>
        <w:t>1.52万</w:t>
      </w:r>
      <w:r>
        <w:rPr>
          <w:rFonts w:hint="default" w:ascii="仿宋_GB2312" w:hAnsi="黑体" w:eastAsia="仿宋_GB2312"/>
          <w:sz w:val="32"/>
          <w:szCs w:val="32"/>
          <w:lang w:val="en-US" w:eastAsia="zh-CN"/>
        </w:rPr>
        <w:t>元，</w:t>
      </w:r>
      <w:r>
        <w:rPr>
          <w:rFonts w:hint="eastAsia" w:ascii="仿宋_GB2312" w:hAnsi="黑体" w:eastAsia="仿宋_GB2312"/>
          <w:sz w:val="32"/>
          <w:szCs w:val="32"/>
          <w:lang w:val="en-US" w:eastAsia="zh-CN"/>
        </w:rPr>
        <w:t>主要是在编人员工资增加。</w:t>
      </w:r>
    </w:p>
    <w:p w14:paraId="0313D60C">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4、</w:t>
      </w:r>
      <w:r>
        <w:rPr>
          <w:rFonts w:hint="default" w:ascii="仿宋_GB2312" w:hAnsi="黑体" w:eastAsia="仿宋_GB2312"/>
          <w:sz w:val="32"/>
          <w:szCs w:val="32"/>
          <w:lang w:val="en-US" w:eastAsia="zh-CN"/>
        </w:rPr>
        <w:t>卫生健康支出（类）行政事业单位医疗（款）事业单位医疗（项）202</w:t>
      </w: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年预算数为</w:t>
      </w:r>
      <w:r>
        <w:rPr>
          <w:rFonts w:hint="eastAsia" w:ascii="仿宋_GB2312" w:hAnsi="黑体" w:eastAsia="仿宋_GB2312"/>
          <w:sz w:val="32"/>
          <w:szCs w:val="32"/>
          <w:lang w:val="en-US" w:eastAsia="zh-CN"/>
        </w:rPr>
        <w:t>8.98万</w:t>
      </w:r>
      <w:r>
        <w:rPr>
          <w:rFonts w:hint="default" w:ascii="仿宋_GB2312" w:hAnsi="黑体" w:eastAsia="仿宋_GB2312"/>
          <w:sz w:val="32"/>
          <w:szCs w:val="32"/>
          <w:lang w:val="en-US" w:eastAsia="zh-CN"/>
        </w:rPr>
        <w:t>元，比上年预算数</w:t>
      </w:r>
      <w:r>
        <w:rPr>
          <w:rFonts w:hint="eastAsia" w:ascii="仿宋_GB2312" w:hAnsi="黑体" w:eastAsia="仿宋_GB2312"/>
          <w:sz w:val="32"/>
          <w:szCs w:val="32"/>
          <w:lang w:val="en-US" w:eastAsia="zh-CN"/>
        </w:rPr>
        <w:t>减少1.43万</w:t>
      </w:r>
      <w:r>
        <w:rPr>
          <w:rFonts w:hint="default" w:ascii="仿宋_GB2312" w:hAnsi="黑体" w:eastAsia="仿宋_GB2312"/>
          <w:sz w:val="32"/>
          <w:szCs w:val="32"/>
          <w:lang w:val="en-US" w:eastAsia="zh-CN"/>
        </w:rPr>
        <w:t>元</w:t>
      </w:r>
      <w:r>
        <w:rPr>
          <w:rFonts w:hint="eastAsia" w:ascii="仿宋_GB2312" w:hAnsi="黑体" w:eastAsia="仿宋_GB2312"/>
          <w:color w:val="auto"/>
          <w:sz w:val="32"/>
          <w:szCs w:val="32"/>
          <w:lang w:val="en-US" w:eastAsia="zh-CN"/>
        </w:rPr>
        <w:t>。</w:t>
      </w:r>
      <w:r>
        <w:rPr>
          <w:rFonts w:hint="eastAsia" w:ascii="仿宋_GB2312" w:hAnsi="黑体" w:eastAsia="仿宋_GB2312"/>
          <w:sz w:val="32"/>
          <w:szCs w:val="32"/>
          <w:lang w:val="en-US" w:eastAsia="zh-CN"/>
        </w:rPr>
        <w:t>主要是医疗保险比例从6.5%降为6.35%，减少0.15%</w:t>
      </w:r>
      <w:bookmarkStart w:id="0" w:name="_GoBack"/>
      <w:bookmarkEnd w:id="0"/>
      <w:r>
        <w:rPr>
          <w:rFonts w:hint="eastAsia" w:ascii="仿宋_GB2312" w:hAnsi="黑体" w:eastAsia="仿宋_GB2312"/>
          <w:sz w:val="32"/>
          <w:szCs w:val="32"/>
          <w:lang w:val="en-US" w:eastAsia="zh-CN"/>
        </w:rPr>
        <w:t>。</w:t>
      </w:r>
    </w:p>
    <w:p w14:paraId="2AAE0BA5">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5、</w:t>
      </w:r>
      <w:r>
        <w:rPr>
          <w:rFonts w:hint="default" w:ascii="仿宋_GB2312" w:hAnsi="黑体" w:eastAsia="仿宋_GB2312"/>
          <w:sz w:val="32"/>
          <w:szCs w:val="32"/>
          <w:lang w:val="en-US" w:eastAsia="zh-CN"/>
        </w:rPr>
        <w:t>卫生健康支出（类）行政事业单位医疗（款）公务员医疗补助（项）202</w:t>
      </w: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年预算数为</w:t>
      </w:r>
      <w:r>
        <w:rPr>
          <w:rFonts w:hint="eastAsia" w:ascii="仿宋_GB2312" w:hAnsi="黑体" w:eastAsia="仿宋_GB2312"/>
          <w:sz w:val="32"/>
          <w:szCs w:val="32"/>
          <w:lang w:val="en-US" w:eastAsia="zh-CN"/>
        </w:rPr>
        <w:t>18.09万</w:t>
      </w:r>
      <w:r>
        <w:rPr>
          <w:rFonts w:hint="default" w:ascii="仿宋_GB2312" w:hAnsi="黑体" w:eastAsia="仿宋_GB2312"/>
          <w:sz w:val="32"/>
          <w:szCs w:val="32"/>
          <w:lang w:val="en-US" w:eastAsia="zh-CN"/>
        </w:rPr>
        <w:t>元，比上年预算数增加</w:t>
      </w:r>
      <w:r>
        <w:rPr>
          <w:rFonts w:hint="eastAsia" w:ascii="仿宋_GB2312" w:hAnsi="黑体" w:eastAsia="仿宋_GB2312"/>
          <w:sz w:val="32"/>
          <w:szCs w:val="32"/>
          <w:lang w:val="en-US" w:eastAsia="zh-CN"/>
        </w:rPr>
        <w:t>1.98万</w:t>
      </w:r>
      <w:r>
        <w:rPr>
          <w:rFonts w:hint="default" w:ascii="仿宋_GB2312" w:hAnsi="黑体" w:eastAsia="仿宋_GB2312"/>
          <w:sz w:val="32"/>
          <w:szCs w:val="32"/>
          <w:lang w:val="en-US" w:eastAsia="zh-CN"/>
        </w:rPr>
        <w:t>元，</w:t>
      </w:r>
      <w:r>
        <w:rPr>
          <w:rFonts w:hint="eastAsia" w:ascii="仿宋_GB2312" w:hAnsi="黑体" w:eastAsia="仿宋_GB2312"/>
          <w:sz w:val="32"/>
          <w:szCs w:val="32"/>
          <w:lang w:val="en-US" w:eastAsia="zh-CN"/>
        </w:rPr>
        <w:t>主要是在编人员工资增加。</w:t>
      </w:r>
    </w:p>
    <w:p w14:paraId="6409BBE9">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住房保障支出（类）住房改革支出（款）住房公积金（项）202</w:t>
      </w:r>
      <w:r>
        <w:rPr>
          <w:rFonts w:hint="eastAsia" w:ascii="仿宋_GB2312" w:hAnsi="黑体" w:eastAsia="仿宋_GB2312"/>
          <w:sz w:val="32"/>
          <w:szCs w:val="32"/>
          <w:lang w:val="en-US" w:eastAsia="zh-CN"/>
        </w:rPr>
        <w:t>6</w:t>
      </w:r>
      <w:r>
        <w:rPr>
          <w:rFonts w:hint="default" w:ascii="仿宋_GB2312" w:hAnsi="黑体" w:eastAsia="仿宋_GB2312"/>
          <w:sz w:val="32"/>
          <w:szCs w:val="32"/>
          <w:lang w:val="en-US" w:eastAsia="zh-CN"/>
        </w:rPr>
        <w:t>年预算数为</w:t>
      </w:r>
      <w:r>
        <w:rPr>
          <w:rFonts w:hint="eastAsia" w:ascii="仿宋_GB2312" w:hAnsi="黑体" w:eastAsia="仿宋_GB2312"/>
          <w:sz w:val="32"/>
          <w:szCs w:val="32"/>
          <w:lang w:val="en-US" w:eastAsia="zh-CN"/>
        </w:rPr>
        <w:t>21.71万</w:t>
      </w:r>
      <w:r>
        <w:rPr>
          <w:rFonts w:hint="default" w:ascii="仿宋_GB2312" w:hAnsi="黑体" w:eastAsia="仿宋_GB2312"/>
          <w:sz w:val="32"/>
          <w:szCs w:val="32"/>
          <w:lang w:val="en-US" w:eastAsia="zh-CN"/>
        </w:rPr>
        <w:t>元，比上年预算数增加</w:t>
      </w:r>
      <w:r>
        <w:rPr>
          <w:rFonts w:hint="eastAsia" w:ascii="仿宋_GB2312" w:hAnsi="黑体" w:eastAsia="仿宋_GB2312"/>
          <w:sz w:val="32"/>
          <w:szCs w:val="32"/>
          <w:lang w:val="en-US" w:eastAsia="zh-CN"/>
        </w:rPr>
        <w:t>2.38万</w:t>
      </w:r>
      <w:r>
        <w:rPr>
          <w:rFonts w:hint="default" w:ascii="仿宋_GB2312" w:hAnsi="黑体" w:eastAsia="仿宋_GB2312"/>
          <w:sz w:val="32"/>
          <w:szCs w:val="32"/>
          <w:lang w:val="en-US" w:eastAsia="zh-CN"/>
        </w:rPr>
        <w:t>元，</w:t>
      </w:r>
      <w:r>
        <w:rPr>
          <w:rFonts w:hint="eastAsia" w:ascii="仿宋_GB2312" w:hAnsi="黑体" w:eastAsia="仿宋_GB2312"/>
          <w:sz w:val="32"/>
          <w:szCs w:val="32"/>
          <w:lang w:val="en-US" w:eastAsia="zh-CN"/>
        </w:rPr>
        <w:t>主要是在编人员工资增加</w:t>
      </w:r>
      <w:r>
        <w:rPr>
          <w:rFonts w:hint="eastAsia" w:ascii="仿宋_GB2312" w:hAnsi="黑体" w:eastAsia="仿宋_GB2312"/>
          <w:color w:val="auto"/>
          <w:sz w:val="32"/>
          <w:szCs w:val="32"/>
          <w:lang w:val="en-US" w:eastAsia="zh-CN"/>
        </w:rPr>
        <w:t>。</w:t>
      </w:r>
    </w:p>
    <w:p w14:paraId="063C9106">
      <w:pPr>
        <w:spacing w:line="578" w:lineRule="exact"/>
        <w:ind w:firstLine="640"/>
        <w:rPr>
          <w:rFonts w:ascii="黑体" w:hAnsi="黑体" w:eastAsia="黑体"/>
          <w:sz w:val="32"/>
          <w:szCs w:val="32"/>
        </w:rPr>
      </w:pPr>
      <w:r>
        <w:rPr>
          <w:rFonts w:hint="eastAsia" w:ascii="黑体" w:hAnsi="黑体" w:eastAsia="黑体"/>
          <w:sz w:val="32"/>
          <w:szCs w:val="32"/>
        </w:rPr>
        <w:t>三、</w:t>
      </w:r>
      <w:r>
        <w:rPr>
          <w:rFonts w:hint="eastAsia" w:ascii="黑体" w:hAnsi="黑体" w:eastAsia="黑体"/>
          <w:sz w:val="32"/>
          <w:szCs w:val="32"/>
          <w:lang w:val="en-US" w:eastAsia="zh-CN"/>
        </w:rPr>
        <w:t>儋州市新州镇中心幼儿园2026</w:t>
      </w:r>
      <w:r>
        <w:rPr>
          <w:rFonts w:hint="eastAsia" w:ascii="黑体" w:hAnsi="黑体" w:eastAsia="黑体"/>
          <w:sz w:val="32"/>
          <w:szCs w:val="32"/>
        </w:rPr>
        <w:t>年一般公共预算基本支出情况说明</w:t>
      </w:r>
    </w:p>
    <w:p w14:paraId="0F594584">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460.21</w:t>
      </w:r>
      <w:r>
        <w:rPr>
          <w:rFonts w:hint="eastAsia" w:ascii="仿宋_GB2312" w:hAnsi="黑体" w:eastAsia="仿宋_GB2312"/>
          <w:sz w:val="32"/>
          <w:szCs w:val="32"/>
        </w:rPr>
        <w:t>万元，其中：</w:t>
      </w:r>
    </w:p>
    <w:p w14:paraId="0C65A74B">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457.26</w:t>
      </w:r>
      <w:r>
        <w:rPr>
          <w:rFonts w:hint="eastAsia" w:ascii="仿宋_GB2312" w:hAnsi="黑体" w:eastAsia="仿宋_GB2312"/>
          <w:sz w:val="32"/>
          <w:szCs w:val="32"/>
        </w:rPr>
        <w:t>万元，主要包括：基本工资、津贴补贴、</w:t>
      </w:r>
      <w:r>
        <w:rPr>
          <w:rFonts w:hint="eastAsia" w:ascii="仿宋_GB2312" w:hAnsi="黑体" w:eastAsia="仿宋_GB2312"/>
          <w:sz w:val="32"/>
          <w:szCs w:val="32"/>
          <w:lang w:val="en-US" w:eastAsia="zh-CN"/>
        </w:rPr>
        <w:t>奖金、</w:t>
      </w:r>
      <w:r>
        <w:rPr>
          <w:rFonts w:hint="eastAsia" w:ascii="仿宋_GB2312" w:hAnsi="黑体" w:eastAsia="仿宋_GB2312"/>
          <w:sz w:val="32"/>
          <w:szCs w:val="32"/>
        </w:rPr>
        <w:t>绩效工资、机关事业单位基本养老保险缴费、</w:t>
      </w:r>
      <w:r>
        <w:rPr>
          <w:rFonts w:hint="eastAsia" w:ascii="仿宋_GB2312" w:hAnsi="黑体" w:eastAsia="仿宋_GB2312"/>
          <w:sz w:val="32"/>
          <w:szCs w:val="32"/>
          <w:lang w:val="en-US" w:eastAsia="zh-CN"/>
        </w:rPr>
        <w:t>职业年金缴费、</w:t>
      </w:r>
      <w:r>
        <w:rPr>
          <w:rFonts w:hint="eastAsia" w:ascii="仿宋_GB2312" w:hAnsi="黑体" w:eastAsia="仿宋_GB2312"/>
          <w:sz w:val="32"/>
          <w:szCs w:val="32"/>
        </w:rPr>
        <w:t>职工基本医疗保险缴费、公务员医疗补助缴费、其他社会保险缴费、住房公积金、</w:t>
      </w:r>
      <w:r>
        <w:rPr>
          <w:rFonts w:hint="eastAsia" w:ascii="仿宋_GB2312" w:hAnsi="黑体" w:eastAsia="仿宋_GB2312"/>
          <w:sz w:val="32"/>
          <w:szCs w:val="32"/>
          <w:lang w:val="en-US" w:eastAsia="zh-CN"/>
        </w:rPr>
        <w:t>其他工资福利支出、邮电费。</w:t>
      </w:r>
    </w:p>
    <w:p w14:paraId="6CE4AB93">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2.95</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工会经费</w:t>
      </w:r>
      <w:r>
        <w:rPr>
          <w:rFonts w:hint="eastAsia" w:ascii="仿宋_GB2312" w:hAnsi="黑体" w:eastAsia="仿宋_GB2312"/>
          <w:sz w:val="32"/>
          <w:szCs w:val="32"/>
        </w:rPr>
        <w:t>。</w:t>
      </w:r>
    </w:p>
    <w:p w14:paraId="7868B3C4">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val="en-US" w:eastAsia="zh-CN"/>
        </w:rPr>
        <w:t>儋州市新州镇中心幼儿园2026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14:paraId="799D7AE7">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年一般公共预算“</w:t>
      </w:r>
      <w:r>
        <w:rPr>
          <w:rFonts w:hint="eastAsia" w:ascii="仿宋_GB2312" w:hAnsi="黑体" w:eastAsia="仿宋_GB2312"/>
          <w:sz w:val="32"/>
          <w:szCs w:val="32"/>
          <w:lang w:val="en-US" w:eastAsia="zh-CN"/>
        </w:rPr>
        <w:t>三公”经费预算数为43.2万元，其中：</w:t>
      </w:r>
    </w:p>
    <w:p w14:paraId="665D372F">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因公出国（境）经费0万元，与上年预算持平。</w:t>
      </w:r>
      <w:r>
        <w:rPr>
          <w:rFonts w:hint="default" w:ascii="仿宋_GB2312" w:hAnsi="黑体" w:eastAsia="仿宋_GB2312"/>
          <w:sz w:val="32"/>
          <w:szCs w:val="32"/>
          <w:lang w:val="en-US" w:eastAsia="zh-CN"/>
        </w:rPr>
        <w:t>公务用车购置及运行费0万元（其中，公务用车购置费0万元，公务用车运行费0万元），与上年预算持平；公务接待费0万元，与上年预算持平。</w:t>
      </w:r>
    </w:p>
    <w:p w14:paraId="5493AFAF">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（二）儋州市新州镇中心幼儿园2026年政府性基金预算“三公”经费预算数为0万元，其中：</w:t>
      </w:r>
    </w:p>
    <w:p w14:paraId="0309C8D2">
      <w:pPr>
        <w:spacing w:line="240" w:lineRule="auto"/>
        <w:ind w:firstLine="640" w:firstLineChars="200"/>
        <w:rPr>
          <w:rFonts w:hint="eastAsia" w:ascii="仿宋" w:hAnsi="仿宋" w:eastAsia="仿宋" w:cs="仿宋"/>
          <w:sz w:val="32"/>
          <w:shd w:val="clear" w:color="auto" w:fill="FFFFFF"/>
        </w:rPr>
      </w:pPr>
      <w:r>
        <w:rPr>
          <w:rFonts w:hint="eastAsia" w:ascii="仿宋_GB2312" w:hAnsi="黑体" w:eastAsia="仿宋_GB2312"/>
          <w:sz w:val="32"/>
          <w:szCs w:val="32"/>
          <w:lang w:val="en-US" w:eastAsia="zh-CN"/>
        </w:rPr>
        <w:t xml:space="preserve"> 因公出国（境）经费0万元，与上年预算持平。公务用车购置及运行费0万元（其中，公务用车购置费0万元，公务用车运行维护费0万元），与上年预算持平。公务接待费0万元，与上年预算持平。</w:t>
      </w:r>
    </w:p>
    <w:p w14:paraId="7D10A4AD">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cs="Times New Roman"/>
          <w:sz w:val="32"/>
          <w:shd w:val="clear" w:color="auto" w:fill="FFFFFF"/>
          <w:lang w:val="en-US" w:eastAsia="zh-CN"/>
        </w:rPr>
        <w:t>儋州市新州镇中心幼儿园2026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14:paraId="78F632AF">
      <w:pPr>
        <w:numPr>
          <w:ilvl w:val="0"/>
          <w:numId w:val="0"/>
        </w:numPr>
        <w:ind w:firstLine="640" w:firstLineChars="200"/>
        <w:rPr>
          <w:rFonts w:ascii="楷体" w:hAnsi="楷体" w:eastAsia="楷体"/>
          <w:sz w:val="32"/>
          <w:szCs w:val="32"/>
        </w:rPr>
      </w:pPr>
      <w:r>
        <w:rPr>
          <w:rFonts w:hint="eastAsia" w:ascii="楷体" w:hAnsi="楷体" w:eastAsia="楷体"/>
          <w:sz w:val="32"/>
          <w:szCs w:val="32"/>
        </w:rPr>
        <w:t>（一）政府性基金预算当年规模变化情况</w:t>
      </w:r>
    </w:p>
    <w:p w14:paraId="0519EFC9">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14:paraId="6EC76F34">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4066062B">
      <w:pPr>
        <w:ind w:firstLine="800" w:firstLineChars="25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2026年无</w:t>
      </w:r>
      <w:r>
        <w:rPr>
          <w:rFonts w:hint="eastAsia" w:ascii="仿宋_GB2312" w:hAnsi="黑体" w:eastAsia="仿宋_GB2312"/>
          <w:sz w:val="32"/>
          <w:szCs w:val="32"/>
        </w:rPr>
        <w:t>政府性基金预算当年拨款</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w:t>
      </w:r>
    </w:p>
    <w:p w14:paraId="76999D3B">
      <w:pPr>
        <w:numPr>
          <w:ilvl w:val="0"/>
          <w:numId w:val="6"/>
        </w:numPr>
        <w:ind w:firstLine="640"/>
        <w:jc w:val="left"/>
        <w:rPr>
          <w:rFonts w:hint="eastAsia" w:ascii="楷体" w:hAnsi="楷体" w:eastAsia="楷体"/>
          <w:sz w:val="32"/>
          <w:szCs w:val="32"/>
        </w:rPr>
      </w:pPr>
      <w:r>
        <w:rPr>
          <w:rFonts w:hint="eastAsia" w:ascii="楷体" w:hAnsi="楷体" w:eastAsia="楷体"/>
          <w:sz w:val="32"/>
          <w:szCs w:val="32"/>
        </w:rPr>
        <w:t>政府性基金预算当年拨款具体使用情况</w:t>
      </w:r>
    </w:p>
    <w:p w14:paraId="6717392E">
      <w:pPr>
        <w:numPr>
          <w:ilvl w:val="-1"/>
          <w:numId w:val="0"/>
        </w:numPr>
        <w:ind w:firstLine="800" w:firstLineChars="250"/>
        <w:jc w:val="left"/>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2026年无</w:t>
      </w:r>
      <w:r>
        <w:rPr>
          <w:rFonts w:hint="eastAsia" w:ascii="仿宋_GB2312" w:hAnsi="黑体" w:eastAsia="仿宋_GB2312"/>
          <w:sz w:val="32"/>
          <w:szCs w:val="32"/>
        </w:rPr>
        <w:t>政府性基金预算当年拨款</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w:t>
      </w:r>
    </w:p>
    <w:p w14:paraId="0D975B62">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cs="Times New Roman"/>
          <w:sz w:val="32"/>
          <w:shd w:val="clear" w:color="auto" w:fill="FFFFFF"/>
          <w:lang w:val="en-US" w:eastAsia="zh-CN"/>
        </w:rPr>
        <w:t>儋州市新州镇中心幼儿园2026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14:paraId="07469AF3">
      <w:pPr>
        <w:spacing w:line="578" w:lineRule="exact"/>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val="en-US" w:eastAsia="zh-CN"/>
        </w:rPr>
        <w:t>儋州市新州镇中心幼儿园2026年</w:t>
      </w:r>
      <w:r>
        <w:rPr>
          <w:rFonts w:hint="eastAsia" w:ascii="仿宋_GB2312" w:hAnsi="黑体" w:eastAsia="仿宋_GB2312" w:cs="仿宋_GB2312"/>
          <w:sz w:val="32"/>
          <w:szCs w:val="32"/>
        </w:rPr>
        <w:t>所有收入和支出均纳入部门预算管理。收入包括：一般公共预算</w:t>
      </w:r>
      <w:r>
        <w:rPr>
          <w:rFonts w:hint="eastAsia" w:ascii="仿宋_GB2312" w:hAnsi="黑体" w:eastAsia="仿宋_GB2312" w:cs="仿宋_GB2312"/>
          <w:sz w:val="32"/>
          <w:szCs w:val="32"/>
          <w:lang w:val="en-US" w:eastAsia="zh-CN"/>
        </w:rPr>
        <w:t>拨款</w:t>
      </w:r>
      <w:r>
        <w:rPr>
          <w:rFonts w:hint="eastAsia" w:ascii="仿宋_GB2312" w:hAnsi="黑体" w:eastAsia="仿宋_GB2312" w:cs="仿宋_GB2312"/>
          <w:sz w:val="32"/>
          <w:szCs w:val="32"/>
        </w:rPr>
        <w:t>收入</w:t>
      </w:r>
      <w:r>
        <w:rPr>
          <w:rFonts w:hint="eastAsia" w:ascii="仿宋_GB2312" w:hAnsi="黑体" w:eastAsia="仿宋_GB2312"/>
          <w:sz w:val="32"/>
          <w:szCs w:val="32"/>
        </w:rPr>
        <w:t>；支出包括：教育支出、</w:t>
      </w:r>
      <w:r>
        <w:rPr>
          <w:rFonts w:hint="eastAsia" w:ascii="仿宋_GB2312" w:hAnsi="黑体" w:eastAsia="仿宋_GB2312"/>
          <w:sz w:val="32"/>
          <w:szCs w:val="32"/>
          <w:lang w:val="en-US"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580.35</w:t>
      </w:r>
      <w:r>
        <w:rPr>
          <w:rFonts w:hint="eastAsia" w:ascii="仿宋_GB2312" w:hAnsi="黑体" w:eastAsia="仿宋_GB2312"/>
          <w:sz w:val="32"/>
          <w:szCs w:val="32"/>
        </w:rPr>
        <w:t>万元。</w:t>
      </w:r>
    </w:p>
    <w:p w14:paraId="042A9864">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val="en-US" w:eastAsia="zh-CN"/>
        </w:rPr>
        <w:t>儋州市新州镇中心幼儿园2026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14:paraId="34090715">
      <w:pPr>
        <w:spacing w:line="240" w:lineRule="auto"/>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580.35</w:t>
      </w:r>
      <w:r>
        <w:rPr>
          <w:rFonts w:hint="eastAsia" w:ascii="仿宋_GB2312" w:hAnsi="黑体" w:eastAsia="仿宋_GB2312"/>
          <w:sz w:val="32"/>
          <w:szCs w:val="32"/>
        </w:rPr>
        <w:t>万元，其中：</w:t>
      </w:r>
      <w:r>
        <w:rPr>
          <w:rFonts w:hint="eastAsia" w:ascii="仿宋_GB2312" w:hAnsi="黑体" w:eastAsia="仿宋_GB2312"/>
          <w:sz w:val="32"/>
          <w:szCs w:val="32"/>
          <w:lang w:val="en-US" w:eastAsia="zh-CN"/>
        </w:rPr>
        <w:t>上年结转6.94万元，</w:t>
      </w:r>
      <w:r>
        <w:rPr>
          <w:rFonts w:hint="eastAsia" w:ascii="仿宋_GB2312" w:hAnsi="黑体" w:eastAsia="仿宋_GB2312"/>
          <w:sz w:val="32"/>
          <w:szCs w:val="32"/>
        </w:rPr>
        <w:t>占</w:t>
      </w:r>
      <w:r>
        <w:rPr>
          <w:rFonts w:hint="eastAsia" w:ascii="仿宋_GB2312" w:hAnsi="黑体" w:eastAsia="仿宋_GB2312"/>
          <w:sz w:val="32"/>
          <w:szCs w:val="32"/>
          <w:lang w:val="en-US" w:eastAsia="zh-CN"/>
        </w:rPr>
        <w:t>1.20</w:t>
      </w:r>
      <w:r>
        <w:rPr>
          <w:rFonts w:hint="eastAsia" w:ascii="仿宋_GB2312" w:hAnsi="黑体" w:eastAsia="仿宋_GB2312"/>
          <w:sz w:val="32"/>
          <w:szCs w:val="32"/>
        </w:rPr>
        <w:t>%；一般公共预算拨款收入</w:t>
      </w:r>
      <w:r>
        <w:rPr>
          <w:rFonts w:hint="eastAsia" w:ascii="仿宋_GB2312" w:hAnsi="黑体" w:eastAsia="仿宋_GB2312"/>
          <w:sz w:val="32"/>
          <w:szCs w:val="32"/>
          <w:lang w:val="en-US" w:eastAsia="zh-CN"/>
        </w:rPr>
        <w:t>573.41万</w:t>
      </w:r>
      <w:r>
        <w:rPr>
          <w:rFonts w:hint="eastAsia" w:ascii="仿宋_GB2312" w:hAnsi="黑体" w:eastAsia="仿宋_GB2312"/>
          <w:sz w:val="32"/>
          <w:szCs w:val="32"/>
        </w:rPr>
        <w:t>元，占</w:t>
      </w:r>
      <w:r>
        <w:rPr>
          <w:rFonts w:hint="eastAsia" w:ascii="仿宋_GB2312" w:hAnsi="黑体" w:eastAsia="仿宋_GB2312"/>
          <w:sz w:val="32"/>
          <w:szCs w:val="32"/>
          <w:lang w:val="en-US" w:eastAsia="zh-CN"/>
        </w:rPr>
        <w:t>98.80</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olor w:val="auto"/>
          <w:sz w:val="32"/>
          <w:szCs w:val="32"/>
          <w:lang w:val="en-US" w:eastAsia="zh-CN"/>
        </w:rPr>
        <w:t>增加92.67万</w:t>
      </w:r>
      <w:r>
        <w:rPr>
          <w:rFonts w:hint="eastAsia" w:ascii="仿宋_GB2312" w:hAnsi="黑体" w:eastAsia="仿宋_GB2312"/>
          <w:color w:val="auto"/>
          <w:sz w:val="32"/>
          <w:szCs w:val="32"/>
        </w:rPr>
        <w:t>元，</w:t>
      </w:r>
      <w:r>
        <w:rPr>
          <w:rFonts w:hint="eastAsia" w:ascii="仿宋_GB2312" w:hAnsi="黑体" w:eastAsia="仿宋_GB2312"/>
          <w:color w:val="auto"/>
          <w:sz w:val="32"/>
          <w:szCs w:val="32"/>
          <w:lang w:val="en-US" w:eastAsia="zh-CN"/>
        </w:rPr>
        <w:t>主要是本年教育经费及工资社保增加</w:t>
      </w:r>
      <w:r>
        <w:rPr>
          <w:rFonts w:hint="eastAsia" w:ascii="仿宋_GB2312" w:hAnsi="黑体" w:eastAsia="仿宋_GB2312"/>
          <w:color w:val="auto"/>
          <w:sz w:val="32"/>
          <w:szCs w:val="32"/>
        </w:rPr>
        <w:t>。</w:t>
      </w:r>
    </w:p>
    <w:p w14:paraId="28A0008A">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val="en-US" w:eastAsia="zh-CN"/>
        </w:rPr>
        <w:t>儋州市新州镇中心幼儿园2026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14:paraId="75176589">
      <w:pPr>
        <w:spacing w:line="240" w:lineRule="auto"/>
        <w:ind w:firstLine="640" w:firstLineChars="200"/>
        <w:rPr>
          <w:rFonts w:ascii="仿宋_GB2312" w:hAnsi="黑体" w:eastAsia="仿宋_GB2312"/>
          <w:color w:val="C00000"/>
          <w:sz w:val="32"/>
          <w:szCs w:val="32"/>
        </w:rPr>
      </w:pPr>
      <w:r>
        <w:rPr>
          <w:rFonts w:hint="eastAsia" w:ascii="仿宋_GB2312" w:hAnsi="黑体" w:eastAsia="仿宋_GB2312"/>
          <w:sz w:val="32"/>
          <w:szCs w:val="32"/>
          <w:lang w:val="en-US" w:eastAsia="zh-CN"/>
        </w:rPr>
        <w:t>儋州市新州镇中心幼儿园2026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580.35</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460.21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79.30</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120.14</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20.70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增加65.99</w:t>
      </w:r>
      <w:r>
        <w:rPr>
          <w:rFonts w:hint="eastAsia" w:ascii="仿宋_GB2312" w:hAnsi="黑体" w:eastAsia="仿宋_GB2312"/>
          <w:sz w:val="32"/>
          <w:szCs w:val="32"/>
        </w:rPr>
        <w:t>万元，</w:t>
      </w:r>
      <w:r>
        <w:rPr>
          <w:rFonts w:hint="eastAsia" w:ascii="仿宋_GB2312" w:hAnsi="黑体" w:eastAsia="仿宋_GB2312"/>
          <w:color w:val="auto"/>
          <w:sz w:val="32"/>
          <w:szCs w:val="32"/>
          <w:lang w:val="en-US" w:eastAsia="zh-CN"/>
        </w:rPr>
        <w:t>主要是本年教育经费及工资社保增加</w:t>
      </w:r>
      <w:r>
        <w:rPr>
          <w:rFonts w:hint="eastAsia" w:ascii="仿宋_GB2312" w:hAnsi="黑体" w:eastAsia="仿宋_GB2312"/>
          <w:color w:val="auto"/>
          <w:sz w:val="32"/>
          <w:szCs w:val="32"/>
        </w:rPr>
        <w:t>。</w:t>
      </w:r>
    </w:p>
    <w:p w14:paraId="3CB02DF7">
      <w:pPr>
        <w:numPr>
          <w:ilvl w:val="0"/>
          <w:numId w:val="0"/>
        </w:num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val="en-US" w:eastAsia="zh-CN"/>
        </w:rPr>
        <w:t>九、</w:t>
      </w:r>
      <w:r>
        <w:rPr>
          <w:rFonts w:hint="eastAsia" w:ascii="黑体" w:hAnsi="黑体" w:eastAsia="黑体" w:cs="Times New Roman"/>
          <w:sz w:val="32"/>
          <w:shd w:val="clear" w:color="auto" w:fill="FFFFFF"/>
        </w:rPr>
        <w:t>其他重要事项的情况说明</w:t>
      </w:r>
    </w:p>
    <w:p w14:paraId="50BC8193">
      <w:pPr>
        <w:numPr>
          <w:ilvl w:val="0"/>
          <w:numId w:val="0"/>
        </w:num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14:paraId="700912CB">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2026年儋州市新州镇中心幼儿园机关运行经费0万元。</w:t>
      </w:r>
    </w:p>
    <w:p w14:paraId="158D59D5">
      <w:pPr>
        <w:numPr>
          <w:ilvl w:val="0"/>
          <w:numId w:val="7"/>
        </w:numPr>
        <w:ind w:firstLine="640" w:firstLineChars="200"/>
        <w:rPr>
          <w:rFonts w:hint="eastAsia" w:ascii="楷体" w:hAnsi="楷体" w:eastAsia="楷体"/>
          <w:sz w:val="32"/>
          <w:szCs w:val="32"/>
        </w:rPr>
      </w:pPr>
      <w:r>
        <w:rPr>
          <w:rFonts w:hint="eastAsia" w:ascii="楷体" w:hAnsi="楷体" w:eastAsia="楷体"/>
          <w:sz w:val="32"/>
          <w:szCs w:val="32"/>
        </w:rPr>
        <w:t>政府采购情况</w:t>
      </w:r>
    </w:p>
    <w:p w14:paraId="5D361826">
      <w:pPr>
        <w:spacing w:line="578" w:lineRule="exact"/>
        <w:ind w:firstLine="640"/>
        <w:rPr>
          <w:rFonts w:hint="default" w:ascii="楷体" w:hAnsi="楷体" w:eastAsia="楷体"/>
          <w:sz w:val="32"/>
          <w:szCs w:val="32"/>
          <w:lang w:val="en-US" w:eastAsia="zh-CN"/>
        </w:rPr>
      </w:pPr>
      <w:r>
        <w:rPr>
          <w:rFonts w:hint="eastAsia" w:ascii="楷体" w:hAnsi="楷体" w:eastAsia="楷体"/>
          <w:sz w:val="32"/>
          <w:szCs w:val="32"/>
          <w:lang w:val="en-US" w:eastAsia="zh-CN"/>
        </w:rPr>
        <w:t xml:space="preserve"> 2026</w:t>
      </w:r>
      <w:r>
        <w:rPr>
          <w:rFonts w:hint="eastAsia" w:ascii="仿宋" w:hAnsi="仿宋" w:eastAsia="仿宋" w:cs="仿宋"/>
          <w:sz w:val="32"/>
          <w:szCs w:val="32"/>
        </w:rPr>
        <w:t>年</w:t>
      </w:r>
      <w:r>
        <w:rPr>
          <w:rFonts w:hint="eastAsia" w:ascii="仿宋" w:hAnsi="仿宋" w:eastAsia="仿宋" w:cs="仿宋"/>
          <w:sz w:val="32"/>
          <w:szCs w:val="32"/>
          <w:lang w:val="en-US" w:eastAsia="zh-CN"/>
        </w:rPr>
        <w:t>儋州市新州镇中心幼儿园</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61EFC541">
      <w:pPr>
        <w:ind w:firstLine="640" w:firstLineChars="200"/>
        <w:rPr>
          <w:rFonts w:hint="eastAsia" w:ascii="楷体" w:hAnsi="楷体" w:eastAsia="楷体"/>
          <w:sz w:val="32"/>
          <w:szCs w:val="32"/>
          <w:lang w:eastAsia="zh-CN"/>
        </w:rPr>
      </w:pPr>
      <w:r>
        <w:rPr>
          <w:rFonts w:hint="eastAsia" w:ascii="楷体" w:hAnsi="楷体" w:eastAsia="楷体"/>
          <w:sz w:val="32"/>
          <w:szCs w:val="32"/>
        </w:rPr>
        <w:t>（三）国有资产占有使用情况</w:t>
      </w:r>
    </w:p>
    <w:p w14:paraId="0CE811C3">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sz w:val="32"/>
          <w:szCs w:val="32"/>
          <w:lang w:val="en-US" w:eastAsia="zh-CN"/>
        </w:rPr>
        <w:t>儋州市新州镇中心幼儿园</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14:paraId="631BF3E7">
      <w:pPr>
        <w:ind w:firstLine="640" w:firstLineChars="200"/>
        <w:rPr>
          <w:rFonts w:ascii="楷体" w:hAnsi="楷体" w:eastAsia="楷体"/>
          <w:sz w:val="32"/>
          <w:szCs w:val="32"/>
        </w:rPr>
      </w:pPr>
      <w:r>
        <w:rPr>
          <w:rFonts w:hint="eastAsia" w:ascii="楷体" w:hAnsi="楷体" w:eastAsia="楷体"/>
          <w:sz w:val="32"/>
          <w:szCs w:val="32"/>
        </w:rPr>
        <w:t>（四）绩效目标设置情况</w:t>
      </w:r>
    </w:p>
    <w:p w14:paraId="31D0A324">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val="en-US" w:eastAsia="zh-CN"/>
        </w:rPr>
        <w:t>儋州市州镇中心幼儿园10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573.41</w:t>
      </w:r>
      <w:r>
        <w:rPr>
          <w:rFonts w:hint="eastAsia" w:ascii="仿宋_GB2312" w:hAnsi="黑体" w:eastAsia="仿宋_GB2312"/>
          <w:sz w:val="32"/>
          <w:szCs w:val="32"/>
        </w:rPr>
        <w:t>万元。</w:t>
      </w:r>
    </w:p>
    <w:p w14:paraId="178AC41C">
      <w:pPr>
        <w:spacing w:line="578" w:lineRule="exact"/>
        <w:jc w:val="center"/>
        <w:rPr>
          <w:rFonts w:hint="eastAsia" w:ascii="仿宋" w:hAnsi="仿宋" w:eastAsia="仿宋" w:cs="仿宋"/>
          <w:sz w:val="32"/>
          <w:szCs w:val="32"/>
        </w:rPr>
      </w:pPr>
    </w:p>
    <w:p w14:paraId="452BD486">
      <w:pPr>
        <w:spacing w:line="578" w:lineRule="exact"/>
        <w:jc w:val="left"/>
        <w:rPr>
          <w:rFonts w:hint="eastAsia" w:ascii="仿宋" w:hAnsi="仿宋" w:eastAsia="仿宋" w:cs="仿宋"/>
          <w:color w:val="000000"/>
          <w:kern w:val="0"/>
          <w:sz w:val="32"/>
          <w:szCs w:val="30"/>
        </w:rPr>
      </w:pPr>
    </w:p>
    <w:p w14:paraId="04829DA8">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14:paraId="112A3ACA">
      <w:pPr>
        <w:spacing w:line="578" w:lineRule="exact"/>
        <w:ind w:firstLine="640" w:firstLineChars="200"/>
        <w:jc w:val="left"/>
        <w:rPr>
          <w:rFonts w:ascii="仿宋_GB2312" w:eastAsia="仿宋_GB2312" w:cs="宋体"/>
          <w:bCs/>
          <w:color w:val="000000"/>
          <w:kern w:val="0"/>
          <w:sz w:val="32"/>
          <w:szCs w:val="32"/>
          <w:lang w:val="zh-CN"/>
        </w:rPr>
      </w:pPr>
    </w:p>
    <w:p w14:paraId="6ED8D09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14:paraId="55D67177">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14:paraId="304F4E17">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14:paraId="7023DB9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14:paraId="1D2ED136">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14:paraId="2B1FCFF5">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14:paraId="710D9CDD">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14:paraId="520D0199">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14:paraId="1A20A6F3">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14:paraId="56492513">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14:paraId="7201D1AE">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14:paraId="4DBB2C21">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12F2305F"/>
    <w:sectPr>
      <w:footerReference r:id="rId5" w:type="default"/>
      <w:pgSz w:w="11906" w:h="16838"/>
      <w:pgMar w:top="2098" w:right="1587"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5177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66BB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1926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C40B0B">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1C40B0B">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0AB784"/>
    <w:multiLevelType w:val="singleLevel"/>
    <w:tmpl w:val="EB0AB784"/>
    <w:lvl w:ilvl="0" w:tentative="0">
      <w:start w:val="2"/>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F8B9ADC"/>
    <w:multiLevelType w:val="singleLevel"/>
    <w:tmpl w:val="7F8B9ADC"/>
    <w:lvl w:ilvl="0" w:tentative="0">
      <w:start w:val="3"/>
      <w:numFmt w:val="chineseCounting"/>
      <w:suff w:val="nothing"/>
      <w:lvlText w:val="（%1）"/>
      <w:lvlJc w:val="left"/>
      <w:rPr>
        <w:rFonts w:hint="eastAsia"/>
      </w:rPr>
    </w:lvl>
  </w:abstractNum>
  <w:num w:numId="1">
    <w:abstractNumId w:val="1"/>
  </w:num>
  <w:num w:numId="2">
    <w:abstractNumId w:val="3"/>
  </w:num>
  <w:num w:numId="3">
    <w:abstractNumId w:val="4"/>
  </w:num>
  <w:num w:numId="4">
    <w:abstractNumId w:val="5"/>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562A8"/>
    <w:rsid w:val="0E0E32B2"/>
    <w:rsid w:val="0E6A3E52"/>
    <w:rsid w:val="20412429"/>
    <w:rsid w:val="21EF7566"/>
    <w:rsid w:val="2856762F"/>
    <w:rsid w:val="29EB70CF"/>
    <w:rsid w:val="2B3D2496"/>
    <w:rsid w:val="2EB97E96"/>
    <w:rsid w:val="34173AF7"/>
    <w:rsid w:val="3A0C0CE3"/>
    <w:rsid w:val="3CE33B06"/>
    <w:rsid w:val="3E9845D8"/>
    <w:rsid w:val="3FDC0668"/>
    <w:rsid w:val="4003735A"/>
    <w:rsid w:val="400D5D02"/>
    <w:rsid w:val="42C459AD"/>
    <w:rsid w:val="4562411B"/>
    <w:rsid w:val="480A63EB"/>
    <w:rsid w:val="48AC58B5"/>
    <w:rsid w:val="53DE3845"/>
    <w:rsid w:val="5DA54C5F"/>
    <w:rsid w:val="62462635"/>
    <w:rsid w:val="64A74607"/>
    <w:rsid w:val="653D1481"/>
    <w:rsid w:val="665B11DB"/>
    <w:rsid w:val="6C1C0317"/>
    <w:rsid w:val="6FA7614A"/>
    <w:rsid w:val="72943D5B"/>
    <w:rsid w:val="75712CAD"/>
    <w:rsid w:val="76980B0D"/>
    <w:rsid w:val="79026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17</Words>
  <Characters>20</Characters>
  <Lines>0</Lines>
  <Paragraphs>0</Paragraphs>
  <TotalTime>3</TotalTime>
  <ScaleCrop>false</ScaleCrop>
  <LinksUpToDate>false</LinksUpToDate>
  <CharactersWithSpaces>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2026-02-25T01:37:00Z</dcterms:created>
  <dc:creator>Lenovo</dc:creator>
  <cp:lastModifiedBy>听风吟</cp:lastModifiedBy>
  <dcterms:modified xsi:type="dcterms:W3CDTF">2026-02-27T08:52:30Z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eyJoZGlkIjoiNjcyNTc3YzkwZDM4YjMwMGY1YjYwZjE1YzBmNWM0NTYiLCJ1c2VySWQiOiIzNjU5MDIxMTQifQ==</vt:lpwstr>
  </property>
  <property fmtid="{D5CDD505-2E9C-101B-9397-08002B2CF9AE}" pid="4" name="ICV">
    <vt:lpwstr>D4D54C4EB0094F0F8B9FF431B325DE33_12</vt:lpwstr>
  </property>
</Properties>
</file>