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497237">
      <w:pPr>
        <w:spacing w:line="560" w:lineRule="exact"/>
        <w:rPr>
          <w:sz w:val="84"/>
          <w:szCs w:val="84"/>
          <w:u w:val="none"/>
        </w:rPr>
      </w:pPr>
    </w:p>
    <w:p w14:paraId="3D438415">
      <w:pPr>
        <w:spacing w:line="560" w:lineRule="exact"/>
        <w:rPr>
          <w:sz w:val="84"/>
          <w:szCs w:val="84"/>
          <w:u w:val="none"/>
        </w:rPr>
      </w:pPr>
    </w:p>
    <w:p w14:paraId="01431C1A">
      <w:pPr>
        <w:spacing w:line="560" w:lineRule="exact"/>
        <w:rPr>
          <w:sz w:val="84"/>
          <w:szCs w:val="84"/>
          <w:u w:val="none"/>
        </w:rPr>
      </w:pPr>
    </w:p>
    <w:p w14:paraId="2038E524">
      <w:pPr>
        <w:spacing w:line="560" w:lineRule="exact"/>
        <w:rPr>
          <w:sz w:val="84"/>
          <w:szCs w:val="84"/>
          <w:u w:val="none"/>
        </w:rPr>
      </w:pPr>
    </w:p>
    <w:p w14:paraId="235E9A4D">
      <w:pPr>
        <w:spacing w:line="560" w:lineRule="exact"/>
        <w:jc w:val="center"/>
        <w:rPr>
          <w:rFonts w:hint="eastAsia"/>
          <w:sz w:val="52"/>
          <w:szCs w:val="52"/>
          <w:u w:val="none"/>
          <w:lang w:val="en-US" w:eastAsia="zh-CN"/>
        </w:rPr>
      </w:pPr>
    </w:p>
    <w:p w14:paraId="59A74ECE">
      <w:pPr>
        <w:spacing w:line="560" w:lineRule="exact"/>
        <w:jc w:val="center"/>
        <w:rPr>
          <w:rFonts w:hint="eastAsia"/>
          <w:sz w:val="52"/>
          <w:szCs w:val="52"/>
          <w:u w:val="none"/>
          <w:lang w:val="en-US" w:eastAsia="zh-CN"/>
        </w:rPr>
      </w:pPr>
    </w:p>
    <w:p w14:paraId="7C011351">
      <w:pPr>
        <w:spacing w:line="560" w:lineRule="exact"/>
        <w:jc w:val="center"/>
        <w:rPr>
          <w:rFonts w:hint="eastAsia"/>
          <w:sz w:val="52"/>
          <w:szCs w:val="52"/>
          <w:u w:val="none"/>
          <w:lang w:val="en-US" w:eastAsia="zh-CN"/>
        </w:rPr>
      </w:pPr>
    </w:p>
    <w:p w14:paraId="12CB6E73">
      <w:pPr>
        <w:spacing w:line="560" w:lineRule="exact"/>
        <w:jc w:val="center"/>
        <w:rPr>
          <w:rFonts w:hint="eastAsia"/>
          <w:sz w:val="52"/>
          <w:szCs w:val="52"/>
          <w:u w:val="none"/>
          <w:lang w:val="en-US" w:eastAsia="zh-CN"/>
        </w:rPr>
      </w:pPr>
    </w:p>
    <w:p w14:paraId="63904E14">
      <w:pPr>
        <w:spacing w:line="560" w:lineRule="exact"/>
        <w:jc w:val="center"/>
        <w:rPr>
          <w:rFonts w:hint="eastAsia"/>
          <w:sz w:val="52"/>
          <w:szCs w:val="52"/>
          <w:u w:val="none"/>
          <w:lang w:val="en-US" w:eastAsia="zh-CN"/>
        </w:rPr>
      </w:pPr>
    </w:p>
    <w:p w14:paraId="5527A8C6">
      <w:pPr>
        <w:spacing w:line="560" w:lineRule="exact"/>
        <w:jc w:val="center"/>
        <w:rPr>
          <w:rFonts w:hint="eastAsia"/>
          <w:sz w:val="52"/>
          <w:szCs w:val="52"/>
          <w:u w:val="none"/>
          <w:lang w:val="en-US" w:eastAsia="zh-CN"/>
        </w:rPr>
      </w:pPr>
    </w:p>
    <w:p w14:paraId="22368173">
      <w:pPr>
        <w:spacing w:line="560" w:lineRule="exact"/>
        <w:jc w:val="center"/>
        <w:rPr>
          <w:sz w:val="52"/>
          <w:szCs w:val="52"/>
          <w:u w:val="none"/>
        </w:rPr>
      </w:pPr>
      <w:r>
        <w:rPr>
          <w:rFonts w:hint="eastAsia"/>
          <w:sz w:val="52"/>
          <w:szCs w:val="52"/>
          <w:u w:val="none"/>
          <w:lang w:val="en-US" w:eastAsia="zh-CN"/>
        </w:rPr>
        <w:t>2026</w:t>
      </w:r>
      <w:r>
        <w:rPr>
          <w:rFonts w:hint="eastAsia"/>
          <w:sz w:val="52"/>
          <w:szCs w:val="52"/>
          <w:u w:val="none"/>
        </w:rPr>
        <w:t>年</w:t>
      </w:r>
      <w:r>
        <w:rPr>
          <w:rFonts w:hint="eastAsia"/>
          <w:sz w:val="52"/>
          <w:szCs w:val="52"/>
          <w:u w:val="none"/>
          <w:lang w:val="en-US" w:eastAsia="zh-CN"/>
        </w:rPr>
        <w:t>儋州市排浦中学</w:t>
      </w:r>
      <w:r>
        <w:rPr>
          <w:rFonts w:hint="eastAsia"/>
          <w:sz w:val="52"/>
          <w:szCs w:val="52"/>
          <w:u w:val="none"/>
        </w:rPr>
        <w:t>预算</w:t>
      </w:r>
    </w:p>
    <w:p w14:paraId="2C3DD611">
      <w:pPr>
        <w:spacing w:line="560" w:lineRule="exact"/>
        <w:ind w:firstLine="1680"/>
        <w:jc w:val="center"/>
        <w:rPr>
          <w:sz w:val="84"/>
          <w:szCs w:val="84"/>
          <w:u w:val="none"/>
        </w:rPr>
      </w:pPr>
    </w:p>
    <w:p w14:paraId="345ED417">
      <w:pPr>
        <w:spacing w:line="560" w:lineRule="exact"/>
        <w:ind w:firstLine="1680"/>
        <w:jc w:val="center"/>
        <w:rPr>
          <w:sz w:val="84"/>
          <w:szCs w:val="84"/>
          <w:u w:val="none"/>
        </w:rPr>
      </w:pPr>
    </w:p>
    <w:p w14:paraId="671A3005">
      <w:pPr>
        <w:spacing w:line="560" w:lineRule="exact"/>
        <w:ind w:firstLine="1680"/>
        <w:jc w:val="center"/>
        <w:rPr>
          <w:sz w:val="84"/>
          <w:szCs w:val="84"/>
          <w:u w:val="none"/>
        </w:rPr>
      </w:pPr>
    </w:p>
    <w:p w14:paraId="7E7839A7">
      <w:pPr>
        <w:spacing w:line="560" w:lineRule="exact"/>
        <w:ind w:firstLine="1680"/>
        <w:jc w:val="center"/>
        <w:rPr>
          <w:sz w:val="84"/>
          <w:szCs w:val="84"/>
          <w:u w:val="none"/>
        </w:rPr>
      </w:pPr>
    </w:p>
    <w:p w14:paraId="77FAB4E5">
      <w:pPr>
        <w:rPr>
          <w:sz w:val="84"/>
          <w:szCs w:val="84"/>
          <w:u w:val="none"/>
        </w:rPr>
      </w:pPr>
      <w:r>
        <w:rPr>
          <w:sz w:val="84"/>
          <w:szCs w:val="84"/>
          <w:u w:val="none"/>
        </w:rPr>
        <w:br w:type="page"/>
      </w:r>
    </w:p>
    <w:p w14:paraId="76FCDBCE">
      <w:pPr>
        <w:spacing w:line="240" w:lineRule="auto"/>
        <w:jc w:val="center"/>
        <w:rPr>
          <w:rFonts w:hint="eastAsia" w:ascii="黑体" w:hAnsi="黑体" w:eastAsia="黑体"/>
          <w:sz w:val="52"/>
          <w:szCs w:val="52"/>
          <w:u w:val="none"/>
        </w:rPr>
      </w:pPr>
      <w:r>
        <w:rPr>
          <w:rFonts w:hint="eastAsia" w:ascii="黑体" w:hAnsi="黑体" w:eastAsia="黑体"/>
          <w:sz w:val="52"/>
          <w:szCs w:val="52"/>
          <w:u w:val="none"/>
        </w:rPr>
        <w:t>目录</w:t>
      </w:r>
    </w:p>
    <w:p w14:paraId="2DD70280">
      <w:pPr>
        <w:pStyle w:val="6"/>
        <w:numPr>
          <w:ilvl w:val="0"/>
          <w:numId w:val="1"/>
        </w:numPr>
        <w:spacing w:line="240" w:lineRule="auto"/>
        <w:ind w:firstLineChars="0"/>
        <w:jc w:val="left"/>
        <w:rPr>
          <w:rFonts w:hint="eastAsia" w:ascii="方正黑体_GBK" w:hAnsi="方正黑体_GBK" w:eastAsia="方正黑体_GBK" w:cs="方正黑体_GBK"/>
          <w:sz w:val="32"/>
          <w:szCs w:val="32"/>
          <w:u w:val="none"/>
        </w:rPr>
      </w:pPr>
      <w:r>
        <w:rPr>
          <w:rFonts w:hint="eastAsia" w:ascii="黑体" w:hAnsi="黑体" w:eastAsia="黑体"/>
          <w:sz w:val="32"/>
          <w:szCs w:val="32"/>
          <w:u w:val="none"/>
          <w:lang w:val="en-US" w:eastAsia="zh-CN"/>
        </w:rPr>
        <w:t xml:space="preserve">  </w:t>
      </w:r>
      <w:r>
        <w:rPr>
          <w:rFonts w:hint="eastAsia" w:ascii="微软雅黑" w:hAnsi="微软雅黑" w:eastAsia="微软雅黑" w:cs="微软雅黑"/>
          <w:sz w:val="32"/>
          <w:szCs w:val="32"/>
          <w:u w:val="none"/>
          <w:lang w:val="en-US" w:eastAsia="zh-CN"/>
        </w:rPr>
        <w:t>儋州市排浦中学</w:t>
      </w:r>
      <w:r>
        <w:rPr>
          <w:rFonts w:hint="eastAsia" w:ascii="方正黑体_GBK" w:hAnsi="方正黑体_GBK" w:eastAsia="方正黑体_GBK" w:cs="方正黑体_GBK"/>
          <w:sz w:val="32"/>
          <w:szCs w:val="32"/>
          <w:u w:val="none"/>
        </w:rPr>
        <w:t>概况</w:t>
      </w:r>
    </w:p>
    <w:p w14:paraId="5974098F">
      <w:pPr>
        <w:pStyle w:val="6"/>
        <w:numPr>
          <w:ilvl w:val="-1"/>
          <w:numId w:val="0"/>
        </w:numPr>
        <w:spacing w:line="240" w:lineRule="auto"/>
        <w:ind w:left="0" w:firstLine="0" w:firstLineChars="0"/>
        <w:jc w:val="left"/>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lang w:eastAsia="zh-CN"/>
        </w:rPr>
        <w:t>一、</w:t>
      </w:r>
      <w:r>
        <w:rPr>
          <w:rFonts w:hint="eastAsia" w:ascii="方正仿宋_GBK" w:hAnsi="方正仿宋_GBK" w:eastAsia="方正仿宋_GBK" w:cs="方正仿宋_GBK"/>
          <w:sz w:val="32"/>
          <w:szCs w:val="32"/>
          <w:u w:val="none"/>
        </w:rPr>
        <w:t>主要职能</w:t>
      </w:r>
    </w:p>
    <w:p w14:paraId="1A0DD2B8">
      <w:pPr>
        <w:pStyle w:val="6"/>
        <w:numPr>
          <w:ilvl w:val="-1"/>
          <w:numId w:val="0"/>
        </w:numPr>
        <w:spacing w:line="240" w:lineRule="auto"/>
        <w:ind w:left="0" w:firstLine="0" w:firstLineChars="0"/>
        <w:jc w:val="left"/>
        <w:rPr>
          <w:rFonts w:ascii="黑体" w:hAnsi="黑体" w:eastAsia="黑体"/>
          <w:sz w:val="32"/>
          <w:szCs w:val="32"/>
          <w:u w:val="none"/>
        </w:rPr>
      </w:pPr>
      <w:r>
        <w:rPr>
          <w:rFonts w:hint="eastAsia" w:ascii="方正仿宋_GBK" w:hAnsi="方正仿宋_GBK" w:eastAsia="方正仿宋_GBK" w:cs="方正仿宋_GBK"/>
          <w:sz w:val="32"/>
          <w:szCs w:val="32"/>
          <w:u w:val="none"/>
          <w:lang w:eastAsia="zh-CN"/>
        </w:rPr>
        <w:t>二、机构设置</w:t>
      </w:r>
    </w:p>
    <w:p w14:paraId="20B12068">
      <w:pPr>
        <w:pStyle w:val="6"/>
        <w:numPr>
          <w:ilvl w:val="0"/>
          <w:numId w:val="1"/>
        </w:numPr>
        <w:spacing w:line="240" w:lineRule="auto"/>
        <w:ind w:firstLineChars="0"/>
        <w:rPr>
          <w:rFonts w:hint="eastAsia" w:ascii="方正黑体_GBK" w:hAnsi="方正黑体_GBK" w:eastAsia="方正黑体_GBK" w:cs="方正黑体_GBK"/>
          <w:sz w:val="32"/>
          <w:szCs w:val="32"/>
          <w:u w:val="none"/>
        </w:rPr>
      </w:pPr>
      <w:r>
        <w:rPr>
          <w:rFonts w:hint="eastAsia" w:ascii="黑体" w:hAnsi="黑体" w:eastAsia="黑体"/>
          <w:sz w:val="32"/>
          <w:szCs w:val="32"/>
          <w:u w:val="none"/>
        </w:rPr>
        <w:t xml:space="preserve"> </w:t>
      </w: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年部门（单位）预算表</w:t>
      </w:r>
    </w:p>
    <w:p w14:paraId="2C699EBD">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财政拨款收支总表</w:t>
      </w:r>
    </w:p>
    <w:p w14:paraId="3576E5D4">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一般公共预算支出表</w:t>
      </w:r>
    </w:p>
    <w:p w14:paraId="422EC290">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一般公共预算基本支出表</w:t>
      </w:r>
    </w:p>
    <w:p w14:paraId="036D2766">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一般公共预算“三公”经费支出表</w:t>
      </w:r>
    </w:p>
    <w:p w14:paraId="4A456FCE">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政府性基金预算支出表</w:t>
      </w:r>
    </w:p>
    <w:p w14:paraId="628867D7">
      <w:pPr>
        <w:pStyle w:val="6"/>
        <w:numPr>
          <w:ilvl w:val="0"/>
          <w:numId w:val="2"/>
        </w:numPr>
        <w:spacing w:line="240" w:lineRule="auto"/>
        <w:ind w:firstLineChars="0"/>
        <w:rPr>
          <w:rFonts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政府性基金预算“三公”经费支出表</w:t>
      </w:r>
    </w:p>
    <w:p w14:paraId="0F27817D">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lang w:eastAsia="zh-CN"/>
        </w:rPr>
        <w:t>国有资本经营预算支出表</w:t>
      </w:r>
    </w:p>
    <w:p w14:paraId="64D647E0">
      <w:pPr>
        <w:pStyle w:val="6"/>
        <w:numPr>
          <w:ilvl w:val="0"/>
          <w:numId w:val="2"/>
        </w:numPr>
        <w:spacing w:line="240" w:lineRule="auto"/>
        <w:ind w:firstLineChars="0"/>
        <w:jc w:val="left"/>
        <w:rPr>
          <w:rFonts w:hint="eastAsia" w:ascii="仿宋_GB2312" w:hAnsi="仿宋_GB2312" w:eastAsia="仿宋_GB2312" w:cs="仿宋_GB2312"/>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收支总表</w:t>
      </w:r>
    </w:p>
    <w:p w14:paraId="0B98878B">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收入总表</w:t>
      </w:r>
    </w:p>
    <w:p w14:paraId="519436FB">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部门</w:t>
      </w:r>
      <w:r>
        <w:rPr>
          <w:rFonts w:hint="eastAsia" w:ascii="仿宋_GB2312" w:hAnsi="仿宋_GB2312" w:eastAsia="仿宋_GB2312" w:cs="仿宋_GB2312"/>
          <w:sz w:val="32"/>
          <w:szCs w:val="32"/>
          <w:u w:val="none"/>
          <w:lang w:eastAsia="zh-CN"/>
        </w:rPr>
        <w:t>（单位）</w:t>
      </w:r>
      <w:r>
        <w:rPr>
          <w:rFonts w:hint="eastAsia" w:ascii="仿宋_GB2312" w:hAnsi="仿宋_GB2312" w:eastAsia="仿宋_GB2312" w:cs="仿宋_GB2312"/>
          <w:sz w:val="32"/>
          <w:szCs w:val="32"/>
          <w:u w:val="none"/>
        </w:rPr>
        <w:t>支出总表</w:t>
      </w:r>
    </w:p>
    <w:p w14:paraId="03688991">
      <w:pPr>
        <w:pStyle w:val="6"/>
        <w:numPr>
          <w:ilvl w:val="0"/>
          <w:numId w:val="2"/>
        </w:numPr>
        <w:spacing w:line="240" w:lineRule="auto"/>
        <w:ind w:firstLineChars="0"/>
        <w:jc w:val="left"/>
        <w:rPr>
          <w:rFonts w:ascii="黑体" w:hAnsi="黑体" w:eastAsia="黑体"/>
          <w:sz w:val="32"/>
          <w:szCs w:val="32"/>
          <w:u w:val="none"/>
        </w:rPr>
      </w:pPr>
      <w:r>
        <w:rPr>
          <w:rFonts w:hint="eastAsia" w:ascii="仿宋_GB2312" w:hAnsi="仿宋_GB2312" w:eastAsia="仿宋_GB2312" w:cs="仿宋_GB2312"/>
          <w:sz w:val="32"/>
          <w:szCs w:val="32"/>
          <w:u w:val="none"/>
        </w:rPr>
        <w:t>项目支出绩效信息表</w:t>
      </w:r>
    </w:p>
    <w:p w14:paraId="529BB222">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lang w:val="en-US" w:eastAsia="zh-CN"/>
        </w:rPr>
        <w:t xml:space="preserve">  </w:t>
      </w:r>
      <w:r>
        <w:rPr>
          <w:rFonts w:hint="eastAsia" w:ascii="方正黑体_GBK" w:hAnsi="方正黑体_GBK" w:eastAsia="方正黑体_GBK" w:cs="方正黑体_GBK"/>
          <w:sz w:val="32"/>
          <w:szCs w:val="32"/>
          <w:u w:val="none"/>
          <w:lang w:val="en-US" w:eastAsia="zh-CN"/>
        </w:rPr>
        <w:t>2026</w:t>
      </w:r>
      <w:r>
        <w:rPr>
          <w:rFonts w:hint="eastAsia" w:ascii="方正黑体_GBK" w:hAnsi="方正黑体_GBK" w:eastAsia="方正黑体_GBK" w:cs="方正黑体_GBK"/>
          <w:sz w:val="32"/>
          <w:szCs w:val="32"/>
          <w:u w:val="none"/>
        </w:rPr>
        <w:t>年</w:t>
      </w:r>
      <w:r>
        <w:rPr>
          <w:rFonts w:hint="eastAsia" w:ascii="微软雅黑" w:hAnsi="微软雅黑" w:eastAsia="微软雅黑" w:cs="微软雅黑"/>
          <w:sz w:val="32"/>
          <w:szCs w:val="32"/>
          <w:u w:val="none"/>
          <w:lang w:val="en-US" w:eastAsia="zh-CN"/>
        </w:rPr>
        <w:t>儋州市排浦中学</w:t>
      </w:r>
      <w:r>
        <w:rPr>
          <w:rFonts w:hint="eastAsia" w:ascii="方正黑体_GBK" w:hAnsi="方正黑体_GBK" w:eastAsia="方正黑体_GBK" w:cs="方正黑体_GBK"/>
          <w:sz w:val="32"/>
          <w:szCs w:val="32"/>
          <w:u w:val="none"/>
        </w:rPr>
        <w:t>预算情况说明</w:t>
      </w:r>
    </w:p>
    <w:p w14:paraId="015940EF">
      <w:pPr>
        <w:pStyle w:val="6"/>
        <w:numPr>
          <w:ilvl w:val="0"/>
          <w:numId w:val="1"/>
        </w:numPr>
        <w:spacing w:line="240" w:lineRule="auto"/>
        <w:ind w:firstLineChars="0"/>
        <w:jc w:val="left"/>
        <w:rPr>
          <w:rFonts w:ascii="仿宋_GB2312" w:hAnsi="仿宋_GB2312" w:eastAsia="仿宋_GB2312" w:cs="仿宋_GB2312"/>
          <w:sz w:val="32"/>
          <w:szCs w:val="32"/>
          <w:u w:val="none"/>
        </w:rPr>
      </w:pPr>
      <w:r>
        <w:rPr>
          <w:rFonts w:hint="eastAsia" w:ascii="黑体" w:hAnsi="黑体" w:eastAsia="黑体"/>
          <w:sz w:val="32"/>
          <w:szCs w:val="32"/>
          <w:u w:val="none"/>
        </w:rPr>
        <w:t xml:space="preserve">  名词解释</w:t>
      </w:r>
    </w:p>
    <w:p w14:paraId="3B04AE59">
      <w:pPr>
        <w:jc w:val="left"/>
        <w:rPr>
          <w:rFonts w:hint="eastAsia" w:ascii="黑体" w:hAnsi="黑体" w:eastAsia="黑体"/>
          <w:sz w:val="52"/>
          <w:szCs w:val="52"/>
          <w:u w:val="none"/>
        </w:rPr>
      </w:pPr>
    </w:p>
    <w:p w14:paraId="035A6EAE">
      <w:pPr>
        <w:pStyle w:val="6"/>
        <w:spacing w:line="560" w:lineRule="exact"/>
        <w:ind w:left="1320" w:firstLine="0" w:firstLineChars="0"/>
        <w:jc w:val="left"/>
        <w:rPr>
          <w:rFonts w:ascii="黑体" w:hAnsi="黑体" w:eastAsia="黑体"/>
          <w:sz w:val="32"/>
          <w:szCs w:val="32"/>
          <w:u w:val="none"/>
        </w:rPr>
      </w:pPr>
    </w:p>
    <w:p w14:paraId="25B325C4">
      <w:pPr>
        <w:spacing w:line="560" w:lineRule="exact"/>
        <w:jc w:val="left"/>
        <w:rPr>
          <w:rFonts w:ascii="黑体" w:hAnsi="黑体" w:eastAsia="黑体"/>
          <w:sz w:val="32"/>
          <w:szCs w:val="32"/>
          <w:u w:val="none"/>
        </w:rPr>
      </w:pPr>
    </w:p>
    <w:p w14:paraId="272856B1">
      <w:pPr>
        <w:jc w:val="left"/>
        <w:rPr>
          <w:rFonts w:ascii="黑体" w:hAnsi="黑体" w:eastAsia="黑体"/>
          <w:sz w:val="32"/>
          <w:szCs w:val="32"/>
          <w:u w:val="none"/>
        </w:rPr>
      </w:pPr>
      <w:r>
        <w:rPr>
          <w:rFonts w:ascii="黑体" w:hAnsi="黑体" w:eastAsia="黑体"/>
          <w:sz w:val="32"/>
          <w:szCs w:val="32"/>
          <w:u w:val="none"/>
        </w:rPr>
        <w:br w:type="page"/>
      </w:r>
    </w:p>
    <w:p w14:paraId="73C99874">
      <w:pPr>
        <w:spacing w:line="560" w:lineRule="exact"/>
        <w:jc w:val="left"/>
        <w:rPr>
          <w:rFonts w:ascii="黑体" w:hAnsi="黑体" w:eastAsia="黑体"/>
          <w:sz w:val="32"/>
          <w:szCs w:val="32"/>
          <w:u w:val="none"/>
        </w:rPr>
      </w:pPr>
    </w:p>
    <w:p w14:paraId="025621BA">
      <w:pPr>
        <w:pStyle w:val="6"/>
        <w:numPr>
          <w:ilvl w:val="0"/>
          <w:numId w:val="3"/>
        </w:numPr>
        <w:spacing w:line="560" w:lineRule="exact"/>
        <w:ind w:firstLineChars="0"/>
        <w:jc w:val="center"/>
        <w:rPr>
          <w:rFonts w:hint="eastAsia" w:ascii="方正黑体_GBK" w:hAnsi="方正黑体_GBK" w:eastAsia="方正黑体_GBK" w:cs="方正黑体_GBK"/>
          <w:sz w:val="32"/>
          <w:szCs w:val="32"/>
          <w:u w:val="none"/>
        </w:rPr>
      </w:pPr>
      <w:r>
        <w:rPr>
          <w:rFonts w:hint="eastAsia" w:ascii="微软雅黑" w:hAnsi="微软雅黑" w:eastAsia="微软雅黑" w:cs="微软雅黑"/>
          <w:sz w:val="32"/>
          <w:szCs w:val="32"/>
          <w:u w:val="none"/>
          <w:lang w:val="en-US" w:eastAsia="zh-CN"/>
        </w:rPr>
        <w:t>儋州市排浦中学</w:t>
      </w:r>
      <w:r>
        <w:rPr>
          <w:rFonts w:hint="eastAsia" w:ascii="方正黑体_GBK" w:hAnsi="方正黑体_GBK" w:eastAsia="方正黑体_GBK" w:cs="方正黑体_GBK"/>
          <w:sz w:val="32"/>
          <w:szCs w:val="32"/>
          <w:u w:val="none"/>
        </w:rPr>
        <w:t>概况</w:t>
      </w:r>
    </w:p>
    <w:p w14:paraId="4C3B4C0E">
      <w:pPr>
        <w:spacing w:line="560" w:lineRule="exact"/>
        <w:jc w:val="left"/>
        <w:rPr>
          <w:rFonts w:ascii="仿宋_GB2312" w:hAnsi="仿宋_GB2312" w:eastAsia="仿宋_GB2312" w:cs="仿宋_GB2312"/>
          <w:sz w:val="32"/>
          <w:szCs w:val="32"/>
          <w:u w:val="none"/>
        </w:rPr>
      </w:pPr>
    </w:p>
    <w:p w14:paraId="0D1DC743">
      <w:pPr>
        <w:pStyle w:val="6"/>
        <w:numPr>
          <w:ilvl w:val="-1"/>
          <w:numId w:val="0"/>
        </w:numPr>
        <w:spacing w:line="560" w:lineRule="exact"/>
        <w:ind w:left="0" w:firstLine="640" w:firstLineChars="200"/>
        <w:jc w:val="left"/>
        <w:rPr>
          <w:rFonts w:ascii="黑体" w:hAnsi="黑体" w:eastAsia="黑体" w:cs="仿宋_GB2312"/>
          <w:sz w:val="32"/>
          <w:szCs w:val="32"/>
          <w:u w:val="none"/>
        </w:rPr>
      </w:pPr>
      <w:r>
        <w:rPr>
          <w:rFonts w:hint="eastAsia" w:ascii="黑体" w:hAnsi="黑体" w:eastAsia="黑体" w:cs="仿宋_GB2312"/>
          <w:sz w:val="32"/>
          <w:szCs w:val="32"/>
          <w:u w:val="none"/>
          <w:lang w:eastAsia="zh-CN"/>
        </w:rPr>
        <w:t>一、</w:t>
      </w:r>
      <w:r>
        <w:rPr>
          <w:rFonts w:hint="eastAsia" w:ascii="黑体" w:hAnsi="黑体" w:eastAsia="黑体" w:cs="仿宋_GB2312"/>
          <w:sz w:val="32"/>
          <w:szCs w:val="32"/>
          <w:u w:val="none"/>
        </w:rPr>
        <w:t>主要职能</w:t>
      </w:r>
    </w:p>
    <w:p w14:paraId="7CA6687F">
      <w:pPr>
        <w:pStyle w:val="6"/>
        <w:numPr>
          <w:ilvl w:val="0"/>
          <w:numId w:val="0"/>
        </w:numPr>
        <w:spacing w:line="578" w:lineRule="exact"/>
        <w:ind w:leftChars="0" w:firstLine="600" w:firstLineChars="200"/>
        <w:jc w:val="left"/>
        <w:rPr>
          <w:rFonts w:hint="eastAsia" w:ascii="宋体" w:hAnsi="宋体" w:cs="宋体"/>
          <w:color w:val="000000"/>
          <w:sz w:val="30"/>
          <w:szCs w:val="30"/>
          <w:shd w:val="clear" w:color="auto" w:fill="FFFFFF"/>
        </w:rPr>
      </w:pPr>
      <w:r>
        <w:rPr>
          <w:rFonts w:hint="eastAsia" w:ascii="宋体" w:hAnsi="宋体" w:cs="宋体"/>
          <w:color w:val="000000"/>
          <w:sz w:val="30"/>
          <w:szCs w:val="30"/>
          <w:shd w:val="clear" w:color="auto" w:fill="FFFFFF"/>
        </w:rPr>
        <w:t>正确贯彻执行党和国家的教育方针、政策、法规；维护学校的教学秩序，为学生创造良好的学习环境；积极稳妥地推进教育改革，按教育规律办事，不断提高教育质量</w:t>
      </w:r>
      <w:r>
        <w:rPr>
          <w:rFonts w:hint="eastAsia" w:ascii="宋体" w:hAnsi="宋体" w:cs="宋体"/>
          <w:color w:val="000000"/>
          <w:sz w:val="30"/>
          <w:szCs w:val="30"/>
          <w:shd w:val="clear" w:color="auto" w:fill="FFFFFF"/>
          <w:lang w:val="en-US" w:eastAsia="zh-CN"/>
        </w:rPr>
        <w:t>，</w:t>
      </w:r>
      <w:r>
        <w:rPr>
          <w:rFonts w:hint="eastAsia" w:ascii="宋体" w:hAnsi="宋体" w:cs="宋体"/>
          <w:color w:val="000000"/>
          <w:sz w:val="30"/>
          <w:szCs w:val="30"/>
          <w:shd w:val="clear" w:color="auto" w:fill="FFFFFF"/>
        </w:rPr>
        <w:t>根据学校规模，设置学校管理机构，建立健全各项规章制度和岗位责任制；坚持教书育人，服务育人，环境育人方针，加强对学生的思想品德教育，使学生的德智体全面发展；抓好教师队伍建设，使每个教师都热心于教育事业；做好安全防范，保证学生的人身安全。</w:t>
      </w:r>
    </w:p>
    <w:p w14:paraId="16F1C36E">
      <w:pPr>
        <w:numPr>
          <w:ilvl w:val="-1"/>
          <w:numId w:val="0"/>
        </w:numPr>
        <w:spacing w:line="560" w:lineRule="exact"/>
        <w:ind w:firstLine="640" w:firstLineChars="200"/>
        <w:jc w:val="left"/>
        <w:rPr>
          <w:rFonts w:hint="eastAsia" w:ascii="黑体" w:hAnsi="黑体" w:eastAsia="黑体" w:cs="仿宋_GB2312"/>
          <w:sz w:val="32"/>
          <w:szCs w:val="32"/>
          <w:highlight w:val="none"/>
          <w:u w:val="none"/>
          <w:lang w:eastAsia="zh-CN"/>
        </w:rPr>
      </w:pPr>
      <w:r>
        <w:rPr>
          <w:rFonts w:hint="eastAsia" w:ascii="黑体" w:hAnsi="黑体" w:eastAsia="黑体" w:cs="仿宋_GB2312"/>
          <w:sz w:val="32"/>
          <w:szCs w:val="32"/>
          <w:highlight w:val="none"/>
          <w:u w:val="none"/>
          <w:lang w:eastAsia="zh-CN"/>
        </w:rPr>
        <w:t>二、机构设置</w:t>
      </w:r>
    </w:p>
    <w:p w14:paraId="54A11C8F">
      <w:pPr>
        <w:numPr>
          <w:ilvl w:val="-1"/>
          <w:numId w:val="0"/>
        </w:numPr>
        <w:spacing w:line="560" w:lineRule="exact"/>
        <w:ind w:left="0" w:firstLine="640" w:firstLineChars="200"/>
        <w:jc w:val="left"/>
        <w:rPr>
          <w:rFonts w:hint="eastAsia" w:ascii="仿宋_GB2312" w:hAnsi="黑体" w:eastAsia="仿宋_GB2312" w:cs="仿宋_GB2312"/>
          <w:sz w:val="32"/>
          <w:szCs w:val="32"/>
          <w:highlight w:val="none"/>
          <w:u w:val="none"/>
          <w:lang w:val="en-US" w:eastAsia="zh-CN"/>
        </w:rPr>
      </w:pPr>
      <w:r>
        <w:rPr>
          <w:rFonts w:hint="eastAsia" w:ascii="仿宋_GB2312" w:hAnsi="黑体" w:eastAsia="仿宋_GB2312" w:cs="仿宋_GB2312"/>
          <w:sz w:val="32"/>
          <w:szCs w:val="32"/>
          <w:u w:val="none"/>
          <w:lang w:val="en-US" w:eastAsia="zh-CN"/>
        </w:rPr>
        <w:t>儋州市排浦中学</w:t>
      </w:r>
      <w:r>
        <w:rPr>
          <w:rFonts w:hint="eastAsia" w:ascii="仿宋_GB2312" w:hAnsi="黑体" w:eastAsia="仿宋_GB2312" w:cs="仿宋_GB2312"/>
          <w:sz w:val="32"/>
          <w:szCs w:val="32"/>
          <w:highlight w:val="none"/>
          <w:u w:val="none"/>
          <w:lang w:val="en-US" w:eastAsia="zh-CN"/>
        </w:rPr>
        <w:t>内设5个处室（科室），包括校长室、副校长室、教导室、总务室、政教室。</w:t>
      </w:r>
    </w:p>
    <w:p w14:paraId="7F0A119B">
      <w:pPr>
        <w:pStyle w:val="6"/>
        <w:numPr>
          <w:ilvl w:val="-1"/>
          <w:numId w:val="0"/>
        </w:numPr>
        <w:spacing w:line="560" w:lineRule="exact"/>
        <w:ind w:left="800" w:firstLine="0" w:firstLineChars="0"/>
        <w:jc w:val="left"/>
        <w:rPr>
          <w:rFonts w:ascii="仿宋_GB2312" w:hAnsi="黑体" w:eastAsia="仿宋_GB2312" w:cs="仿宋_GB2312"/>
          <w:sz w:val="32"/>
          <w:szCs w:val="32"/>
          <w:highlight w:val="yellow"/>
          <w:u w:val="none"/>
        </w:rPr>
      </w:pPr>
    </w:p>
    <w:p w14:paraId="0F34AA75">
      <w:pPr>
        <w:pStyle w:val="6"/>
        <w:numPr>
          <w:ilvl w:val="0"/>
          <w:numId w:val="0"/>
        </w:numPr>
        <w:spacing w:line="560" w:lineRule="exact"/>
        <w:ind w:left="0" w:firstLine="1280" w:firstLineChars="400"/>
        <w:jc w:val="left"/>
        <w:rPr>
          <w:rFonts w:ascii="黑体" w:hAnsi="黑体" w:eastAsia="黑体"/>
          <w:sz w:val="32"/>
          <w:szCs w:val="32"/>
          <w:u w:val="none"/>
        </w:rPr>
      </w:pPr>
      <w:r>
        <w:rPr>
          <w:rFonts w:hint="eastAsia" w:ascii="方正黑体_GBK" w:hAnsi="方正黑体_GBK" w:eastAsia="方正黑体_GBK" w:cs="方正黑体_GBK"/>
          <w:b w:val="0"/>
          <w:bCs/>
          <w:sz w:val="32"/>
          <w:szCs w:val="32"/>
          <w:u w:val="none"/>
          <w:lang w:eastAsia="zh-CN"/>
        </w:rPr>
        <w:t>第二部分</w:t>
      </w:r>
      <w:r>
        <w:rPr>
          <w:rFonts w:hint="eastAsia" w:ascii="方正黑体_GBK" w:hAnsi="方正黑体_GBK" w:eastAsia="方正黑体_GBK" w:cs="方正黑体_GBK"/>
          <w:b w:val="0"/>
          <w:bCs/>
          <w:sz w:val="32"/>
          <w:szCs w:val="32"/>
          <w:u w:val="none"/>
          <w:lang w:val="en-US" w:eastAsia="zh-CN"/>
        </w:rPr>
        <w:t xml:space="preserve">  2026</w:t>
      </w:r>
      <w:r>
        <w:rPr>
          <w:rFonts w:hint="eastAsia" w:ascii="方正黑体_GBK" w:hAnsi="方正黑体_GBK" w:eastAsia="方正黑体_GBK" w:cs="方正黑体_GBK"/>
          <w:b w:val="0"/>
          <w:bCs/>
          <w:sz w:val="32"/>
          <w:szCs w:val="32"/>
          <w:u w:val="none"/>
        </w:rPr>
        <w:t>年</w:t>
      </w:r>
      <w:r>
        <w:rPr>
          <w:rFonts w:hint="eastAsia" w:ascii="黑体" w:hAnsi="黑体" w:eastAsia="黑体" w:cs="黑体"/>
          <w:sz w:val="32"/>
          <w:szCs w:val="32"/>
          <w:u w:val="none"/>
          <w:lang w:val="en-US" w:eastAsia="zh-CN"/>
        </w:rPr>
        <w:t>儋州市排浦中学</w:t>
      </w:r>
      <w:r>
        <w:rPr>
          <w:rFonts w:hint="eastAsia" w:ascii="方正黑体_GBK" w:hAnsi="方正黑体_GBK" w:eastAsia="方正黑体_GBK" w:cs="方正黑体_GBK"/>
          <w:b w:val="0"/>
          <w:bCs/>
          <w:sz w:val="32"/>
          <w:szCs w:val="32"/>
          <w:u w:val="none"/>
        </w:rPr>
        <w:t>预算表</w:t>
      </w:r>
    </w:p>
    <w:p w14:paraId="127ED667">
      <w:pPr>
        <w:spacing w:line="560" w:lineRule="exact"/>
        <w:ind w:left="0"/>
        <w:jc w:val="center"/>
        <w:rPr>
          <w:rFonts w:hint="eastAsia" w:ascii="仿宋_GB2312" w:hAnsi="黑体" w:eastAsia="仿宋_GB2312"/>
          <w:b/>
          <w:sz w:val="32"/>
          <w:szCs w:val="32"/>
          <w:u w:val="none"/>
        </w:rPr>
      </w:pPr>
    </w:p>
    <w:p w14:paraId="607AAAC1">
      <w:pPr>
        <w:spacing w:line="560" w:lineRule="exact"/>
        <w:ind w:left="0"/>
        <w:jc w:val="center"/>
        <w:rPr>
          <w:rFonts w:hint="eastAsia" w:ascii="仿宋_GB2312" w:hAnsi="黑体" w:eastAsia="仿宋_GB2312"/>
          <w:b/>
          <w:bCs w:val="0"/>
          <w:sz w:val="32"/>
          <w:szCs w:val="32"/>
          <w:u w:val="none"/>
        </w:rPr>
      </w:pPr>
      <w:r>
        <w:rPr>
          <w:rFonts w:hint="eastAsia" w:ascii="仿宋_GB2312" w:hAnsi="黑体" w:eastAsia="仿宋_GB2312"/>
          <w:b/>
          <w:bCs w:val="0"/>
          <w:sz w:val="32"/>
          <w:szCs w:val="32"/>
          <w:u w:val="none"/>
        </w:rPr>
        <w:t>（</w:t>
      </w:r>
      <w:r>
        <w:rPr>
          <w:rFonts w:hint="eastAsia" w:ascii="仿宋_GB2312" w:hAnsi="黑体" w:eastAsia="仿宋_GB2312"/>
          <w:b/>
          <w:bCs w:val="0"/>
          <w:sz w:val="32"/>
          <w:szCs w:val="32"/>
          <w:u w:val="none"/>
          <w:lang w:val="en-US" w:eastAsia="zh-CN"/>
        </w:rPr>
        <w:t>附：</w:t>
      </w:r>
      <w:r>
        <w:rPr>
          <w:rFonts w:hint="eastAsia" w:ascii="仿宋_GB2312" w:hAnsi="黑体" w:eastAsia="仿宋_GB2312"/>
          <w:b/>
          <w:bCs w:val="0"/>
          <w:sz w:val="32"/>
          <w:szCs w:val="32"/>
          <w:u w:val="none"/>
        </w:rPr>
        <w:t>2026年</w:t>
      </w:r>
      <w:r>
        <w:rPr>
          <w:rFonts w:hint="eastAsia" w:ascii="仿宋" w:hAnsi="仿宋" w:eastAsia="仿宋" w:cs="仿宋"/>
          <w:b/>
          <w:bCs/>
          <w:sz w:val="32"/>
          <w:szCs w:val="32"/>
          <w:u w:val="none"/>
          <w:lang w:val="en-US" w:eastAsia="zh-CN"/>
        </w:rPr>
        <w:t>儋州市排浦中学</w:t>
      </w:r>
      <w:r>
        <w:rPr>
          <w:rFonts w:hint="eastAsia" w:ascii="仿宋" w:hAnsi="仿宋" w:eastAsia="仿宋" w:cs="仿宋"/>
          <w:b/>
          <w:bCs w:val="0"/>
          <w:sz w:val="32"/>
          <w:szCs w:val="32"/>
          <w:u w:val="none"/>
        </w:rPr>
        <w:t>预算公</w:t>
      </w:r>
      <w:r>
        <w:rPr>
          <w:rFonts w:hint="eastAsia" w:ascii="仿宋_GB2312" w:hAnsi="黑体" w:eastAsia="仿宋_GB2312"/>
          <w:b/>
          <w:bCs w:val="0"/>
          <w:sz w:val="32"/>
          <w:szCs w:val="32"/>
          <w:u w:val="none"/>
        </w:rPr>
        <w:t>开表）</w:t>
      </w:r>
    </w:p>
    <w:p w14:paraId="0614F976">
      <w:pPr>
        <w:spacing w:line="560" w:lineRule="exact"/>
        <w:ind w:left="800"/>
        <w:jc w:val="center"/>
        <w:rPr>
          <w:rFonts w:hint="eastAsia" w:ascii="仿宋_GB2312" w:hAnsi="黑体" w:eastAsia="仿宋_GB2312"/>
          <w:b/>
          <w:sz w:val="32"/>
          <w:szCs w:val="32"/>
          <w:u w:val="none"/>
        </w:rPr>
      </w:pPr>
    </w:p>
    <w:p w14:paraId="22135E76">
      <w:pPr>
        <w:spacing w:line="560" w:lineRule="exact"/>
        <w:ind w:firstLine="0" w:firstLineChars="0"/>
        <w:jc w:val="center"/>
        <w:rPr>
          <w:rFonts w:ascii="黑体" w:hAnsi="黑体" w:eastAsia="黑体"/>
          <w:sz w:val="32"/>
          <w:szCs w:val="32"/>
          <w:u w:val="none"/>
        </w:rPr>
      </w:pPr>
      <w:r>
        <w:rPr>
          <w:rFonts w:hint="eastAsia" w:ascii="黑体" w:hAnsi="黑体" w:eastAsia="黑体"/>
          <w:sz w:val="32"/>
          <w:szCs w:val="32"/>
          <w:u w:val="none"/>
          <w:lang w:eastAsia="zh-CN"/>
        </w:rPr>
        <w:t>第三部分</w:t>
      </w:r>
      <w:r>
        <w:rPr>
          <w:rFonts w:hint="eastAsia" w:ascii="黑体" w:hAnsi="黑体" w:eastAsia="黑体"/>
          <w:sz w:val="32"/>
          <w:szCs w:val="32"/>
          <w:u w:val="none"/>
          <w:lang w:val="en-US" w:eastAsia="zh-CN"/>
        </w:rPr>
        <w:t xml:space="preserve">  2026</w:t>
      </w:r>
      <w:r>
        <w:rPr>
          <w:rFonts w:hint="eastAsia" w:ascii="黑体" w:hAnsi="黑体" w:eastAsia="黑体"/>
          <w:sz w:val="32"/>
          <w:szCs w:val="32"/>
          <w:u w:val="none"/>
        </w:rPr>
        <w:t>年</w:t>
      </w:r>
      <w:r>
        <w:rPr>
          <w:rFonts w:hint="eastAsia" w:ascii="黑体" w:hAnsi="黑体" w:eastAsia="黑体" w:cs="黑体"/>
          <w:sz w:val="32"/>
          <w:szCs w:val="32"/>
          <w:u w:val="none"/>
          <w:lang w:val="en-US" w:eastAsia="zh-CN"/>
        </w:rPr>
        <w:t>儋州市排浦中学</w:t>
      </w:r>
      <w:r>
        <w:rPr>
          <w:rFonts w:hint="eastAsia" w:ascii="黑体" w:hAnsi="黑体" w:eastAsia="黑体"/>
          <w:sz w:val="32"/>
          <w:szCs w:val="32"/>
          <w:u w:val="none"/>
        </w:rPr>
        <w:t>预算情况说明</w:t>
      </w:r>
    </w:p>
    <w:p w14:paraId="1F19643D">
      <w:pPr>
        <w:spacing w:line="560" w:lineRule="exact"/>
        <w:jc w:val="center"/>
        <w:rPr>
          <w:rFonts w:ascii="黑体" w:hAnsi="黑体" w:eastAsia="黑体"/>
          <w:sz w:val="32"/>
          <w:szCs w:val="32"/>
          <w:u w:val="none"/>
        </w:rPr>
      </w:pPr>
    </w:p>
    <w:p w14:paraId="41786110">
      <w:pPr>
        <w:spacing w:line="560" w:lineRule="exact"/>
        <w:ind w:firstLine="640" w:firstLineChars="200"/>
        <w:jc w:val="left"/>
        <w:rPr>
          <w:rFonts w:hint="eastAsia" w:ascii="方正黑体_GBK" w:hAnsi="方正黑体_GBK" w:eastAsia="方正黑体_GBK" w:cs="方正黑体_GBK"/>
          <w:sz w:val="32"/>
          <w:szCs w:val="32"/>
          <w:u w:val="none"/>
        </w:rPr>
      </w:pPr>
      <w:r>
        <w:rPr>
          <w:rFonts w:hint="eastAsia" w:ascii="方正黑体_GBK" w:hAnsi="方正黑体_GBK" w:eastAsia="方正黑体_GBK" w:cs="方正黑体_GBK"/>
          <w:sz w:val="32"/>
          <w:szCs w:val="32"/>
          <w:u w:val="none"/>
        </w:rPr>
        <w:t>一、财政拨款收支预算</w:t>
      </w:r>
      <w:r>
        <w:rPr>
          <w:rFonts w:hint="eastAsia" w:ascii="方正黑体_GBK" w:hAnsi="方正黑体_GBK" w:eastAsia="方正黑体_GBK" w:cs="方正黑体_GBK"/>
          <w:sz w:val="32"/>
          <w:szCs w:val="32"/>
          <w:u w:val="none"/>
          <w:lang w:eastAsia="zh-CN"/>
        </w:rPr>
        <w:t>总体</w:t>
      </w:r>
      <w:r>
        <w:rPr>
          <w:rFonts w:hint="eastAsia" w:ascii="方正黑体_GBK" w:hAnsi="方正黑体_GBK" w:eastAsia="方正黑体_GBK" w:cs="方正黑体_GBK"/>
          <w:sz w:val="32"/>
          <w:szCs w:val="32"/>
          <w:u w:val="none"/>
        </w:rPr>
        <w:t>情况说明</w:t>
      </w:r>
    </w:p>
    <w:p w14:paraId="51CD0A4A">
      <w:pPr>
        <w:ind w:firstLine="640" w:firstLineChars="200"/>
        <w:rPr>
          <w:rFonts w:ascii="仿宋_GB2312" w:hAnsi="黑体" w:eastAsia="仿宋_GB2312"/>
          <w:sz w:val="32"/>
          <w:szCs w:val="32"/>
          <w:u w:val="none"/>
        </w:rPr>
      </w:pPr>
      <w:r>
        <w:rPr>
          <w:rFonts w:hint="eastAsia" w:ascii="仿宋" w:hAnsi="仿宋" w:eastAsia="仿宋" w:cs="仿宋"/>
          <w:sz w:val="32"/>
          <w:szCs w:val="32"/>
          <w:u w:val="none"/>
          <w:lang w:val="en-US" w:eastAsia="zh-CN"/>
        </w:rPr>
        <w:t>儋州市排浦中学</w:t>
      </w:r>
      <w:r>
        <w:rPr>
          <w:rFonts w:hint="eastAsia" w:ascii="仿宋_GB2312" w:hAnsi="黑体" w:eastAsia="仿宋_GB2312"/>
          <w:sz w:val="32"/>
          <w:szCs w:val="32"/>
          <w:u w:val="none"/>
          <w:lang w:val="en-US" w:eastAsia="zh-CN"/>
        </w:rPr>
        <w:t>2</w:t>
      </w:r>
      <w:r>
        <w:rPr>
          <w:rFonts w:hint="eastAsia" w:ascii="仿宋_GB2312" w:hAnsi="黑体" w:eastAsia="仿宋_GB2312" w:cs="仿宋_GB2312"/>
          <w:sz w:val="32"/>
          <w:szCs w:val="32"/>
          <w:u w:val="none"/>
          <w:lang w:val="en-US" w:eastAsia="zh-CN"/>
        </w:rPr>
        <w:t>026</w:t>
      </w:r>
      <w:r>
        <w:rPr>
          <w:rFonts w:hint="eastAsia" w:ascii="仿宋_GB2312" w:hAnsi="黑体" w:eastAsia="仿宋_GB2312"/>
          <w:sz w:val="32"/>
          <w:szCs w:val="32"/>
          <w:u w:val="none"/>
        </w:rPr>
        <w:t>年财政拨款收支总预算</w:t>
      </w:r>
      <w:r>
        <w:rPr>
          <w:rFonts w:hint="eastAsia" w:ascii="仿宋_GB2312" w:hAnsi="黑体" w:eastAsia="仿宋_GB2312" w:cs="仿宋_GB2312"/>
          <w:sz w:val="32"/>
          <w:szCs w:val="32"/>
          <w:u w:val="none"/>
          <w:lang w:val="en-US" w:eastAsia="zh-CN"/>
        </w:rPr>
        <w:t>481.64</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9.49</w:t>
      </w:r>
      <w:r>
        <w:rPr>
          <w:rFonts w:hint="eastAsia" w:ascii="仿宋_GB2312" w:hAnsi="黑体" w:eastAsia="仿宋_GB2312"/>
          <w:sz w:val="32"/>
          <w:szCs w:val="32"/>
          <w:u w:val="none"/>
        </w:rPr>
        <w:t>万元，主要是</w:t>
      </w:r>
      <w:r>
        <w:rPr>
          <w:rFonts w:hint="eastAsia" w:ascii="仿宋_GB2312" w:hAnsi="黑体" w:eastAsia="仿宋_GB2312"/>
          <w:color w:val="000000" w:themeColor="text1"/>
          <w:sz w:val="32"/>
          <w:szCs w:val="32"/>
          <w14:textFill>
            <w14:solidFill>
              <w14:schemeClr w14:val="tx1"/>
            </w14:solidFill>
          </w14:textFill>
        </w:rPr>
        <w:t>人员工资</w:t>
      </w:r>
      <w:r>
        <w:rPr>
          <w:rFonts w:hint="eastAsia" w:ascii="仿宋_GB2312" w:hAnsi="黑体" w:eastAsia="仿宋_GB2312"/>
          <w:color w:val="000000" w:themeColor="text1"/>
          <w:sz w:val="32"/>
          <w:szCs w:val="32"/>
          <w:lang w:val="en-US" w:eastAsia="zh-CN"/>
          <w14:textFill>
            <w14:solidFill>
              <w14:schemeClr w14:val="tx1"/>
            </w14:solidFill>
          </w14:textFill>
        </w:rPr>
        <w:t>及社保</w:t>
      </w:r>
      <w:r>
        <w:rPr>
          <w:rFonts w:hint="eastAsia" w:ascii="仿宋_GB2312" w:hAnsi="黑体" w:eastAsia="仿宋_GB2312"/>
          <w:color w:val="000000" w:themeColor="text1"/>
          <w:sz w:val="32"/>
          <w:szCs w:val="32"/>
          <w14:textFill>
            <w14:solidFill>
              <w14:schemeClr w14:val="tx1"/>
            </w14:solidFill>
          </w14:textFill>
        </w:rPr>
        <w:t>调整变化</w:t>
      </w:r>
      <w:r>
        <w:rPr>
          <w:rFonts w:hint="eastAsia" w:ascii="仿宋_GB2312" w:hAnsi="黑体" w:eastAsia="仿宋_GB2312"/>
          <w:color w:val="000000" w:themeColor="text1"/>
          <w:sz w:val="32"/>
          <w:szCs w:val="32"/>
          <w:lang w:eastAsia="zh-CN"/>
          <w14:textFill>
            <w14:solidFill>
              <w14:schemeClr w14:val="tx1"/>
            </w14:solidFill>
          </w14:textFill>
        </w:rPr>
        <w:t>。</w:t>
      </w:r>
      <w:r>
        <w:rPr>
          <w:rFonts w:hint="eastAsia" w:ascii="仿宋_GB2312" w:hAnsi="黑体" w:eastAsia="仿宋_GB2312"/>
          <w:color w:val="auto"/>
          <w:sz w:val="32"/>
          <w:szCs w:val="32"/>
          <w:highlight w:val="none"/>
          <w:u w:val="none"/>
        </w:rPr>
        <w:t>其中，收入总计</w:t>
      </w:r>
      <w:r>
        <w:rPr>
          <w:rFonts w:hint="eastAsia" w:ascii="仿宋_GB2312" w:hAnsi="黑体" w:eastAsia="仿宋_GB2312" w:cs="仿宋_GB2312"/>
          <w:color w:val="auto"/>
          <w:sz w:val="32"/>
          <w:szCs w:val="32"/>
          <w:highlight w:val="none"/>
          <w:u w:val="none"/>
          <w:lang w:val="en-US" w:eastAsia="zh-CN"/>
        </w:rPr>
        <w:t>481.64</w:t>
      </w:r>
      <w:r>
        <w:rPr>
          <w:rFonts w:hint="eastAsia" w:ascii="仿宋_GB2312" w:hAnsi="黑体" w:eastAsia="仿宋_GB2312"/>
          <w:color w:val="auto"/>
          <w:sz w:val="32"/>
          <w:szCs w:val="32"/>
          <w:highlight w:val="none"/>
          <w:u w:val="none"/>
        </w:rPr>
        <w:t>万元，包括一般公共预算本年收入</w:t>
      </w:r>
      <w:r>
        <w:rPr>
          <w:rFonts w:hint="eastAsia" w:ascii="仿宋_GB2312" w:hAnsi="黑体" w:eastAsia="仿宋_GB2312" w:cs="仿宋_GB2312"/>
          <w:color w:val="auto"/>
          <w:sz w:val="32"/>
          <w:szCs w:val="32"/>
          <w:highlight w:val="none"/>
          <w:u w:val="none"/>
        </w:rPr>
        <w:t>479.55</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2.09</w:t>
      </w:r>
      <w:r>
        <w:rPr>
          <w:rFonts w:hint="eastAsia" w:ascii="仿宋_GB2312" w:hAnsi="黑体" w:eastAsia="仿宋_GB2312"/>
          <w:color w:val="auto"/>
          <w:sz w:val="32"/>
          <w:szCs w:val="32"/>
          <w:highlight w:val="none"/>
          <w:u w:val="none"/>
        </w:rPr>
        <w:t>万元，政府性基金预算本年收入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，国有资本经营预算本年收入</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万元、上年结转</w:t>
      </w:r>
      <w:r>
        <w:rPr>
          <w:rFonts w:hint="eastAsia" w:ascii="仿宋_GB2312" w:hAnsi="黑体" w:eastAsia="仿宋_GB2312" w:cs="仿宋_GB2312"/>
          <w:color w:val="auto"/>
          <w:sz w:val="32"/>
          <w:szCs w:val="32"/>
          <w:highlight w:val="none"/>
          <w:u w:val="none"/>
          <w:lang w:val="en-US" w:eastAsia="zh-CN"/>
        </w:rPr>
        <w:t>0</w:t>
      </w:r>
      <w:r>
        <w:rPr>
          <w:rFonts w:hint="eastAsia" w:ascii="仿宋_GB2312" w:hAnsi="黑体" w:eastAsia="仿宋_GB2312"/>
          <w:color w:val="auto"/>
          <w:sz w:val="32"/>
          <w:szCs w:val="32"/>
          <w:highlight w:val="none"/>
          <w:u w:val="none"/>
        </w:rPr>
        <w:t>万元</w:t>
      </w:r>
      <w:r>
        <w:rPr>
          <w:rFonts w:hint="eastAsia" w:ascii="仿宋_GB2312" w:hAnsi="黑体" w:eastAsia="仿宋_GB2312"/>
          <w:color w:val="auto"/>
          <w:sz w:val="32"/>
          <w:szCs w:val="32"/>
          <w:highlight w:val="none"/>
          <w:u w:val="none"/>
          <w:lang w:eastAsia="zh-CN"/>
        </w:rPr>
        <w:t>；</w:t>
      </w:r>
      <w:r>
        <w:rPr>
          <w:rFonts w:hint="eastAsia" w:ascii="仿宋_GB2312" w:hAnsi="黑体" w:eastAsia="仿宋_GB2312"/>
          <w:color w:val="auto"/>
          <w:sz w:val="32"/>
          <w:szCs w:val="32"/>
          <w:highlight w:val="none"/>
          <w:u w:val="none"/>
        </w:rPr>
        <w:t>支出总计</w:t>
      </w:r>
      <w:r>
        <w:rPr>
          <w:rFonts w:hint="eastAsia" w:ascii="仿宋_GB2312" w:hAnsi="黑体" w:eastAsia="仿宋_GB2312" w:cs="仿宋_GB2312"/>
          <w:color w:val="auto"/>
          <w:sz w:val="32"/>
          <w:szCs w:val="32"/>
          <w:u w:val="none"/>
          <w:lang w:val="en-US" w:eastAsia="zh-CN"/>
        </w:rPr>
        <w:t>481.64</w:t>
      </w:r>
      <w:r>
        <w:rPr>
          <w:rFonts w:hint="eastAsia" w:ascii="仿宋_GB2312" w:hAnsi="黑体" w:eastAsia="仿宋_GB2312"/>
          <w:color w:val="auto"/>
          <w:sz w:val="32"/>
          <w:szCs w:val="32"/>
          <w:u w:val="none"/>
        </w:rPr>
        <w:t>万元，包括一般公共服务支出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万元、外交支出</w:t>
      </w:r>
      <w:r>
        <w:rPr>
          <w:rFonts w:hint="eastAsia" w:ascii="仿宋_GB2312" w:hAnsi="黑体" w:eastAsia="仿宋_GB2312" w:cs="仿宋_GB2312"/>
          <w:color w:val="auto"/>
          <w:sz w:val="32"/>
          <w:szCs w:val="32"/>
          <w:u w:val="none"/>
          <w:lang w:val="en-US" w:eastAsia="zh-CN"/>
        </w:rPr>
        <w:t>0</w:t>
      </w:r>
      <w:r>
        <w:rPr>
          <w:rFonts w:hint="eastAsia" w:ascii="仿宋_GB2312" w:hAnsi="黑体" w:eastAsia="仿宋_GB2312"/>
          <w:color w:val="auto"/>
          <w:sz w:val="32"/>
          <w:szCs w:val="32"/>
          <w:u w:val="none"/>
        </w:rPr>
        <w:t>万元、国</w:t>
      </w:r>
      <w:r>
        <w:rPr>
          <w:rFonts w:hint="eastAsia" w:ascii="仿宋_GB2312" w:hAnsi="黑体" w:eastAsia="仿宋_GB2312"/>
          <w:sz w:val="32"/>
          <w:szCs w:val="32"/>
          <w:u w:val="none"/>
        </w:rPr>
        <w:t>防支出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万元，结转下年</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54ADB13A">
      <w:pPr>
        <w:spacing w:line="560" w:lineRule="exact"/>
        <w:ind w:firstLine="640"/>
        <w:jc w:val="left"/>
        <w:rPr>
          <w:rFonts w:ascii="黑体" w:hAnsi="黑体" w:eastAsia="黑体"/>
          <w:sz w:val="32"/>
          <w:szCs w:val="32"/>
          <w:u w:val="none"/>
        </w:rPr>
      </w:pPr>
      <w:r>
        <w:rPr>
          <w:rFonts w:hint="eastAsia" w:ascii="黑体" w:hAnsi="黑体" w:eastAsia="黑体"/>
          <w:sz w:val="32"/>
          <w:szCs w:val="32"/>
          <w:u w:val="none"/>
        </w:rPr>
        <w:t>二、一般公共预算当年拨款情况说明</w:t>
      </w:r>
    </w:p>
    <w:p w14:paraId="7A341DEC">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（一）一般公共预算当年规模变化情况</w:t>
      </w:r>
    </w:p>
    <w:p w14:paraId="372D699B">
      <w:pPr>
        <w:spacing w:line="560" w:lineRule="exact"/>
        <w:ind w:firstLine="640" w:firstLineChars="200"/>
        <w:rPr>
          <w:rFonts w:ascii="仿宋_GB2312" w:hAnsi="黑体" w:eastAsia="仿宋_GB2312"/>
          <w:sz w:val="32"/>
          <w:szCs w:val="32"/>
          <w:u w:val="none"/>
        </w:rPr>
      </w:pP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年一般公共预算当年拨款</w:t>
      </w:r>
      <w:r>
        <w:rPr>
          <w:rFonts w:hint="eastAsia" w:ascii="仿宋_GB2312" w:hAnsi="黑体" w:eastAsia="仿宋_GB2312" w:cs="仿宋_GB2312"/>
          <w:color w:val="auto"/>
          <w:sz w:val="32"/>
          <w:szCs w:val="32"/>
          <w:highlight w:val="none"/>
          <w:u w:val="none"/>
          <w:lang w:val="en-US" w:eastAsia="zh-CN"/>
        </w:rPr>
        <w:t>481.64</w:t>
      </w:r>
      <w:r>
        <w:rPr>
          <w:rFonts w:hint="eastAsia" w:ascii="仿宋_GB2312" w:hAnsi="黑体" w:eastAsia="仿宋_GB2312"/>
          <w:sz w:val="32"/>
          <w:szCs w:val="32"/>
          <w:u w:val="none"/>
        </w:rPr>
        <w:t>万元，比上年预算数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9.49</w:t>
      </w:r>
      <w:r>
        <w:rPr>
          <w:rFonts w:hint="eastAsia" w:ascii="仿宋_GB2312" w:hAnsi="黑体" w:eastAsia="仿宋_GB2312"/>
          <w:sz w:val="32"/>
          <w:szCs w:val="32"/>
          <w:u w:val="none"/>
        </w:rPr>
        <w:t>万元，主要是</w:t>
      </w:r>
      <w:r>
        <w:rPr>
          <w:rFonts w:hint="eastAsia" w:ascii="仿宋_GB2312" w:hAnsi="黑体" w:eastAsia="仿宋_GB2312"/>
          <w:color w:val="000000" w:themeColor="text1"/>
          <w:sz w:val="32"/>
          <w:szCs w:val="32"/>
          <w14:textFill>
            <w14:solidFill>
              <w14:schemeClr w14:val="tx1"/>
            </w14:solidFill>
          </w14:textFill>
        </w:rPr>
        <w:t>人员工资</w:t>
      </w:r>
      <w:r>
        <w:rPr>
          <w:rFonts w:hint="eastAsia" w:ascii="仿宋_GB2312" w:hAnsi="黑体" w:eastAsia="仿宋_GB2312"/>
          <w:color w:val="000000" w:themeColor="text1"/>
          <w:sz w:val="32"/>
          <w:szCs w:val="32"/>
          <w:lang w:val="en-US" w:eastAsia="zh-CN"/>
          <w14:textFill>
            <w14:solidFill>
              <w14:schemeClr w14:val="tx1"/>
            </w14:solidFill>
          </w14:textFill>
        </w:rPr>
        <w:t>及社保</w:t>
      </w:r>
      <w:r>
        <w:rPr>
          <w:rFonts w:hint="eastAsia" w:ascii="仿宋_GB2312" w:hAnsi="黑体" w:eastAsia="仿宋_GB2312"/>
          <w:color w:val="000000" w:themeColor="text1"/>
          <w:sz w:val="32"/>
          <w:szCs w:val="32"/>
          <w14:textFill>
            <w14:solidFill>
              <w14:schemeClr w14:val="tx1"/>
            </w14:solidFill>
          </w14:textFill>
        </w:rPr>
        <w:t>调整变化</w:t>
      </w:r>
      <w:r>
        <w:rPr>
          <w:rFonts w:hint="eastAsia" w:ascii="仿宋_GB2312" w:hAnsi="黑体" w:eastAsia="仿宋_GB2312"/>
          <w:sz w:val="32"/>
          <w:szCs w:val="32"/>
          <w:u w:val="none"/>
          <w:lang w:eastAsia="zh-CN"/>
        </w:rPr>
        <w:t>。</w:t>
      </w:r>
    </w:p>
    <w:p w14:paraId="2447BD70">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（二）一般公共预算当年拨款结构情况</w:t>
      </w:r>
    </w:p>
    <w:p w14:paraId="4F5BF563">
      <w:pPr>
        <w:spacing w:line="560" w:lineRule="exact"/>
        <w:ind w:firstLine="800" w:firstLineChars="250"/>
        <w:rPr>
          <w:rFonts w:hint="eastAsia" w:ascii="仿宋_GB2312" w:hAnsi="黑体" w:eastAsia="仿宋_GB2312"/>
          <w:sz w:val="32"/>
          <w:szCs w:val="32"/>
          <w:u w:val="none"/>
          <w:lang w:eastAsia="zh-CN"/>
        </w:rPr>
      </w:pPr>
      <w:r>
        <w:rPr>
          <w:rFonts w:hint="eastAsia" w:ascii="仿宋_GB2312" w:hAnsi="黑体" w:eastAsia="仿宋_GB2312" w:cs="仿宋_GB2312"/>
          <w:sz w:val="32"/>
          <w:szCs w:val="32"/>
          <w:u w:val="none"/>
        </w:rPr>
        <w:t>一般公共服务（类）支出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%；外交（类）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%；教育（类）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339.15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70.41</w:t>
      </w:r>
      <w:r>
        <w:rPr>
          <w:rFonts w:hint="eastAsia" w:ascii="仿宋_GB2312" w:hAnsi="黑体" w:eastAsia="仿宋_GB2312"/>
          <w:sz w:val="32"/>
          <w:szCs w:val="32"/>
          <w:u w:val="none"/>
        </w:rPr>
        <w:t>%；科学技术（类）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 社会保障和就业支出63.08</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13.09</w:t>
      </w:r>
      <w:r>
        <w:rPr>
          <w:rFonts w:hint="eastAsia" w:ascii="仿宋_GB2312" w:hAnsi="黑体" w:eastAsia="仿宋_GB2312"/>
          <w:sz w:val="32"/>
          <w:szCs w:val="32"/>
          <w:u w:val="none"/>
        </w:rPr>
        <w:t>%；卫生健康支出45.36</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9.41</w:t>
      </w:r>
      <w:r>
        <w:rPr>
          <w:rFonts w:hint="eastAsia" w:ascii="仿宋_GB2312" w:hAnsi="黑体" w:eastAsia="仿宋_GB2312"/>
          <w:sz w:val="32"/>
          <w:szCs w:val="32"/>
          <w:u w:val="none"/>
        </w:rPr>
        <w:t>% 住房保障支出34.05</w:t>
      </w:r>
      <w:r>
        <w:rPr>
          <w:rFonts w:hint="eastAsia" w:ascii="仿宋_GB2312" w:hAnsi="黑体" w:eastAsia="仿宋_GB2312"/>
          <w:sz w:val="32"/>
          <w:szCs w:val="32"/>
          <w:u w:val="none"/>
          <w:lang w:eastAsia="zh-CN"/>
        </w:rPr>
        <w:t>，</w:t>
      </w:r>
      <w:r>
        <w:rPr>
          <w:rFonts w:hint="eastAsia" w:ascii="仿宋_GB2312" w:hAnsi="黑体" w:eastAsia="仿宋_GB2312"/>
          <w:sz w:val="32"/>
          <w:szCs w:val="32"/>
          <w:u w:val="none"/>
        </w:rPr>
        <w:t>占</w:t>
      </w:r>
      <w:r>
        <w:rPr>
          <w:rFonts w:hint="eastAsia" w:ascii="仿宋_GB2312" w:hAnsi="黑体" w:eastAsia="仿宋_GB2312" w:cs="仿宋_GB2312"/>
          <w:sz w:val="32"/>
          <w:szCs w:val="32"/>
          <w:u w:val="none"/>
          <w:lang w:val="en-US" w:eastAsia="zh-CN"/>
        </w:rPr>
        <w:t>7.06</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w:t>
      </w:r>
    </w:p>
    <w:p w14:paraId="6EA94897">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（三）一般公共预算当年拨款具体使用情况</w:t>
      </w:r>
    </w:p>
    <w:p w14:paraId="50C63449">
      <w:pPr>
        <w:ind w:firstLine="640" w:firstLineChars="200"/>
        <w:rPr>
          <w:rFonts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cs="仿宋_GB2312"/>
          <w:sz w:val="32"/>
          <w:szCs w:val="32"/>
        </w:rPr>
        <w:t>1.教育支出（类）普通教育（款）小学教育（项）202</w:t>
      </w:r>
      <w:r>
        <w:rPr>
          <w:rFonts w:hint="eastAsia" w:ascii="仿宋_GB2312" w:hAnsi="黑体" w:eastAsia="仿宋_GB2312" w:cs="仿宋_GB2312"/>
          <w:sz w:val="32"/>
          <w:szCs w:val="32"/>
          <w:lang w:val="en-US" w:eastAsia="zh-CN"/>
        </w:rPr>
        <w:t>6</w:t>
      </w:r>
      <w:r>
        <w:rPr>
          <w:rFonts w:hint="eastAsia" w:ascii="仿宋_GB2312" w:hAnsi="黑体" w:eastAsia="仿宋_GB2312" w:cs="仿宋_GB2312"/>
          <w:sz w:val="32"/>
          <w:szCs w:val="32"/>
        </w:rPr>
        <w:t>年预算数为</w:t>
      </w:r>
      <w:r>
        <w:rPr>
          <w:rFonts w:hint="eastAsia" w:ascii="仿宋_GB2312" w:hAnsi="黑体" w:eastAsia="仿宋_GB2312" w:cs="仿宋_GB2312"/>
          <w:sz w:val="32"/>
          <w:szCs w:val="32"/>
          <w:lang w:val="en-US" w:eastAsia="zh-CN"/>
        </w:rPr>
        <w:t>339.15</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w:t>
      </w:r>
      <w:r>
        <w:rPr>
          <w:rFonts w:hint="eastAsia" w:ascii="仿宋_GB2312" w:hAnsi="黑体" w:eastAsia="仿宋_GB2312"/>
          <w:color w:val="000000" w:themeColor="text1"/>
          <w:sz w:val="32"/>
          <w:szCs w:val="32"/>
          <w:lang w:val="en-US" w:eastAsia="zh-CN"/>
          <w14:textFill>
            <w14:solidFill>
              <w14:schemeClr w14:val="tx1"/>
            </w14:solidFill>
          </w14:textFill>
        </w:rPr>
        <w:t>增加</w:t>
      </w:r>
      <w:r>
        <w:rPr>
          <w:rFonts w:hint="eastAsia" w:ascii="仿宋_GB2312" w:hAnsi="黑体" w:eastAsia="仿宋_GB2312" w:cs="仿宋_GB2312"/>
          <w:sz w:val="32"/>
          <w:szCs w:val="32"/>
          <w:lang w:val="en-US" w:eastAsia="zh-CN"/>
        </w:rPr>
        <w:t>10.98</w:t>
      </w:r>
      <w:r>
        <w:rPr>
          <w:rFonts w:hint="eastAsia" w:ascii="仿宋_GB2312" w:hAnsi="黑体" w:eastAsia="仿宋_GB2312"/>
          <w:color w:val="000000" w:themeColor="text1"/>
          <w:sz w:val="32"/>
          <w:szCs w:val="32"/>
          <w14:textFill>
            <w14:solidFill>
              <w14:schemeClr w14:val="tx1"/>
            </w14:solidFill>
          </w14:textFill>
        </w:rPr>
        <w:t>万元，主要是人员工资调整变化.</w:t>
      </w:r>
    </w:p>
    <w:p w14:paraId="35C78A30">
      <w:pPr>
        <w:spacing w:line="578" w:lineRule="exact"/>
        <w:ind w:firstLine="640"/>
        <w:rPr>
          <w:rFonts w:hint="eastAsia" w:ascii="仿宋_GB2312" w:hAnsi="黑体" w:eastAsia="仿宋_GB2312"/>
          <w:color w:val="000000" w:themeColor="text1"/>
          <w:sz w:val="32"/>
          <w:szCs w:val="32"/>
          <w14:textFill>
            <w14:solidFill>
              <w14:schemeClr w14:val="tx1"/>
            </w14:solidFill>
          </w14:textFill>
        </w:rPr>
      </w:pPr>
      <w:r>
        <w:rPr>
          <w:rFonts w:hint="eastAsia" w:ascii="仿宋_GB2312" w:hAnsi="黑体" w:eastAsia="仿宋_GB2312"/>
          <w:sz w:val="32"/>
          <w:szCs w:val="32"/>
        </w:rPr>
        <w:t>2.社会保障和就业支出（类）行政事业单位养老支出（款）机关事业单位基本养老保险缴费支出（项）202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63.08</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w:t>
      </w:r>
      <w:r>
        <w:rPr>
          <w:rFonts w:hint="eastAsia" w:ascii="仿宋_GB2312" w:hAnsi="黑体" w:eastAsia="仿宋_GB2312"/>
          <w:color w:val="000000" w:themeColor="text1"/>
          <w:sz w:val="32"/>
          <w:szCs w:val="32"/>
          <w:lang w:val="en-US" w:eastAsia="zh-CN"/>
          <w14:textFill>
            <w14:solidFill>
              <w14:schemeClr w14:val="tx1"/>
            </w14:solidFill>
          </w14:textFill>
        </w:rPr>
        <w:t>增加2.19</w:t>
      </w:r>
      <w:r>
        <w:rPr>
          <w:rFonts w:hint="eastAsia" w:ascii="仿宋_GB2312" w:hAnsi="黑体" w:eastAsia="仿宋_GB2312"/>
          <w:color w:val="000000" w:themeColor="text1"/>
          <w:sz w:val="32"/>
          <w:szCs w:val="32"/>
          <w14:textFill>
            <w14:solidFill>
              <w14:schemeClr w14:val="tx1"/>
            </w14:solidFill>
          </w14:textFill>
        </w:rPr>
        <w:t>万元，主要人员</w:t>
      </w:r>
      <w:r>
        <w:rPr>
          <w:rFonts w:hint="eastAsia" w:ascii="仿宋_GB2312" w:hAnsi="黑体" w:eastAsia="仿宋_GB2312"/>
          <w:color w:val="000000" w:themeColor="text1"/>
          <w:sz w:val="32"/>
          <w:szCs w:val="32"/>
          <w:lang w:val="en-US" w:eastAsia="zh-CN"/>
          <w14:textFill>
            <w14:solidFill>
              <w14:schemeClr w14:val="tx1"/>
            </w14:solidFill>
          </w14:textFill>
        </w:rPr>
        <w:t>社保</w:t>
      </w:r>
      <w:r>
        <w:rPr>
          <w:rFonts w:hint="eastAsia" w:ascii="仿宋_GB2312" w:hAnsi="黑体" w:eastAsia="仿宋_GB2312"/>
          <w:color w:val="000000" w:themeColor="text1"/>
          <w:sz w:val="32"/>
          <w:szCs w:val="32"/>
          <w14:textFill>
            <w14:solidFill>
              <w14:schemeClr w14:val="tx1"/>
            </w14:solidFill>
          </w14:textFill>
        </w:rPr>
        <w:t>调整变化。</w:t>
      </w:r>
    </w:p>
    <w:p w14:paraId="3B1AF4A3">
      <w:pPr>
        <w:ind w:firstLine="640" w:firstLineChars="200"/>
        <w:rPr>
          <w:rFonts w:ascii="仿宋_GB2312" w:hAnsi="黑体" w:eastAsia="仿宋_GB2312" w:cs="仿宋_GB2312"/>
          <w:color w:val="FF0000"/>
          <w:sz w:val="32"/>
          <w:szCs w:val="32"/>
        </w:rPr>
      </w:pPr>
      <w:r>
        <w:rPr>
          <w:rFonts w:hint="eastAsia" w:ascii="仿宋_GB2312" w:hAnsi="黑体" w:eastAsia="仿宋_GB2312"/>
          <w:sz w:val="32"/>
          <w:szCs w:val="32"/>
        </w:rPr>
        <w:t>3.卫生健康支出（类）行政事业单位医疗（款）公务员医疗补助（项）202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45.36</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w:t>
      </w:r>
      <w:r>
        <w:rPr>
          <w:rFonts w:hint="eastAsia" w:ascii="仿宋_GB2312" w:hAnsi="黑体" w:eastAsia="仿宋_GB2312"/>
          <w:color w:val="000000" w:themeColor="text1"/>
          <w:sz w:val="32"/>
          <w:szCs w:val="32"/>
          <w:lang w:val="en-US" w:eastAsia="zh-CN"/>
          <w14:textFill>
            <w14:solidFill>
              <w14:schemeClr w14:val="tx1"/>
            </w14:solidFill>
          </w14:textFill>
        </w:rPr>
        <w:t>减少4.78</w:t>
      </w:r>
      <w:r>
        <w:rPr>
          <w:rFonts w:hint="eastAsia" w:ascii="仿宋_GB2312" w:hAnsi="黑体" w:eastAsia="仿宋_GB2312"/>
          <w:color w:val="000000" w:themeColor="text1"/>
          <w:sz w:val="32"/>
          <w:szCs w:val="32"/>
          <w14:textFill>
            <w14:solidFill>
              <w14:schemeClr w14:val="tx1"/>
            </w14:solidFill>
          </w14:textFill>
        </w:rPr>
        <w:t>万元，主要原因是</w:t>
      </w:r>
      <w:r>
        <w:rPr>
          <w:rFonts w:hint="eastAsia" w:ascii="仿宋_GB2312" w:hAnsi="黑体" w:eastAsia="仿宋_GB2312"/>
          <w:color w:val="000000" w:themeColor="text1"/>
          <w:sz w:val="32"/>
          <w:szCs w:val="32"/>
          <w:lang w:eastAsia="zh-CN"/>
          <w14:textFill>
            <w14:solidFill>
              <w14:schemeClr w14:val="tx1"/>
            </w14:solidFill>
          </w14:textFill>
        </w:rPr>
        <w:t>人员</w:t>
      </w:r>
      <w:r>
        <w:rPr>
          <w:rFonts w:hint="eastAsia" w:ascii="仿宋_GB2312" w:hAnsi="黑体" w:eastAsia="仿宋_GB2312"/>
          <w:color w:val="000000" w:themeColor="text1"/>
          <w:sz w:val="32"/>
          <w:szCs w:val="32"/>
          <w:lang w:val="en-US" w:eastAsia="zh-CN"/>
          <w14:textFill>
            <w14:solidFill>
              <w14:schemeClr w14:val="tx1"/>
            </w14:solidFill>
          </w14:textFill>
        </w:rPr>
        <w:t>工资及</w:t>
      </w:r>
      <w:r>
        <w:rPr>
          <w:rFonts w:hint="eastAsia" w:ascii="仿宋_GB2312" w:hAnsi="黑体" w:eastAsia="仿宋_GB2312"/>
          <w:color w:val="000000" w:themeColor="text1"/>
          <w:sz w:val="32"/>
          <w:szCs w:val="32"/>
          <w:lang w:eastAsia="zh-CN"/>
          <w14:textFill>
            <w14:solidFill>
              <w14:schemeClr w14:val="tx1"/>
            </w14:solidFill>
          </w14:textFill>
        </w:rPr>
        <w:t>社保基数</w:t>
      </w:r>
      <w:r>
        <w:rPr>
          <w:rFonts w:hint="eastAsia" w:ascii="仿宋_GB2312" w:hAnsi="黑体" w:eastAsia="仿宋_GB2312"/>
          <w:color w:val="000000" w:themeColor="text1"/>
          <w:sz w:val="32"/>
          <w:szCs w:val="32"/>
          <w:lang w:val="en-US" w:eastAsia="zh-CN"/>
          <w14:textFill>
            <w14:solidFill>
              <w14:schemeClr w14:val="tx1"/>
            </w14:solidFill>
          </w14:textFill>
        </w:rPr>
        <w:t>调整变化</w:t>
      </w:r>
      <w:r>
        <w:rPr>
          <w:rFonts w:hint="eastAsia" w:ascii="仿宋_GB2312" w:hAnsi="黑体" w:eastAsia="仿宋_GB2312"/>
          <w:color w:val="000000" w:themeColor="text1"/>
          <w:sz w:val="32"/>
          <w:szCs w:val="32"/>
          <w14:textFill>
            <w14:solidFill>
              <w14:schemeClr w14:val="tx1"/>
            </w14:solidFill>
          </w14:textFill>
        </w:rPr>
        <w:t>。</w:t>
      </w:r>
    </w:p>
    <w:p w14:paraId="4DE4E8CC">
      <w:pPr>
        <w:spacing w:line="560" w:lineRule="exact"/>
        <w:ind w:firstLine="640"/>
        <w:rPr>
          <w:rFonts w:hint="eastAsia" w:ascii="仿宋_GB2312" w:hAnsi="黑体" w:eastAsia="仿宋_GB2312"/>
          <w:sz w:val="32"/>
          <w:szCs w:val="32"/>
          <w:lang w:eastAsia="zh-CN"/>
        </w:rPr>
      </w:pPr>
      <w:r>
        <w:rPr>
          <w:rFonts w:hint="eastAsia" w:ascii="仿宋_GB2312" w:hAnsi="黑体" w:eastAsia="仿宋_GB2312"/>
          <w:sz w:val="32"/>
          <w:szCs w:val="32"/>
        </w:rPr>
        <w:t>4.住房保障支出（类）住房改革支出（款）住房公积金（项）202</w:t>
      </w:r>
      <w:r>
        <w:rPr>
          <w:rFonts w:hint="eastAsia" w:ascii="仿宋_GB2312" w:hAnsi="黑体" w:eastAsia="仿宋_GB2312"/>
          <w:sz w:val="32"/>
          <w:szCs w:val="32"/>
          <w:lang w:val="en-US" w:eastAsia="zh-CN"/>
        </w:rPr>
        <w:t>6</w:t>
      </w:r>
      <w:r>
        <w:rPr>
          <w:rFonts w:hint="eastAsia" w:ascii="仿宋_GB2312" w:hAnsi="黑体" w:eastAsia="仿宋_GB2312"/>
          <w:sz w:val="32"/>
          <w:szCs w:val="32"/>
        </w:rPr>
        <w:t>年预算数为</w:t>
      </w:r>
      <w:r>
        <w:rPr>
          <w:rFonts w:hint="eastAsia" w:ascii="仿宋_GB2312" w:hAnsi="黑体" w:eastAsia="仿宋_GB2312"/>
          <w:sz w:val="32"/>
          <w:szCs w:val="32"/>
          <w:lang w:val="en-US" w:eastAsia="zh-CN"/>
        </w:rPr>
        <w:t>34.05</w:t>
      </w:r>
      <w:r>
        <w:rPr>
          <w:rFonts w:hint="eastAsia" w:ascii="仿宋_GB2312" w:hAnsi="黑体" w:eastAsia="仿宋_GB2312"/>
          <w:sz w:val="32"/>
          <w:szCs w:val="32"/>
        </w:rPr>
        <w:t>万元，</w:t>
      </w:r>
      <w:r>
        <w:rPr>
          <w:rFonts w:hint="eastAsia" w:ascii="仿宋_GB2312" w:hAnsi="黑体" w:eastAsia="仿宋_GB2312"/>
          <w:color w:val="000000" w:themeColor="text1"/>
          <w:sz w:val="32"/>
          <w:szCs w:val="32"/>
          <w14:textFill>
            <w14:solidFill>
              <w14:schemeClr w14:val="tx1"/>
            </w14:solidFill>
          </w14:textFill>
        </w:rPr>
        <w:t>比上年预算</w:t>
      </w:r>
      <w:r>
        <w:rPr>
          <w:rFonts w:hint="eastAsia" w:ascii="仿宋_GB2312" w:hAnsi="黑体" w:eastAsia="仿宋_GB2312"/>
          <w:color w:val="000000" w:themeColor="text1"/>
          <w:sz w:val="32"/>
          <w:szCs w:val="32"/>
          <w:lang w:val="en-US" w:eastAsia="zh-CN"/>
          <w14:textFill>
            <w14:solidFill>
              <w14:schemeClr w14:val="tx1"/>
            </w14:solidFill>
          </w14:textFill>
        </w:rPr>
        <w:t>增加1.07</w:t>
      </w:r>
      <w:r>
        <w:rPr>
          <w:rFonts w:hint="eastAsia" w:ascii="仿宋_GB2312" w:hAnsi="黑体" w:eastAsia="仿宋_GB2312"/>
          <w:color w:val="000000" w:themeColor="text1"/>
          <w:sz w:val="32"/>
          <w:szCs w:val="32"/>
          <w14:textFill>
            <w14:solidFill>
              <w14:schemeClr w14:val="tx1"/>
            </w14:solidFill>
          </w14:textFill>
        </w:rPr>
        <w:t>万元，主要原因是</w:t>
      </w:r>
      <w:r>
        <w:rPr>
          <w:rFonts w:hint="eastAsia" w:ascii="仿宋_GB2312" w:hAnsi="黑体" w:eastAsia="仿宋_GB2312"/>
          <w:color w:val="000000" w:themeColor="text1"/>
          <w:sz w:val="32"/>
          <w:szCs w:val="32"/>
          <w:lang w:eastAsia="zh-CN"/>
          <w14:textFill>
            <w14:solidFill>
              <w14:schemeClr w14:val="tx1"/>
            </w14:solidFill>
          </w14:textFill>
        </w:rPr>
        <w:t>人员</w:t>
      </w:r>
      <w:r>
        <w:rPr>
          <w:rFonts w:hint="eastAsia" w:ascii="仿宋_GB2312" w:hAnsi="黑体" w:eastAsia="仿宋_GB2312"/>
          <w:sz w:val="32"/>
          <w:szCs w:val="32"/>
        </w:rPr>
        <w:t>住房公积金</w:t>
      </w:r>
      <w:r>
        <w:rPr>
          <w:rFonts w:hint="eastAsia" w:ascii="仿宋_GB2312" w:hAnsi="黑体" w:eastAsia="仿宋_GB2312"/>
          <w:sz w:val="32"/>
          <w:szCs w:val="32"/>
          <w:lang w:eastAsia="zh-CN"/>
        </w:rPr>
        <w:t>基数</w:t>
      </w:r>
      <w:r>
        <w:rPr>
          <w:rFonts w:hint="eastAsia" w:ascii="仿宋_GB2312" w:hAnsi="黑体" w:eastAsia="仿宋_GB2312"/>
          <w:sz w:val="32"/>
          <w:szCs w:val="32"/>
          <w:lang w:val="en-US" w:eastAsia="zh-CN"/>
        </w:rPr>
        <w:t>调整变化</w:t>
      </w:r>
      <w:r>
        <w:rPr>
          <w:rFonts w:hint="eastAsia" w:ascii="仿宋_GB2312" w:hAnsi="黑体" w:eastAsia="仿宋_GB2312"/>
          <w:sz w:val="32"/>
          <w:szCs w:val="32"/>
          <w:lang w:eastAsia="zh-CN"/>
        </w:rPr>
        <w:t>。</w:t>
      </w:r>
    </w:p>
    <w:p w14:paraId="43210D4C">
      <w:pPr>
        <w:spacing w:line="560" w:lineRule="exact"/>
        <w:ind w:firstLine="640"/>
        <w:rPr>
          <w:rFonts w:ascii="黑体" w:hAnsi="黑体" w:eastAsia="黑体"/>
          <w:sz w:val="32"/>
          <w:szCs w:val="32"/>
          <w:u w:val="none"/>
        </w:rPr>
      </w:pPr>
      <w:r>
        <w:rPr>
          <w:rFonts w:hint="eastAsia" w:ascii="黑体" w:hAnsi="黑体" w:eastAsia="黑体"/>
          <w:sz w:val="32"/>
          <w:szCs w:val="32"/>
          <w:u w:val="none"/>
        </w:rPr>
        <w:t>三、一般公共预算基本支出情况说明</w:t>
      </w:r>
    </w:p>
    <w:p w14:paraId="293710F0">
      <w:pPr>
        <w:spacing w:line="560" w:lineRule="exact"/>
        <w:ind w:firstLine="640" w:firstLineChars="200"/>
        <w:rPr>
          <w:rFonts w:ascii="仿宋_GB2312" w:hAnsi="黑体" w:eastAsia="仿宋_GB2312"/>
          <w:sz w:val="32"/>
          <w:szCs w:val="32"/>
          <w:u w:val="none"/>
        </w:rPr>
      </w:pP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年一般公共预算基本支出为</w:t>
      </w:r>
      <w:r>
        <w:rPr>
          <w:rFonts w:hint="eastAsia" w:ascii="仿宋_GB2312" w:hAnsi="黑体" w:eastAsia="仿宋_GB2312" w:cs="仿宋_GB2312"/>
          <w:sz w:val="32"/>
          <w:szCs w:val="32"/>
          <w:u w:val="none"/>
        </w:rPr>
        <w:t>462.19</w:t>
      </w:r>
      <w:r>
        <w:rPr>
          <w:rFonts w:hint="eastAsia" w:ascii="仿宋_GB2312" w:hAnsi="黑体" w:eastAsia="仿宋_GB2312"/>
          <w:sz w:val="32"/>
          <w:szCs w:val="32"/>
          <w:u w:val="none"/>
        </w:rPr>
        <w:t>万元，其中：</w:t>
      </w:r>
    </w:p>
    <w:p w14:paraId="5D915C26">
      <w:pPr>
        <w:ind w:firstLine="640" w:firstLineChars="200"/>
        <w:rPr>
          <w:rFonts w:hint="eastAsia" w:ascii="仿宋_GB2312" w:hAnsi="黑体" w:eastAsia="仿宋_GB2312"/>
          <w:sz w:val="32"/>
          <w:szCs w:val="32"/>
        </w:rPr>
      </w:pPr>
      <w:r>
        <w:rPr>
          <w:rFonts w:hint="eastAsia" w:ascii="仿宋_GB2312" w:hAnsi="黑体" w:eastAsia="仿宋_GB2312"/>
          <w:sz w:val="32"/>
          <w:szCs w:val="32"/>
          <w:u w:val="none"/>
        </w:rPr>
        <w:t>人员经费</w:t>
      </w:r>
      <w:r>
        <w:rPr>
          <w:rFonts w:hint="eastAsia" w:ascii="仿宋_GB2312" w:hAnsi="黑体" w:eastAsia="仿宋_GB2312" w:cs="仿宋_GB2312"/>
          <w:sz w:val="32"/>
          <w:szCs w:val="32"/>
          <w:u w:val="none"/>
        </w:rPr>
        <w:t>457.58</w:t>
      </w:r>
      <w:r>
        <w:rPr>
          <w:rFonts w:hint="eastAsia" w:ascii="仿宋_GB2312" w:hAnsi="黑体" w:eastAsia="仿宋_GB2312"/>
          <w:sz w:val="32"/>
          <w:szCs w:val="32"/>
          <w:u w:val="none"/>
        </w:rPr>
        <w:t>万元，主要包括：</w:t>
      </w:r>
      <w:r>
        <w:rPr>
          <w:rFonts w:hint="eastAsia" w:ascii="仿宋_GB2312" w:hAnsi="黑体" w:eastAsia="仿宋_GB2312"/>
          <w:sz w:val="32"/>
          <w:szCs w:val="32"/>
        </w:rPr>
        <w:t>基本工资、津贴补贴、绩效工资、机关事业单位基本养老保险缴费、职工基本医疗保险缴费、公务员医疗补助缴费、其他社会保障缴费、住房公积金、其他工资福利支出</w:t>
      </w:r>
      <w:r>
        <w:rPr>
          <w:rFonts w:hint="eastAsia" w:ascii="仿宋_GB2312" w:hAnsi="黑体" w:eastAsia="仿宋_GB2312"/>
          <w:sz w:val="32"/>
          <w:szCs w:val="32"/>
          <w:lang w:eastAsia="zh-CN"/>
        </w:rPr>
        <w:t>、</w:t>
      </w:r>
      <w:r>
        <w:rPr>
          <w:rFonts w:hint="eastAsia" w:ascii="仿宋_GB2312" w:hAnsi="黑体" w:eastAsia="仿宋_GB2312"/>
          <w:sz w:val="32"/>
          <w:szCs w:val="32"/>
        </w:rPr>
        <w:t>邮电费、对个人和家庭的补助、生活补助。</w:t>
      </w:r>
    </w:p>
    <w:p w14:paraId="172C7075">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公用经费</w:t>
      </w:r>
      <w:r>
        <w:rPr>
          <w:rFonts w:hint="eastAsia" w:ascii="仿宋_GB2312" w:hAnsi="黑体" w:eastAsia="仿宋_GB2312" w:cs="仿宋_GB2312"/>
          <w:sz w:val="32"/>
          <w:szCs w:val="32"/>
          <w:u w:val="none"/>
        </w:rPr>
        <w:t>4.61</w:t>
      </w:r>
      <w:r>
        <w:rPr>
          <w:rFonts w:hint="eastAsia" w:ascii="仿宋_GB2312" w:hAnsi="黑体" w:eastAsia="仿宋_GB2312"/>
          <w:sz w:val="32"/>
          <w:szCs w:val="32"/>
          <w:u w:val="none"/>
        </w:rPr>
        <w:t>万元，主要包括：</w:t>
      </w:r>
      <w:r>
        <w:rPr>
          <w:rFonts w:hint="eastAsia" w:ascii="仿宋_GB2312" w:hAnsi="黑体" w:eastAsia="仿宋_GB2312"/>
          <w:sz w:val="32"/>
          <w:szCs w:val="32"/>
        </w:rPr>
        <w:t>工会经费</w:t>
      </w:r>
      <w:r>
        <w:rPr>
          <w:rFonts w:hint="eastAsia" w:ascii="仿宋_GB2312" w:hAnsi="黑体" w:eastAsia="仿宋_GB2312"/>
          <w:sz w:val="32"/>
          <w:szCs w:val="32"/>
          <w:u w:val="none"/>
        </w:rPr>
        <w:t>。</w:t>
      </w:r>
    </w:p>
    <w:p w14:paraId="01C8B363">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四、</w:t>
      </w:r>
      <w:r>
        <w:rPr>
          <w:rFonts w:ascii="黑体" w:hAnsi="黑体" w:eastAsia="黑体" w:cs="Times New Roman"/>
          <w:sz w:val="32"/>
          <w:u w:val="none"/>
          <w:shd w:val="clear" w:color="auto" w:fill="FFFFFF"/>
        </w:rPr>
        <w:t>“三公”经费预算情况</w:t>
      </w:r>
      <w:r>
        <w:rPr>
          <w:rFonts w:hint="eastAsia" w:ascii="黑体" w:hAnsi="黑体" w:eastAsia="黑体" w:cs="Times New Roman"/>
          <w:sz w:val="32"/>
          <w:u w:val="none"/>
          <w:shd w:val="clear" w:color="auto" w:fill="FFFFFF"/>
        </w:rPr>
        <w:t>说明</w:t>
      </w:r>
    </w:p>
    <w:p w14:paraId="1679CB30">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（一）</w:t>
      </w:r>
      <w:r>
        <w:rPr>
          <w:rFonts w:hint="eastAsia" w:ascii="微软雅黑" w:hAnsi="微软雅黑" w:eastAsia="微软雅黑" w:cs="微软雅黑"/>
          <w:b w:val="0"/>
          <w:bCs w:val="0"/>
          <w:sz w:val="32"/>
          <w:szCs w:val="32"/>
          <w:u w:val="none"/>
          <w:lang w:val="en-US" w:eastAsia="zh-CN"/>
        </w:rPr>
        <w:t>儋州市排浦中学</w:t>
      </w:r>
      <w:r>
        <w:rPr>
          <w:rFonts w:hint="eastAsia" w:ascii="方正仿宋_GBK" w:hAnsi="方正仿宋_GBK" w:eastAsia="方正仿宋_GBK" w:cs="方正仿宋_GBK"/>
          <w:sz w:val="32"/>
          <w:szCs w:val="32"/>
          <w:u w:val="none"/>
          <w:lang w:val="en-US" w:eastAsia="zh-CN"/>
        </w:rPr>
        <w:t>2026</w:t>
      </w:r>
      <w:r>
        <w:rPr>
          <w:rFonts w:hint="eastAsia" w:ascii="方正仿宋_GBK" w:hAnsi="方正仿宋_GBK" w:eastAsia="方正仿宋_GBK" w:cs="方正仿宋_GBK"/>
          <w:sz w:val="32"/>
          <w:szCs w:val="32"/>
          <w:u w:val="none"/>
        </w:rPr>
        <w:t>年一般公共预算“三公”经费预算数为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6266BAEE">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w:t>
      </w:r>
      <w:r>
        <w:rPr>
          <w:rFonts w:hint="eastAsia" w:ascii="方正仿宋_GBK" w:hAnsi="方正仿宋_GBK" w:eastAsia="方正仿宋_GBK" w:cs="方正仿宋_GBK"/>
          <w:sz w:val="32"/>
          <w:u w:val="none"/>
          <w:shd w:val="clear" w:color="auto" w:fill="FFFFFF"/>
          <w:lang w:val="en-US" w:eastAsia="zh-CN"/>
        </w:rPr>
        <w:t>2026年</w:t>
      </w:r>
      <w:r>
        <w:rPr>
          <w:rFonts w:hint="eastAsia" w:ascii="方正仿宋_GBK" w:hAnsi="方正仿宋_GBK" w:eastAsia="方正仿宋_GBK" w:cs="方正仿宋_GBK"/>
          <w:sz w:val="32"/>
          <w:u w:val="none"/>
          <w:shd w:val="clear" w:color="auto" w:fill="FFFFFF"/>
        </w:rPr>
        <w:t>拟安排出国（境）团（组）</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次，出国（境）</w:t>
      </w:r>
      <w:r>
        <w:rPr>
          <w:rFonts w:hint="eastAsia" w:ascii="方正仿宋_GBK" w:hAnsi="方正仿宋_GBK" w:eastAsia="方正仿宋_GBK" w:cs="方正仿宋_GBK"/>
          <w:sz w:val="32"/>
          <w:szCs w:val="32"/>
          <w:u w:val="none"/>
          <w:lang w:val="en-US" w:eastAsia="zh-CN"/>
        </w:rPr>
        <w:t>0人。</w:t>
      </w: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r>
        <w:rPr>
          <w:rFonts w:hint="eastAsia" w:ascii="方正仿宋_GBK" w:hAnsi="方正仿宋_GBK" w:eastAsia="方正仿宋_GBK" w:cs="方正仿宋_GBK"/>
          <w:sz w:val="32"/>
          <w:u w:val="none"/>
          <w:shd w:val="clear" w:color="auto" w:fill="FFFFFF"/>
        </w:rPr>
        <w:t>公务用车购置费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，公务用车运行费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lang w:eastAsia="zh-CN"/>
        </w:rPr>
        <w:t>；</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lang w:eastAsia="zh-CN"/>
        </w:rPr>
        <w:t>。</w:t>
      </w:r>
    </w:p>
    <w:p w14:paraId="3B076B44">
      <w:pPr>
        <w:spacing w:line="560" w:lineRule="exact"/>
        <w:ind w:firstLine="63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万元，计划接待</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人</w:t>
      </w:r>
      <w:r>
        <w:rPr>
          <w:rFonts w:hint="eastAsia" w:ascii="方正仿宋_GBK" w:hAnsi="方正仿宋_GBK" w:eastAsia="方正仿宋_GBK" w:cs="方正仿宋_GBK"/>
          <w:sz w:val="32"/>
          <w:u w:val="none"/>
          <w:shd w:val="clear" w:color="auto" w:fill="FFFFFF"/>
        </w:rPr>
        <w:t>。</w:t>
      </w:r>
    </w:p>
    <w:p w14:paraId="5ADD0A2C">
      <w:pPr>
        <w:spacing w:line="560" w:lineRule="exact"/>
        <w:ind w:firstLine="640" w:firstLineChars="200"/>
        <w:rPr>
          <w:rFonts w:hint="eastAsia" w:ascii="方正仿宋_GBK" w:hAnsi="方正仿宋_GBK" w:eastAsia="方正仿宋_GBK" w:cs="方正仿宋_GBK"/>
          <w:sz w:val="32"/>
          <w:szCs w:val="32"/>
          <w:u w:val="none"/>
        </w:rPr>
      </w:pPr>
      <w:r>
        <w:rPr>
          <w:rFonts w:hint="eastAsia" w:ascii="方正仿宋_GBK" w:hAnsi="方正仿宋_GBK" w:eastAsia="方正仿宋_GBK" w:cs="方正仿宋_GBK"/>
          <w:sz w:val="32"/>
          <w:szCs w:val="32"/>
          <w:u w:val="none"/>
        </w:rPr>
        <w:t>（二）</w:t>
      </w:r>
      <w:r>
        <w:rPr>
          <w:rFonts w:hint="eastAsia" w:ascii="微软雅黑" w:hAnsi="微软雅黑" w:eastAsia="微软雅黑" w:cs="微软雅黑"/>
          <w:b w:val="0"/>
          <w:bCs w:val="0"/>
          <w:sz w:val="32"/>
          <w:szCs w:val="32"/>
          <w:u w:val="none"/>
          <w:lang w:val="en-US" w:eastAsia="zh-CN"/>
        </w:rPr>
        <w:t>儋州市排浦中学</w:t>
      </w:r>
      <w:r>
        <w:rPr>
          <w:rFonts w:hint="eastAsia" w:ascii="方正仿宋_GBK" w:hAnsi="方正仿宋_GBK" w:eastAsia="方正仿宋_GBK" w:cs="方正仿宋_GBK"/>
          <w:sz w:val="32"/>
          <w:szCs w:val="32"/>
          <w:u w:val="none"/>
          <w:lang w:eastAsia="zh-CN"/>
        </w:rPr>
        <w:t>2</w:t>
      </w:r>
      <w:r>
        <w:rPr>
          <w:rFonts w:hint="eastAsia" w:ascii="方正仿宋_GBK" w:hAnsi="方正仿宋_GBK" w:eastAsia="方正仿宋_GBK" w:cs="方正仿宋_GBK"/>
          <w:sz w:val="32"/>
          <w:szCs w:val="32"/>
          <w:u w:val="none"/>
          <w:lang w:val="en-US" w:eastAsia="zh-CN"/>
        </w:rPr>
        <w:t>026</w:t>
      </w:r>
      <w:r>
        <w:rPr>
          <w:rFonts w:hint="eastAsia" w:ascii="方正仿宋_GBK" w:hAnsi="方正仿宋_GBK" w:eastAsia="方正仿宋_GBK" w:cs="方正仿宋_GBK"/>
          <w:sz w:val="32"/>
          <w:szCs w:val="32"/>
          <w:u w:val="none"/>
        </w:rPr>
        <w:t>年政府性基金预算“三公”经费预算数为</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万元，其中：</w:t>
      </w:r>
    </w:p>
    <w:p w14:paraId="5810037C">
      <w:pPr>
        <w:spacing w:line="560" w:lineRule="exact"/>
        <w:ind w:firstLine="640" w:firstLineChars="200"/>
        <w:rPr>
          <w:rFonts w:hint="eastAsia" w:ascii="方正仿宋_GBK" w:hAnsi="方正仿宋_GBK" w:eastAsia="方正仿宋_GBK" w:cs="方正仿宋_GBK"/>
          <w:sz w:val="32"/>
          <w:u w:val="none"/>
          <w:shd w:val="clear" w:color="auto" w:fill="FFFFFF"/>
          <w:lang w:eastAsia="zh-CN"/>
        </w:rPr>
      </w:pPr>
      <w:r>
        <w:rPr>
          <w:rFonts w:hint="eastAsia" w:ascii="方正仿宋_GBK" w:hAnsi="方正仿宋_GBK" w:eastAsia="方正仿宋_GBK" w:cs="方正仿宋_GBK"/>
          <w:sz w:val="32"/>
          <w:u w:val="none"/>
          <w:shd w:val="clear" w:color="auto" w:fill="FFFFFF"/>
        </w:rPr>
        <w:t>因公出国（境）经费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w:t>
      </w:r>
    </w:p>
    <w:p w14:paraId="1C1688E0">
      <w:pPr>
        <w:spacing w:line="560" w:lineRule="exact"/>
        <w:ind w:firstLine="640"/>
        <w:rPr>
          <w:rFonts w:hint="eastAsia" w:ascii="方正仿宋_GBK" w:hAnsi="方正仿宋_GBK" w:eastAsia="方正仿宋_GBK" w:cs="方正仿宋_GBK"/>
          <w:sz w:val="32"/>
          <w:u w:val="none"/>
          <w:shd w:val="clear" w:color="auto" w:fill="FFFFFF"/>
        </w:rPr>
      </w:pPr>
      <w:r>
        <w:rPr>
          <w:rFonts w:hint="eastAsia" w:ascii="方正仿宋_GBK" w:hAnsi="方正仿宋_GBK" w:eastAsia="方正仿宋_GBK" w:cs="方正仿宋_GBK"/>
          <w:sz w:val="32"/>
          <w:u w:val="none"/>
          <w:shd w:val="clear" w:color="auto" w:fill="FFFFFF"/>
        </w:rPr>
        <w:t>公务用车购置及运行费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万元</w:t>
      </w:r>
      <w:r>
        <w:rPr>
          <w:rFonts w:hint="eastAsia" w:ascii="方正仿宋_GBK" w:hAnsi="方正仿宋_GBK" w:eastAsia="方正仿宋_GBK" w:cs="方正仿宋_GBK"/>
          <w:sz w:val="32"/>
          <w:u w:val="none"/>
          <w:shd w:val="clear" w:color="auto" w:fill="FFFFFF"/>
        </w:rPr>
        <w:t>；公务车保有量</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辆，计划购置</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szCs w:val="32"/>
          <w:u w:val="none"/>
        </w:rPr>
        <w:t>辆</w:t>
      </w:r>
      <w:r>
        <w:rPr>
          <w:rFonts w:hint="eastAsia" w:ascii="方正仿宋_GBK" w:hAnsi="方正仿宋_GBK" w:eastAsia="方正仿宋_GBK" w:cs="方正仿宋_GBK"/>
          <w:sz w:val="32"/>
          <w:u w:val="none"/>
          <w:shd w:val="clear" w:color="auto" w:fill="FFFFFF"/>
        </w:rPr>
        <w:t>。</w:t>
      </w:r>
    </w:p>
    <w:p w14:paraId="4A357A84">
      <w:pPr>
        <w:spacing w:line="560" w:lineRule="exact"/>
        <w:ind w:firstLine="640"/>
        <w:rPr>
          <w:rFonts w:hint="eastAsia" w:ascii="方正仿宋_GBK" w:hAnsi="方正仿宋_GBK" w:eastAsia="方正仿宋_GBK" w:cs="方正仿宋_GBK"/>
          <w:sz w:val="32"/>
          <w:u w:val="none"/>
          <w:shd w:val="clear" w:color="auto" w:fill="FFFFFF"/>
          <w:lang w:val="en-US" w:eastAsia="zh-CN"/>
        </w:rPr>
      </w:pPr>
      <w:r>
        <w:rPr>
          <w:rFonts w:hint="eastAsia" w:ascii="方正仿宋_GBK" w:hAnsi="方正仿宋_GBK" w:eastAsia="方正仿宋_GBK" w:cs="方正仿宋_GBK"/>
          <w:sz w:val="32"/>
          <w:szCs w:val="32"/>
          <w:u w:val="none"/>
        </w:rPr>
        <w:t>公务接待费</w:t>
      </w:r>
      <w:r>
        <w:rPr>
          <w:rFonts w:hint="eastAsia" w:ascii="方正仿宋_GBK" w:hAnsi="方正仿宋_GBK" w:eastAsia="方正仿宋_GBK" w:cs="方正仿宋_GBK"/>
          <w:sz w:val="32"/>
          <w:szCs w:val="32"/>
          <w:u w:val="none"/>
          <w:lang w:val="en-US" w:eastAsia="zh-CN"/>
        </w:rPr>
        <w:t>0</w:t>
      </w:r>
      <w:r>
        <w:rPr>
          <w:rFonts w:hint="eastAsia" w:ascii="方正仿宋_GBK" w:hAnsi="方正仿宋_GBK" w:eastAsia="方正仿宋_GBK" w:cs="方正仿宋_GBK"/>
          <w:sz w:val="32"/>
          <w:u w:val="none"/>
          <w:shd w:val="clear" w:color="auto" w:fill="FFFFFF"/>
        </w:rPr>
        <w:t>万元</w:t>
      </w:r>
      <w:r>
        <w:rPr>
          <w:rFonts w:hint="eastAsia" w:ascii="方正仿宋_GBK" w:hAnsi="方正仿宋_GBK" w:eastAsia="方正仿宋_GBK" w:cs="方正仿宋_GBK"/>
          <w:sz w:val="32"/>
          <w:u w:val="none"/>
          <w:shd w:val="clear" w:color="auto" w:fill="FFFFFF"/>
          <w:lang w:eastAsia="zh-CN"/>
        </w:rPr>
        <w:t>。</w:t>
      </w:r>
    </w:p>
    <w:p w14:paraId="55752EE4">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rPr>
        <w:t>五、政府性基金预算当年拨款情况说明</w:t>
      </w:r>
    </w:p>
    <w:p w14:paraId="6CAD4D58">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（一）政府性基金预算当年规模变化情况</w:t>
      </w:r>
    </w:p>
    <w:p w14:paraId="1923E429">
      <w:pPr>
        <w:spacing w:line="560" w:lineRule="exact"/>
        <w:ind w:firstLine="640" w:firstLineChars="200"/>
        <w:rPr>
          <w:rFonts w:ascii="仿宋_GB2312" w:hAnsi="黑体" w:eastAsia="仿宋_GB2312"/>
          <w:sz w:val="32"/>
          <w:szCs w:val="32"/>
          <w:u w:val="none"/>
        </w:rPr>
      </w:pP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年政府性基金预算当年拨款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2BAED873">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（二）政府性基金预算当年拨款结构情况</w:t>
      </w:r>
    </w:p>
    <w:p w14:paraId="62449034">
      <w:pPr>
        <w:spacing w:line="560" w:lineRule="exact"/>
        <w:ind w:firstLine="800" w:firstLineChars="250"/>
        <w:rPr>
          <w:rFonts w:ascii="仿宋_GB2312" w:hAnsi="黑体" w:eastAsia="仿宋_GB2312"/>
          <w:sz w:val="32"/>
          <w:szCs w:val="32"/>
          <w:u w:val="none"/>
        </w:rPr>
      </w:pPr>
      <w:r>
        <w:rPr>
          <w:rFonts w:hint="eastAsia" w:ascii="仿宋_GB2312" w:hAnsi="黑体" w:eastAsia="仿宋_GB2312" w:cs="仿宋_GB2312"/>
          <w:sz w:val="32"/>
          <w:szCs w:val="32"/>
          <w:u w:val="none"/>
        </w:rPr>
        <w:t>科学技术支出（类）支出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%；文化体育与传媒支出（类）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%；社会保障和就业支出（类）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%；节能环保（类）</w:t>
      </w:r>
      <w:r>
        <w:rPr>
          <w:rFonts w:hint="eastAsia" w:ascii="仿宋_GB2312" w:hAnsi="黑体" w:eastAsia="仿宋_GB2312" w:cs="仿宋_GB2312"/>
          <w:sz w:val="32"/>
          <w:szCs w:val="32"/>
          <w:u w:val="none"/>
        </w:rPr>
        <w:t>支出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w:t>
      </w:r>
    </w:p>
    <w:p w14:paraId="41EF945F">
      <w:pPr>
        <w:spacing w:line="560" w:lineRule="exact"/>
        <w:ind w:firstLine="640"/>
        <w:jc w:val="left"/>
        <w:rPr>
          <w:rFonts w:ascii="楷体" w:hAnsi="楷体" w:eastAsia="楷体"/>
          <w:sz w:val="32"/>
          <w:szCs w:val="32"/>
          <w:u w:val="none"/>
        </w:rPr>
      </w:pPr>
      <w:r>
        <w:rPr>
          <w:rFonts w:hint="eastAsia" w:ascii="楷体" w:hAnsi="楷体" w:eastAsia="楷体"/>
          <w:sz w:val="32"/>
          <w:szCs w:val="32"/>
          <w:u w:val="none"/>
        </w:rPr>
        <w:t>（三）政府性基金预算当年拨款具体使用情况</w:t>
      </w:r>
    </w:p>
    <w:p w14:paraId="6A2F7683">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rPr>
        <w:t>1. 科学技术支出（类）核电站乏燃料处理处置基金支出（款）乏燃料运输（项）</w:t>
      </w:r>
      <w:r>
        <w:rPr>
          <w:rFonts w:hint="eastAsia" w:ascii="仿宋_GB2312" w:hAnsi="黑体" w:eastAsia="仿宋_GB2312" w:cs="仿宋_GB2312"/>
          <w:sz w:val="32"/>
          <w:szCs w:val="32"/>
          <w:u w:val="none"/>
          <w:lang w:val="en-US" w:eastAsia="zh-CN"/>
        </w:rPr>
        <w:t>2016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419723CF">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sz w:val="32"/>
          <w:szCs w:val="32"/>
          <w:u w:val="none"/>
        </w:rPr>
        <w:t>2.</w:t>
      </w:r>
      <w:r>
        <w:rPr>
          <w:rFonts w:hint="eastAsia" w:ascii="仿宋_GB2312" w:hAnsi="黑体" w:eastAsia="仿宋_GB2312" w:cs="仿宋_GB2312"/>
          <w:sz w:val="32"/>
          <w:szCs w:val="32"/>
          <w:u w:val="none"/>
        </w:rPr>
        <w:t xml:space="preserve"> 科学技术支出（类）核电站乏燃料处理处置基金支出（款）乏燃料离堆贮存（项）</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年预算数为</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75F77986">
      <w:pPr>
        <w:numPr>
          <w:ilvl w:val="0"/>
          <w:numId w:val="4"/>
        </w:numPr>
        <w:spacing w:line="560" w:lineRule="exact"/>
        <w:ind w:firstLine="640" w:firstLineChars="200"/>
        <w:rPr>
          <w:rFonts w:hint="eastAsia" w:ascii="黑体" w:hAnsi="黑体" w:eastAsia="黑体" w:cs="Times New Roman"/>
          <w:sz w:val="32"/>
          <w:u w:val="none"/>
          <w:shd w:val="clear" w:color="auto" w:fill="FFFFFF"/>
          <w:lang w:eastAsia="zh-CN"/>
        </w:rPr>
      </w:pPr>
      <w:r>
        <w:rPr>
          <w:rFonts w:hint="eastAsia" w:ascii="黑体" w:hAnsi="黑体" w:eastAsia="黑体" w:cs="Times New Roman"/>
          <w:sz w:val="32"/>
          <w:u w:val="none"/>
          <w:shd w:val="clear" w:color="auto" w:fill="FFFFFF"/>
          <w:lang w:eastAsia="zh-CN"/>
        </w:rPr>
        <w:t>国有资本经营预算当年拨款情况说明</w:t>
      </w:r>
    </w:p>
    <w:p w14:paraId="09B8BFB6">
      <w:pPr>
        <w:spacing w:line="560" w:lineRule="exact"/>
        <w:ind w:firstLine="640" w:firstLineChars="200"/>
        <w:rPr>
          <w:rFonts w:hint="eastAsia" w:ascii="仿宋_GB2312" w:hAnsi="黑体" w:eastAsia="仿宋_GB2312"/>
          <w:sz w:val="32"/>
          <w:szCs w:val="32"/>
          <w:u w:val="none"/>
          <w:lang w:val="en-US" w:eastAsia="zh-CN"/>
        </w:rPr>
      </w:pP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_GB2312" w:hAnsi="黑体" w:eastAsia="仿宋_GB2312"/>
          <w:sz w:val="32"/>
          <w:szCs w:val="32"/>
          <w:u w:val="none"/>
          <w:lang w:eastAsia="zh-CN"/>
        </w:rPr>
        <w:t>国有资本经营</w:t>
      </w:r>
      <w:r>
        <w:rPr>
          <w:rFonts w:hint="eastAsia" w:ascii="仿宋_GB2312" w:hAnsi="黑体" w:eastAsia="仿宋_GB2312"/>
          <w:sz w:val="32"/>
          <w:szCs w:val="32"/>
          <w:u w:val="none"/>
        </w:rPr>
        <w:t>预算当年拨款</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r>
        <w:rPr>
          <w:rFonts w:hint="eastAsia" w:ascii="仿宋_GB2312" w:hAnsi="黑体" w:eastAsia="仿宋_GB2312"/>
          <w:sz w:val="32"/>
          <w:szCs w:val="32"/>
          <w:u w:val="none"/>
          <w:lang w:eastAsia="zh-CN"/>
        </w:rPr>
        <w:t>。</w:t>
      </w:r>
    </w:p>
    <w:p w14:paraId="4431CF85">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七、</w:t>
      </w:r>
      <w:r>
        <w:rPr>
          <w:rFonts w:hint="eastAsia" w:ascii="黑体" w:hAnsi="黑体" w:eastAsia="黑体" w:cs="Times New Roman"/>
          <w:sz w:val="32"/>
          <w:u w:val="none"/>
          <w:shd w:val="clear" w:color="auto" w:fill="FFFFFF"/>
        </w:rPr>
        <w:t>收支预算总体情况说明</w:t>
      </w:r>
    </w:p>
    <w:p w14:paraId="79598D4F">
      <w:pPr>
        <w:spacing w:line="560" w:lineRule="exact"/>
        <w:ind w:firstLine="640" w:firstLineChars="200"/>
        <w:rPr>
          <w:rFonts w:hint="eastAsia" w:ascii="仿宋_GB2312" w:hAnsi="黑体" w:eastAsia="仿宋_GB2312"/>
          <w:sz w:val="32"/>
          <w:szCs w:val="32"/>
          <w:u w:val="none"/>
        </w:rPr>
      </w:pPr>
      <w:r>
        <w:rPr>
          <w:rFonts w:hint="eastAsia" w:ascii="仿宋_GB2312" w:hAnsi="黑体" w:eastAsia="仿宋_GB2312" w:cs="仿宋_GB2312"/>
          <w:sz w:val="32"/>
          <w:szCs w:val="32"/>
          <w:u w:val="none"/>
        </w:rPr>
        <w:t>按照综合预算原则，</w:t>
      </w: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rPr>
        <w:t>所有收入和支出均纳入部门预算管理。</w:t>
      </w: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rPr>
        <w:t>）</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年收支总预算</w:t>
      </w:r>
      <w:r>
        <w:rPr>
          <w:rFonts w:hint="eastAsia" w:ascii="仿宋_GB2312" w:hAnsi="黑体" w:eastAsia="仿宋_GB2312" w:cs="仿宋_GB2312"/>
          <w:sz w:val="32"/>
          <w:szCs w:val="32"/>
          <w:u w:val="none"/>
          <w:lang w:val="en-US" w:eastAsia="zh-CN"/>
        </w:rPr>
        <w:t>481.64</w:t>
      </w:r>
      <w:r>
        <w:rPr>
          <w:rFonts w:hint="eastAsia" w:ascii="仿宋_GB2312" w:hAnsi="黑体" w:eastAsia="仿宋_GB2312"/>
          <w:sz w:val="32"/>
          <w:szCs w:val="32"/>
          <w:u w:val="none"/>
        </w:rPr>
        <w:t>万元</w:t>
      </w:r>
      <w:r>
        <w:rPr>
          <w:rFonts w:hint="eastAsia" w:ascii="仿宋_GB2312" w:hAnsi="黑体" w:eastAsia="仿宋_GB2312"/>
          <w:sz w:val="32"/>
          <w:szCs w:val="32"/>
          <w:highlight w:val="none"/>
          <w:u w:val="none"/>
        </w:rPr>
        <w:t>。</w:t>
      </w:r>
      <w:r>
        <w:rPr>
          <w:rFonts w:hint="eastAsia" w:ascii="仿宋_GB2312" w:hAnsi="黑体" w:eastAsia="仿宋_GB2312" w:cs="仿宋_GB2312"/>
          <w:sz w:val="32"/>
          <w:szCs w:val="32"/>
          <w:highlight w:val="none"/>
          <w:u w:val="none"/>
        </w:rPr>
        <w:t>收入包括：一般公共预算收入、</w:t>
      </w:r>
      <w:r>
        <w:rPr>
          <w:rFonts w:hint="eastAsia" w:ascii="仿宋_GB2312" w:hAnsi="黑体" w:eastAsia="仿宋_GB2312" w:cs="仿宋_GB2312"/>
          <w:sz w:val="32"/>
          <w:szCs w:val="32"/>
          <w:lang w:eastAsia="zh-CN"/>
        </w:rPr>
        <w:t>上年结转</w:t>
      </w:r>
      <w:r>
        <w:rPr>
          <w:rFonts w:hint="eastAsia" w:ascii="仿宋_GB2312" w:hAnsi="黑体" w:eastAsia="仿宋_GB2312"/>
          <w:sz w:val="32"/>
          <w:szCs w:val="32"/>
          <w:highlight w:val="none"/>
          <w:u w:val="none"/>
        </w:rPr>
        <w:t>；支出包括：</w:t>
      </w:r>
      <w:r>
        <w:rPr>
          <w:rFonts w:hint="eastAsia" w:ascii="仿宋_GB2312" w:hAnsi="黑体" w:eastAsia="仿宋_GB2312"/>
          <w:sz w:val="32"/>
          <w:szCs w:val="32"/>
          <w:lang w:eastAsia="zh-CN"/>
        </w:rPr>
        <w:t>教育支出、</w:t>
      </w:r>
      <w:r>
        <w:rPr>
          <w:rFonts w:hint="eastAsia" w:ascii="仿宋_GB2312" w:hAnsi="黑体" w:eastAsia="仿宋_GB2312"/>
          <w:sz w:val="32"/>
          <w:szCs w:val="32"/>
        </w:rPr>
        <w:t>社会保障和就业支出、卫生健康支出、住房保障支出</w:t>
      </w:r>
      <w:r>
        <w:rPr>
          <w:rFonts w:hint="eastAsia" w:ascii="仿宋_GB2312" w:hAnsi="黑体" w:eastAsia="仿宋_GB2312"/>
          <w:sz w:val="32"/>
          <w:szCs w:val="32"/>
          <w:u w:val="none"/>
        </w:rPr>
        <w:t>。</w:t>
      </w:r>
    </w:p>
    <w:p w14:paraId="7FD8BADF">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八</w:t>
      </w:r>
      <w:r>
        <w:rPr>
          <w:rFonts w:hint="eastAsia" w:ascii="黑体" w:hAnsi="黑体" w:eastAsia="黑体" w:cs="Times New Roman"/>
          <w:sz w:val="32"/>
          <w:u w:val="none"/>
          <w:shd w:val="clear" w:color="auto" w:fill="FFFFFF"/>
        </w:rPr>
        <w:t>、收入预算情况说明</w:t>
      </w:r>
    </w:p>
    <w:p w14:paraId="6071F47B">
      <w:pPr>
        <w:spacing w:line="560" w:lineRule="exact"/>
        <w:ind w:firstLine="640" w:firstLineChars="200"/>
        <w:rPr>
          <w:rFonts w:ascii="仿宋_GB2312" w:hAnsi="黑体" w:eastAsia="仿宋_GB2312"/>
          <w:sz w:val="32"/>
          <w:szCs w:val="32"/>
          <w:u w:val="none"/>
        </w:rPr>
      </w:pP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年收入预算</w:t>
      </w:r>
      <w:r>
        <w:rPr>
          <w:rFonts w:hint="eastAsia" w:ascii="仿宋_GB2312" w:hAnsi="黑体" w:eastAsia="仿宋_GB2312"/>
          <w:sz w:val="32"/>
          <w:szCs w:val="32"/>
          <w:u w:val="none"/>
          <w:lang w:val="en-US" w:eastAsia="zh-CN"/>
        </w:rPr>
        <w:t>481.64</w:t>
      </w:r>
      <w:r>
        <w:rPr>
          <w:rFonts w:hint="eastAsia" w:ascii="仿宋_GB2312" w:hAnsi="黑体" w:eastAsia="仿宋_GB2312"/>
          <w:sz w:val="32"/>
          <w:szCs w:val="32"/>
          <w:u w:val="none"/>
        </w:rPr>
        <w:t>万元，其中：上年结转</w:t>
      </w:r>
      <w:r>
        <w:rPr>
          <w:rFonts w:hint="eastAsia" w:ascii="仿宋_GB2312" w:hAnsi="黑体" w:eastAsia="仿宋_GB2312" w:cs="仿宋_GB2312"/>
          <w:sz w:val="32"/>
          <w:szCs w:val="32"/>
          <w:u w:val="none"/>
          <w:lang w:val="en-US" w:eastAsia="zh-CN"/>
        </w:rPr>
        <w:t>2.09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0.43</w:t>
      </w:r>
      <w:r>
        <w:rPr>
          <w:rFonts w:hint="eastAsia" w:ascii="仿宋_GB2312" w:hAnsi="黑体" w:eastAsia="仿宋_GB2312"/>
          <w:sz w:val="32"/>
          <w:szCs w:val="32"/>
          <w:u w:val="none"/>
        </w:rPr>
        <w:t>%；</w:t>
      </w:r>
      <w:r>
        <w:rPr>
          <w:rFonts w:hint="eastAsia" w:ascii="仿宋_GB2312" w:hAnsi="黑体" w:eastAsia="仿宋_GB2312"/>
          <w:sz w:val="32"/>
          <w:szCs w:val="32"/>
          <w:u w:val="none"/>
          <w:lang w:eastAsia="zh-CN"/>
        </w:rPr>
        <w:t>一般公共预算</w:t>
      </w:r>
      <w:r>
        <w:rPr>
          <w:rFonts w:hint="eastAsia" w:ascii="仿宋_GB2312" w:hAnsi="黑体" w:eastAsia="仿宋_GB2312"/>
          <w:sz w:val="32"/>
          <w:szCs w:val="32"/>
          <w:u w:val="none"/>
        </w:rPr>
        <w:t>拨款收入</w:t>
      </w:r>
      <w:r>
        <w:rPr>
          <w:rFonts w:hint="eastAsia" w:ascii="仿宋_GB2312" w:hAnsi="黑体" w:eastAsia="仿宋_GB2312" w:cs="仿宋_GB2312"/>
          <w:sz w:val="32"/>
          <w:szCs w:val="32"/>
          <w:u w:val="none"/>
          <w:lang w:val="en-US" w:eastAsia="zh-CN"/>
        </w:rPr>
        <w:t>479.55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99.57</w:t>
      </w:r>
      <w:r>
        <w:rPr>
          <w:rFonts w:hint="eastAsia" w:ascii="仿宋_GB2312" w:hAnsi="黑体" w:eastAsia="仿宋_GB2312"/>
          <w:sz w:val="32"/>
          <w:szCs w:val="32"/>
          <w:u w:val="none"/>
        </w:rPr>
        <w:t>%；政府性基金</w:t>
      </w:r>
      <w:r>
        <w:rPr>
          <w:rFonts w:hint="eastAsia" w:ascii="仿宋_GB2312" w:hAnsi="黑体" w:eastAsia="仿宋_GB2312"/>
          <w:sz w:val="32"/>
          <w:szCs w:val="32"/>
          <w:u w:val="none"/>
          <w:lang w:eastAsia="zh-CN"/>
        </w:rPr>
        <w:t>预算拨款</w:t>
      </w:r>
      <w:r>
        <w:rPr>
          <w:rFonts w:hint="eastAsia" w:ascii="仿宋_GB2312" w:hAnsi="黑体" w:eastAsia="仿宋_GB2312"/>
          <w:sz w:val="32"/>
          <w:szCs w:val="32"/>
          <w:u w:val="none"/>
        </w:rPr>
        <w:t>收入</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国有资本经营预算拨款收入</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万元，占</w:t>
      </w:r>
      <w:r>
        <w:rPr>
          <w:rFonts w:hint="eastAsia" w:ascii="仿宋_GB2312" w:hAnsi="黑体" w:eastAsia="仿宋_GB2312" w:cs="仿宋_GB2312"/>
          <w:sz w:val="32"/>
          <w:szCs w:val="32"/>
          <w:highlight w:val="none"/>
          <w:u w:val="none"/>
          <w:lang w:val="en-US" w:eastAsia="zh-CN"/>
        </w:rPr>
        <w:t>0</w:t>
      </w:r>
      <w:r>
        <w:rPr>
          <w:rFonts w:hint="eastAsia" w:ascii="仿宋_GB2312" w:hAnsi="黑体" w:eastAsia="仿宋_GB2312"/>
          <w:sz w:val="32"/>
          <w:szCs w:val="32"/>
          <w:highlight w:val="none"/>
          <w:u w:val="none"/>
        </w:rPr>
        <w:t>%；</w:t>
      </w:r>
      <w:r>
        <w:rPr>
          <w:rFonts w:hint="eastAsia" w:ascii="仿宋_GB2312" w:hAnsi="黑体" w:eastAsia="仿宋_GB2312"/>
          <w:sz w:val="32"/>
          <w:szCs w:val="32"/>
          <w:highlight w:val="none"/>
          <w:u w:val="none"/>
          <w:lang w:eastAsia="zh-CN"/>
        </w:rPr>
        <w:t>……</w:t>
      </w:r>
      <w:r>
        <w:rPr>
          <w:rFonts w:hint="eastAsia" w:ascii="仿宋_GB2312" w:hAnsi="黑体" w:eastAsia="仿宋_GB2312"/>
          <w:sz w:val="32"/>
          <w:szCs w:val="32"/>
          <w:highlight w:val="none"/>
          <w:u w:val="none"/>
        </w:rPr>
        <w:t>。</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9.49</w:t>
      </w:r>
      <w:r>
        <w:rPr>
          <w:rFonts w:hint="eastAsia" w:ascii="仿宋_GB2312" w:hAnsi="黑体" w:eastAsia="仿宋_GB2312"/>
          <w:sz w:val="32"/>
          <w:szCs w:val="32"/>
          <w:u w:val="none"/>
        </w:rPr>
        <w:t>万元，</w:t>
      </w:r>
      <w:r>
        <w:rPr>
          <w:rFonts w:hint="eastAsia" w:ascii="仿宋_GB2312" w:hAnsi="黑体" w:eastAsia="仿宋_GB2312"/>
          <w:sz w:val="32"/>
          <w:szCs w:val="32"/>
        </w:rPr>
        <w:t>主要是</w:t>
      </w:r>
      <w:r>
        <w:rPr>
          <w:rFonts w:hint="eastAsia" w:ascii="仿宋_GB2312" w:hAnsi="黑体" w:eastAsia="仿宋_GB2312"/>
          <w:color w:val="000000" w:themeColor="text1"/>
          <w:sz w:val="32"/>
          <w:szCs w:val="32"/>
          <w14:textFill>
            <w14:solidFill>
              <w14:schemeClr w14:val="tx1"/>
            </w14:solidFill>
          </w14:textFill>
        </w:rPr>
        <w:t>人员工资</w:t>
      </w:r>
      <w:r>
        <w:rPr>
          <w:rFonts w:hint="eastAsia" w:ascii="仿宋_GB2312" w:hAnsi="黑体" w:eastAsia="仿宋_GB2312"/>
          <w:color w:val="000000" w:themeColor="text1"/>
          <w:sz w:val="32"/>
          <w:szCs w:val="32"/>
          <w:lang w:eastAsia="zh-CN"/>
          <w14:textFill>
            <w14:solidFill>
              <w14:schemeClr w14:val="tx1"/>
            </w14:solidFill>
          </w14:textFill>
        </w:rPr>
        <w:t>及社保基数</w:t>
      </w:r>
      <w:r>
        <w:rPr>
          <w:rFonts w:hint="eastAsia" w:ascii="仿宋_GB2312" w:hAnsi="黑体" w:eastAsia="仿宋_GB2312"/>
          <w:color w:val="000000" w:themeColor="text1"/>
          <w:sz w:val="32"/>
          <w:szCs w:val="32"/>
          <w14:textFill>
            <w14:solidFill>
              <w14:schemeClr w14:val="tx1"/>
            </w14:solidFill>
          </w14:textFill>
        </w:rPr>
        <w:t>调整变化</w:t>
      </w:r>
      <w:r>
        <w:rPr>
          <w:rFonts w:hint="eastAsia" w:ascii="仿宋_GB2312" w:hAnsi="黑体" w:eastAsia="仿宋_GB2312"/>
          <w:sz w:val="32"/>
          <w:szCs w:val="32"/>
          <w:u w:val="none"/>
        </w:rPr>
        <w:t>。</w:t>
      </w:r>
    </w:p>
    <w:p w14:paraId="76606140">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九</w:t>
      </w:r>
      <w:r>
        <w:rPr>
          <w:rFonts w:hint="eastAsia" w:ascii="黑体" w:hAnsi="黑体" w:eastAsia="黑体" w:cs="Times New Roman"/>
          <w:sz w:val="32"/>
          <w:u w:val="none"/>
          <w:shd w:val="clear" w:color="auto" w:fill="FFFFFF"/>
        </w:rPr>
        <w:t>、支出预算情况说明</w:t>
      </w:r>
    </w:p>
    <w:p w14:paraId="0347585B">
      <w:pPr>
        <w:keepNext w:val="0"/>
        <w:keepLines w:val="0"/>
        <w:widowControl w:val="0"/>
        <w:suppressLineNumbers w:val="0"/>
        <w:spacing w:before="0" w:beforeAutospacing="0" w:after="0" w:afterAutospacing="0"/>
        <w:ind w:left="0" w:right="0"/>
        <w:jc w:val="both"/>
      </w:pP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年支出预算</w:t>
      </w:r>
      <w:r>
        <w:rPr>
          <w:rFonts w:hint="eastAsia" w:ascii="仿宋_GB2312" w:hAnsi="黑体" w:eastAsia="仿宋_GB2312" w:cs="仿宋_GB2312"/>
          <w:sz w:val="32"/>
          <w:szCs w:val="32"/>
          <w:u w:val="none"/>
          <w:lang w:val="en-US" w:eastAsia="zh-CN"/>
        </w:rPr>
        <w:t>481.64</w:t>
      </w:r>
      <w:r>
        <w:rPr>
          <w:rFonts w:hint="eastAsia" w:ascii="仿宋_GB2312" w:hAnsi="黑体" w:eastAsia="仿宋_GB2312"/>
          <w:sz w:val="32"/>
          <w:szCs w:val="32"/>
          <w:u w:val="none"/>
        </w:rPr>
        <w:t>万元，其中：基本支出</w:t>
      </w:r>
      <w:r>
        <w:rPr>
          <w:rFonts w:hint="eastAsia" w:ascii="仿宋_GB2312" w:hAnsi="黑体" w:eastAsia="仿宋_GB2312" w:cs="仿宋_GB2312"/>
          <w:sz w:val="32"/>
          <w:szCs w:val="32"/>
          <w:u w:val="none"/>
        </w:rPr>
        <w:t>462.19</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95.96</w:t>
      </w:r>
      <w:r>
        <w:rPr>
          <w:rFonts w:hint="eastAsia" w:ascii="仿宋_GB2312" w:hAnsi="黑体" w:eastAsia="仿宋_GB2312"/>
          <w:sz w:val="32"/>
          <w:szCs w:val="32"/>
          <w:u w:val="none"/>
        </w:rPr>
        <w:t>%；项目支出</w:t>
      </w:r>
      <w:r>
        <w:rPr>
          <w:rFonts w:hint="eastAsia" w:ascii="仿宋_GB2312" w:hAnsi="黑体" w:eastAsia="仿宋_GB2312" w:cs="仿宋_GB2312"/>
          <w:sz w:val="32"/>
          <w:szCs w:val="32"/>
          <w:u w:val="none"/>
        </w:rPr>
        <w:t>19.45</w:t>
      </w:r>
      <w:r>
        <w:rPr>
          <w:rFonts w:hint="eastAsia" w:ascii="仿宋_GB2312" w:hAnsi="黑体" w:eastAsia="仿宋_GB2312"/>
          <w:sz w:val="32"/>
          <w:szCs w:val="32"/>
          <w:u w:val="none"/>
        </w:rPr>
        <w:t>万元，占</w:t>
      </w:r>
      <w:r>
        <w:rPr>
          <w:rFonts w:hint="eastAsia" w:ascii="仿宋_GB2312" w:hAnsi="黑体" w:eastAsia="仿宋_GB2312" w:cs="仿宋_GB2312"/>
          <w:sz w:val="32"/>
          <w:szCs w:val="32"/>
          <w:u w:val="none"/>
          <w:lang w:val="en-US" w:eastAsia="zh-CN"/>
        </w:rPr>
        <w:t>4.03</w:t>
      </w:r>
      <w:r>
        <w:rPr>
          <w:rFonts w:hint="eastAsia" w:ascii="仿宋_GB2312" w:hAnsi="黑体" w:eastAsia="仿宋_GB2312"/>
          <w:sz w:val="32"/>
          <w:szCs w:val="32"/>
          <w:u w:val="none"/>
        </w:rPr>
        <w:t>%。比上年预算数</w:t>
      </w:r>
      <w:r>
        <w:rPr>
          <w:rFonts w:hint="eastAsia" w:ascii="仿宋_GB2312" w:hAnsi="黑体" w:eastAsia="仿宋_GB2312" w:cs="仿宋_GB2312"/>
          <w:sz w:val="32"/>
          <w:szCs w:val="32"/>
          <w:u w:val="none"/>
        </w:rPr>
        <w:t>增加</w:t>
      </w:r>
      <w:r>
        <w:rPr>
          <w:rFonts w:hint="eastAsia" w:ascii="仿宋_GB2312" w:hAnsi="黑体" w:eastAsia="仿宋_GB2312" w:cs="仿宋_GB2312"/>
          <w:sz w:val="32"/>
          <w:szCs w:val="32"/>
          <w:u w:val="none"/>
          <w:lang w:val="en-US" w:eastAsia="zh-CN"/>
        </w:rPr>
        <w:t>9.49</w:t>
      </w:r>
      <w:r>
        <w:rPr>
          <w:rFonts w:hint="eastAsia" w:ascii="仿宋_GB2312" w:hAnsi="黑体" w:eastAsia="仿宋_GB2312"/>
          <w:sz w:val="32"/>
          <w:szCs w:val="32"/>
          <w:u w:val="none"/>
        </w:rPr>
        <w:t>万元，主要是</w:t>
      </w:r>
      <w:r>
        <w:rPr>
          <w:rFonts w:hint="eastAsia" w:ascii="仿宋_GB2312" w:hAnsi="黑体" w:eastAsia="仿宋_GB2312"/>
          <w:color w:val="000000" w:themeColor="text1"/>
          <w:sz w:val="32"/>
          <w:szCs w:val="32"/>
          <w14:textFill>
            <w14:solidFill>
              <w14:schemeClr w14:val="tx1"/>
            </w14:solidFill>
          </w14:textFill>
        </w:rPr>
        <w:t>人员工资</w:t>
      </w:r>
      <w:r>
        <w:rPr>
          <w:rFonts w:hint="eastAsia" w:ascii="仿宋_GB2312" w:hAnsi="黑体" w:eastAsia="仿宋_GB2312"/>
          <w:color w:val="000000" w:themeColor="text1"/>
          <w:sz w:val="32"/>
          <w:szCs w:val="32"/>
          <w:lang w:eastAsia="zh-CN"/>
          <w14:textFill>
            <w14:solidFill>
              <w14:schemeClr w14:val="tx1"/>
            </w14:solidFill>
          </w14:textFill>
        </w:rPr>
        <w:t>及社保基数</w:t>
      </w:r>
      <w:r>
        <w:rPr>
          <w:rFonts w:hint="eastAsia" w:ascii="仿宋_GB2312" w:hAnsi="黑体" w:eastAsia="仿宋_GB2312"/>
          <w:color w:val="000000" w:themeColor="text1"/>
          <w:sz w:val="32"/>
          <w:szCs w:val="32"/>
          <w14:textFill>
            <w14:solidFill>
              <w14:schemeClr w14:val="tx1"/>
            </w14:solidFill>
          </w14:textFill>
        </w:rPr>
        <w:t>调整变化</w:t>
      </w:r>
      <w:r>
        <w:rPr>
          <w:rFonts w:hint="eastAsia" w:ascii="仿宋_GB2312" w:hAnsi="宋体" w:eastAsia="仿宋_GB2312" w:cs="仿宋_GB2312"/>
          <w:kern w:val="2"/>
          <w:sz w:val="32"/>
          <w:szCs w:val="32"/>
          <w:lang w:val="en-US" w:eastAsia="zh-CN" w:bidi="ar"/>
        </w:rPr>
        <w:t>。</w:t>
      </w:r>
    </w:p>
    <w:p w14:paraId="6E497096">
      <w:pPr>
        <w:spacing w:line="560" w:lineRule="exact"/>
        <w:ind w:firstLine="640" w:firstLineChars="200"/>
        <w:rPr>
          <w:rFonts w:ascii="黑体" w:hAnsi="黑体" w:eastAsia="黑体" w:cs="Times New Roman"/>
          <w:sz w:val="32"/>
          <w:u w:val="none"/>
          <w:shd w:val="clear" w:color="auto" w:fill="FFFFFF"/>
        </w:rPr>
      </w:pPr>
      <w:r>
        <w:rPr>
          <w:rFonts w:hint="eastAsia" w:ascii="黑体" w:hAnsi="黑体" w:eastAsia="黑体" w:cs="Times New Roman"/>
          <w:sz w:val="32"/>
          <w:u w:val="none"/>
          <w:shd w:val="clear" w:color="auto" w:fill="FFFFFF"/>
          <w:lang w:eastAsia="zh-CN"/>
        </w:rPr>
        <w:t>十</w:t>
      </w:r>
      <w:r>
        <w:rPr>
          <w:rFonts w:hint="eastAsia" w:ascii="黑体" w:hAnsi="黑体" w:eastAsia="黑体" w:cs="Times New Roman"/>
          <w:sz w:val="32"/>
          <w:u w:val="none"/>
          <w:shd w:val="clear" w:color="auto" w:fill="FFFFFF"/>
        </w:rPr>
        <w:t>、其他重要事项的情况说明</w:t>
      </w:r>
    </w:p>
    <w:p w14:paraId="11C113F0">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（一）机关运行经费</w:t>
      </w:r>
      <w:r>
        <w:rPr>
          <w:rFonts w:hint="eastAsia" w:ascii="楷体" w:hAnsi="楷体" w:eastAsia="楷体"/>
          <w:sz w:val="32"/>
          <w:szCs w:val="32"/>
          <w:u w:val="none"/>
          <w:lang w:val="en-US" w:eastAsia="zh-CN"/>
        </w:rPr>
        <w:t>（</w:t>
      </w:r>
      <w:r>
        <w:rPr>
          <w:rFonts w:hint="eastAsia" w:ascii="楷体" w:hAnsi="楷体" w:eastAsia="楷体"/>
          <w:sz w:val="32"/>
          <w:szCs w:val="32"/>
          <w:u w:val="none"/>
        </w:rPr>
        <w:t>行政单位</w:t>
      </w:r>
      <w:r>
        <w:rPr>
          <w:rFonts w:hint="eastAsia" w:ascii="楷体" w:hAnsi="楷体" w:eastAsia="楷体"/>
          <w:sz w:val="32"/>
          <w:szCs w:val="32"/>
          <w:u w:val="none"/>
          <w:lang w:eastAsia="zh-CN"/>
        </w:rPr>
        <w:t>、</w:t>
      </w:r>
      <w:r>
        <w:rPr>
          <w:rFonts w:hint="eastAsia" w:ascii="楷体" w:hAnsi="楷体" w:eastAsia="楷体"/>
          <w:sz w:val="32"/>
          <w:szCs w:val="32"/>
          <w:u w:val="none"/>
        </w:rPr>
        <w:t>参照公务员法管理的事业单位</w:t>
      </w:r>
      <w:r>
        <w:rPr>
          <w:rFonts w:hint="eastAsia" w:ascii="楷体" w:hAnsi="楷体" w:eastAsia="楷体"/>
          <w:sz w:val="32"/>
          <w:szCs w:val="32"/>
          <w:u w:val="none"/>
          <w:lang w:eastAsia="zh-CN"/>
        </w:rPr>
        <w:t>需说明，其他单位不需要说明</w:t>
      </w:r>
      <w:r>
        <w:rPr>
          <w:rFonts w:hint="eastAsia" w:ascii="楷体" w:hAnsi="楷体" w:eastAsia="楷体"/>
          <w:sz w:val="32"/>
          <w:szCs w:val="32"/>
          <w:u w:val="none"/>
          <w:lang w:val="en-US" w:eastAsia="zh-CN"/>
        </w:rPr>
        <w:t>）</w:t>
      </w:r>
    </w:p>
    <w:p w14:paraId="3E49CC07">
      <w:pPr>
        <w:spacing w:line="560" w:lineRule="exact"/>
        <w:ind w:firstLine="640" w:firstLineChars="20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rPr>
        <w:t>的机关运行经费预算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48CC9BED">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（二）政府采购情况</w:t>
      </w:r>
    </w:p>
    <w:p w14:paraId="2A80DE52">
      <w:pPr>
        <w:spacing w:line="560" w:lineRule="exact"/>
        <w:ind w:firstLine="640"/>
        <w:rPr>
          <w:rFonts w:ascii="仿宋_GB2312" w:hAnsi="黑体" w:eastAsia="仿宋_GB2312"/>
          <w:sz w:val="32"/>
          <w:szCs w:val="32"/>
          <w:u w:val="none"/>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rPr>
        <w:t>政府采购预算总额</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万元，其中：政府采购货物预算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万元，政府采购工程预算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万元，政府采购服务预算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0AA11D99">
      <w:pPr>
        <w:spacing w:line="560" w:lineRule="exact"/>
        <w:ind w:firstLine="640" w:firstLineChars="200"/>
        <w:rPr>
          <w:rFonts w:ascii="楷体" w:hAnsi="楷体" w:eastAsia="楷体"/>
          <w:sz w:val="32"/>
          <w:szCs w:val="32"/>
          <w:u w:val="none"/>
        </w:rPr>
      </w:pPr>
      <w:r>
        <w:rPr>
          <w:rFonts w:hint="eastAsia" w:ascii="楷体" w:hAnsi="楷体" w:eastAsia="楷体"/>
          <w:sz w:val="32"/>
          <w:szCs w:val="32"/>
          <w:u w:val="none"/>
        </w:rPr>
        <w:t>（三）国有资产占有使用情况</w:t>
      </w:r>
    </w:p>
    <w:p w14:paraId="16E41C23">
      <w:pPr>
        <w:spacing w:line="560" w:lineRule="exact"/>
        <w:ind w:firstLine="640" w:firstLineChars="200"/>
        <w:rPr>
          <w:rFonts w:ascii="仿宋_GB2312" w:hAnsi="黑体" w:eastAsia="仿宋_GB2312" w:cs="仿宋_GB2312"/>
          <w:sz w:val="32"/>
          <w:szCs w:val="32"/>
          <w:u w:val="none"/>
        </w:rPr>
      </w:pPr>
      <w:r>
        <w:rPr>
          <w:rFonts w:hint="eastAsia" w:ascii="仿宋_GB2312" w:hAnsi="黑体" w:eastAsia="仿宋_GB2312" w:cs="仿宋_GB2312"/>
          <w:sz w:val="32"/>
          <w:szCs w:val="32"/>
          <w:highlight w:val="none"/>
          <w:u w:val="none"/>
        </w:rPr>
        <w:t>截至</w:t>
      </w:r>
      <w:r>
        <w:rPr>
          <w:rFonts w:hint="eastAsia" w:ascii="仿宋_GB2312" w:hAnsi="黑体" w:eastAsia="仿宋_GB2312" w:cs="仿宋_GB2312"/>
          <w:sz w:val="32"/>
          <w:szCs w:val="32"/>
          <w:highlight w:val="none"/>
          <w:u w:val="none"/>
          <w:lang w:val="en-US" w:eastAsia="zh-CN"/>
        </w:rPr>
        <w:t>2025</w:t>
      </w:r>
      <w:r>
        <w:rPr>
          <w:rFonts w:hint="eastAsia" w:ascii="仿宋_GB2312" w:hAnsi="黑体" w:eastAsia="仿宋_GB2312"/>
          <w:sz w:val="32"/>
          <w:szCs w:val="32"/>
          <w:highlight w:val="none"/>
          <w:u w:val="none"/>
        </w:rPr>
        <w:t>年12月31日，</w:t>
      </w:r>
      <w:r>
        <w:rPr>
          <w:rFonts w:hint="eastAsia" w:ascii="仿宋" w:hAnsi="仿宋" w:eastAsia="仿宋" w:cs="仿宋"/>
          <w:sz w:val="32"/>
          <w:szCs w:val="32"/>
          <w:u w:val="none"/>
          <w:lang w:val="en-US" w:eastAsia="zh-CN"/>
        </w:rPr>
        <w:t>儋州市排浦中学</w:t>
      </w:r>
      <w:r>
        <w:rPr>
          <w:rFonts w:hint="eastAsia" w:ascii="仿宋_GB2312" w:hAnsi="黑体" w:eastAsia="仿宋_GB2312" w:cs="仿宋_GB2312"/>
          <w:sz w:val="32"/>
          <w:szCs w:val="32"/>
          <w:u w:val="none"/>
        </w:rPr>
        <w:t>本级及下属各预算单位共有车辆</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辆，其中，领导干部用车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辆，机要通信应急用车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辆、一般执法执勤用车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辆、特种专业技术用车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辆、其他用车</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辆。单位价值100万元以上设备</w:t>
      </w:r>
      <w:r>
        <w:rPr>
          <w:rFonts w:hint="eastAsia" w:ascii="仿宋_GB2312" w:hAnsi="黑体" w:eastAsia="仿宋_GB2312" w:cs="仿宋_GB2312"/>
          <w:sz w:val="32"/>
          <w:szCs w:val="32"/>
          <w:u w:val="none"/>
          <w:lang w:val="en-US" w:eastAsia="zh-CN"/>
        </w:rPr>
        <w:t>0</w:t>
      </w:r>
      <w:r>
        <w:rPr>
          <w:rFonts w:hint="eastAsia" w:ascii="仿宋_GB2312" w:hAnsi="黑体" w:eastAsia="仿宋_GB2312" w:cs="仿宋_GB2312"/>
          <w:sz w:val="32"/>
          <w:szCs w:val="32"/>
          <w:u w:val="none"/>
        </w:rPr>
        <w:t>台（套）。</w:t>
      </w:r>
    </w:p>
    <w:p w14:paraId="778B196C">
      <w:pPr>
        <w:widowControl/>
        <w:spacing w:line="560" w:lineRule="exact"/>
        <w:ind w:firstLine="640" w:firstLineChars="200"/>
        <w:jc w:val="left"/>
        <w:rPr>
          <w:rFonts w:ascii="楷体" w:hAnsi="楷体" w:eastAsia="楷体"/>
          <w:sz w:val="32"/>
          <w:szCs w:val="32"/>
          <w:u w:val="none"/>
        </w:rPr>
      </w:pPr>
      <w:r>
        <w:rPr>
          <w:rFonts w:hint="eastAsia" w:ascii="楷体" w:hAnsi="楷体" w:eastAsia="楷体"/>
          <w:sz w:val="32"/>
          <w:szCs w:val="32"/>
          <w:u w:val="none"/>
        </w:rPr>
        <w:t>（四）</w:t>
      </w:r>
      <w:r>
        <w:rPr>
          <w:rFonts w:hint="eastAsia" w:ascii="楷体" w:hAnsi="楷体" w:eastAsia="楷体" w:cs="黑体"/>
          <w:i w:val="0"/>
          <w:caps w:val="0"/>
          <w:spacing w:val="0"/>
          <w:kern w:val="2"/>
          <w:sz w:val="32"/>
          <w:szCs w:val="32"/>
          <w:lang w:val="en-US" w:eastAsia="zh-CN" w:bidi="ar"/>
        </w:rPr>
        <w:t>绩效目标设置及重点项目绩效目标说明</w:t>
      </w:r>
    </w:p>
    <w:p w14:paraId="7EF53881">
      <w:pPr>
        <w:spacing w:line="560" w:lineRule="exact"/>
        <w:ind w:firstLine="640" w:firstLineChars="200"/>
        <w:rPr>
          <w:rFonts w:hint="eastAsia" w:ascii="黑体" w:hAnsi="黑体" w:eastAsia="黑体"/>
          <w:b w:val="0"/>
          <w:bCs/>
          <w:sz w:val="32"/>
          <w:szCs w:val="32"/>
          <w:u w:val="none"/>
          <w:lang w:eastAsia="zh-CN"/>
        </w:rPr>
      </w:pPr>
      <w:r>
        <w:rPr>
          <w:rFonts w:hint="eastAsia" w:ascii="仿宋_GB2312" w:hAnsi="黑体" w:eastAsia="仿宋_GB2312" w:cs="仿宋_GB2312"/>
          <w:sz w:val="32"/>
          <w:szCs w:val="32"/>
          <w:u w:val="none"/>
          <w:lang w:val="en-US" w:eastAsia="zh-CN"/>
        </w:rPr>
        <w:t>2026</w:t>
      </w:r>
      <w:r>
        <w:rPr>
          <w:rFonts w:hint="eastAsia" w:ascii="仿宋_GB2312" w:hAnsi="黑体" w:eastAsia="仿宋_GB2312"/>
          <w:sz w:val="32"/>
          <w:szCs w:val="32"/>
          <w:u w:val="none"/>
        </w:rPr>
        <w:t>年</w:t>
      </w:r>
      <w:r>
        <w:rPr>
          <w:rFonts w:hint="eastAsia" w:ascii="仿宋" w:hAnsi="仿宋" w:eastAsia="仿宋" w:cs="仿宋"/>
          <w:sz w:val="32"/>
          <w:szCs w:val="32"/>
          <w:u w:val="none"/>
          <w:lang w:val="en-US" w:eastAsia="zh-CN"/>
        </w:rPr>
        <w:t>儋州市排浦中学0</w:t>
      </w:r>
      <w:r>
        <w:rPr>
          <w:rFonts w:hint="eastAsia" w:ascii="仿宋_GB2312" w:hAnsi="黑体" w:eastAsia="仿宋_GB2312" w:cs="仿宋_GB2312"/>
          <w:sz w:val="32"/>
          <w:szCs w:val="32"/>
          <w:u w:val="none"/>
        </w:rPr>
        <w:t>个项目实行绩效目标管理，涉及一般公共预算</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万元、政府性基金</w:t>
      </w:r>
      <w:r>
        <w:rPr>
          <w:rFonts w:hint="eastAsia" w:ascii="仿宋_GB2312" w:hAnsi="黑体" w:eastAsia="仿宋_GB2312" w:cs="仿宋_GB2312"/>
          <w:sz w:val="32"/>
          <w:szCs w:val="32"/>
          <w:u w:val="none"/>
          <w:lang w:val="en-US" w:eastAsia="zh-CN"/>
        </w:rPr>
        <w:t>0</w:t>
      </w:r>
      <w:r>
        <w:rPr>
          <w:rFonts w:hint="eastAsia" w:ascii="仿宋_GB2312" w:hAnsi="黑体" w:eastAsia="仿宋_GB2312"/>
          <w:sz w:val="32"/>
          <w:szCs w:val="32"/>
          <w:u w:val="none"/>
        </w:rPr>
        <w:t>万元。</w:t>
      </w:r>
    </w:p>
    <w:p w14:paraId="54814633">
      <w:pPr>
        <w:spacing w:line="560" w:lineRule="exact"/>
        <w:jc w:val="center"/>
        <w:rPr>
          <w:rFonts w:ascii="仿宋_GB2312" w:eastAsia="仿宋_GB2312" w:cs="宋体"/>
          <w:bCs/>
          <w:color w:val="000000"/>
          <w:kern w:val="0"/>
          <w:sz w:val="32"/>
          <w:szCs w:val="32"/>
          <w:u w:val="none"/>
          <w:lang w:val="zh-CN"/>
        </w:rPr>
      </w:pPr>
      <w:r>
        <w:rPr>
          <w:rFonts w:hint="eastAsia" w:ascii="黑体" w:hAnsi="黑体" w:eastAsia="黑体"/>
          <w:b w:val="0"/>
          <w:bCs/>
          <w:sz w:val="32"/>
          <w:szCs w:val="32"/>
          <w:u w:val="none"/>
        </w:rPr>
        <w:t>第四部分  名词解释</w:t>
      </w:r>
      <w:bookmarkStart w:id="0" w:name="_GoBack"/>
      <w:bookmarkEnd w:id="0"/>
    </w:p>
    <w:p w14:paraId="521583F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一、财政拨款收入：指本级财政当年拨付的资金。</w:t>
      </w:r>
    </w:p>
    <w:p w14:paraId="0FA59650">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二、一般公共预算拨款收入：指用于反映税收收入、专项收入、行政事业性收费收入、罚没收入、国有资源（资产）有偿使用收入、政府住房基金收入、捐赠收入等财政收入。</w:t>
      </w:r>
    </w:p>
    <w:p w14:paraId="6C204DF0">
      <w:pPr>
        <w:spacing w:line="560" w:lineRule="exact"/>
        <w:ind w:firstLine="640" w:firstLineChars="200"/>
        <w:jc w:val="left"/>
        <w:rPr>
          <w:rFonts w:hint="eastAsia" w:ascii="仿宋_GB2312" w:hAnsi="宋体" w:eastAsia="仿宋_GB2312" w:cs="宋体"/>
          <w:color w:val="000000"/>
          <w:kern w:val="0"/>
          <w:sz w:val="32"/>
          <w:szCs w:val="30"/>
          <w:u w:val="none"/>
          <w:lang w:eastAsia="zh-CN"/>
        </w:rPr>
      </w:pPr>
      <w:r>
        <w:rPr>
          <w:rFonts w:hint="eastAsia" w:ascii="仿宋_GB2312" w:hAnsi="宋体" w:eastAsia="仿宋_GB2312" w:cs="宋体"/>
          <w:color w:val="000000"/>
          <w:kern w:val="0"/>
          <w:sz w:val="32"/>
          <w:szCs w:val="30"/>
          <w:u w:val="none"/>
        </w:rPr>
        <w:t>三、政府性基金预算拨款收入：指是用于反映政府为支持某项事业发展或特定基础设施建设，依法依规向公民、法人和其他组织征收的以及出让土地、发行彩票等方式取得的具有专门用途的资金</w:t>
      </w:r>
      <w:r>
        <w:rPr>
          <w:rFonts w:hint="eastAsia" w:ascii="仿宋_GB2312" w:hAnsi="宋体" w:eastAsia="仿宋_GB2312" w:cs="宋体"/>
          <w:color w:val="000000"/>
          <w:kern w:val="0"/>
          <w:sz w:val="32"/>
          <w:szCs w:val="30"/>
          <w:u w:val="none"/>
          <w:lang w:eastAsia="zh-CN"/>
        </w:rPr>
        <w:t>。</w:t>
      </w:r>
    </w:p>
    <w:p w14:paraId="7DDA2E37">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 xml:space="preserve">四、事业收入：指用于反映事业单位开展专业业务活动及辅助活动所取得的收入。 </w:t>
      </w:r>
    </w:p>
    <w:p w14:paraId="71A0D3C2">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五、事业单位经营收入：指用于反映事业单位在专业活动及辅助活动之外开展非独立核算经营活动取得的收入。</w:t>
      </w:r>
    </w:p>
    <w:p w14:paraId="5E8BFDE5">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六、其他收入：指除上述“财政拨款收入”“事业收入”“经营收入”等以外的收入。</w:t>
      </w:r>
    </w:p>
    <w:p w14:paraId="26444B7A">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七、上年结转：指以前年度尚未完成、结转到本年按有关规定继续使用的资金。</w:t>
      </w:r>
    </w:p>
    <w:p w14:paraId="7F978F8C">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八、基本支出：指行政事业单位用于为保障其机构正常运转、完成日常工作任务而发生的人员支出和公用支出。</w:t>
      </w:r>
    </w:p>
    <w:p w14:paraId="6E40D25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九、工资福利支出：反映单位开支的在职职工和编制外长期聘用人员的各类劳动报酬，以及为上述人员缴纳的各项社会保险费等。</w:t>
      </w:r>
    </w:p>
    <w:p w14:paraId="50FEDA4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十、对个人和家庭的补助支出：反映政府用于对个人和家庭的补助支出，包括离休费、退休费、退职（役）费、抚恤金、生活补助、救济费、医疗费补助、助学金、独生子女奖励金、其他等。</w:t>
      </w:r>
    </w:p>
    <w:p w14:paraId="7F196289">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一、商品和服务支出：反映单位购买商品和服务的支出，包括办公费、水费、电费、邮电费、培训费、公务用车运行维护费、差旅费、因公出国（境）费用、公务接待费、工会经费、会议费、福利费、物业管理费、维修（护）费、其他等。</w:t>
      </w:r>
    </w:p>
    <w:p w14:paraId="56E82DA1">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十二、项目支出：指各部门、各单位为完成其特定的工作任务和事业发展目标所发生的支出。</w:t>
      </w:r>
    </w:p>
    <w:p w14:paraId="5AFAF94B">
      <w:pPr>
        <w:spacing w:line="560" w:lineRule="exact"/>
        <w:ind w:firstLine="640" w:firstLineChars="200"/>
        <w:jc w:val="left"/>
        <w:rPr>
          <w:rFonts w:hint="eastAsia"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三、“三公”经费：包括因公出国（境）费、公务用车购置及运行费和公务接待费。其中，因公出国（境）费指单位公务出国（境）的国际旅费、国外城市间交通费、住宿费、伙食费、培训费、公杂费等支出；公务用车购置及运行费指单位公务用车车辆购置支出（含车辆购置税）及燃料费、维修费、过路过桥费、保险费、安全奖励费用</w:t>
      </w:r>
      <w:r>
        <w:rPr>
          <w:rFonts w:hint="eastAsia" w:ascii="仿宋_GB2312" w:hAnsi="宋体" w:eastAsia="仿宋_GB2312" w:cs="宋体"/>
          <w:color w:val="000000"/>
          <w:kern w:val="0"/>
          <w:sz w:val="32"/>
          <w:szCs w:val="30"/>
          <w:u w:val="none"/>
          <w:lang w:eastAsia="zh-CN"/>
        </w:rPr>
        <w:t>、</w:t>
      </w:r>
      <w:r>
        <w:rPr>
          <w:rFonts w:hint="eastAsia" w:ascii="仿宋_GB2312" w:hAnsi="宋体" w:eastAsia="仿宋_GB2312" w:cs="宋体"/>
          <w:color w:val="000000"/>
          <w:kern w:val="0"/>
          <w:sz w:val="32"/>
          <w:szCs w:val="30"/>
          <w:u w:val="none"/>
          <w:lang w:val="en-US" w:eastAsia="zh-CN"/>
        </w:rPr>
        <w:t>1个月及以上租车费用</w:t>
      </w:r>
      <w:r>
        <w:rPr>
          <w:rFonts w:hint="eastAsia" w:ascii="仿宋_GB2312" w:hAnsi="宋体" w:eastAsia="仿宋_GB2312" w:cs="宋体"/>
          <w:color w:val="000000"/>
          <w:kern w:val="0"/>
          <w:sz w:val="32"/>
          <w:szCs w:val="30"/>
          <w:u w:val="none"/>
        </w:rPr>
        <w:t>等支出；公务接待费指单位按规定开支的各类公务接待（含外宾接待）支出。</w:t>
      </w:r>
    </w:p>
    <w:p w14:paraId="2AF9FCA4">
      <w:pPr>
        <w:spacing w:line="560" w:lineRule="exact"/>
        <w:ind w:firstLine="640" w:firstLineChars="200"/>
        <w:jc w:val="left"/>
        <w:rPr>
          <w:rFonts w:ascii="仿宋_GB2312" w:hAnsi="宋体" w:eastAsia="仿宋_GB2312" w:cs="宋体"/>
          <w:color w:val="000000"/>
          <w:kern w:val="0"/>
          <w:sz w:val="32"/>
          <w:szCs w:val="30"/>
          <w:u w:val="none"/>
        </w:rPr>
      </w:pPr>
      <w:r>
        <w:rPr>
          <w:rFonts w:hint="eastAsia" w:ascii="仿宋_GB2312" w:hAnsi="宋体" w:eastAsia="仿宋_GB2312" w:cs="宋体"/>
          <w:color w:val="000000"/>
          <w:kern w:val="0"/>
          <w:sz w:val="32"/>
          <w:szCs w:val="30"/>
          <w:u w:val="none"/>
        </w:rPr>
        <w:t>十四、机关运行经费：为保障行政单位（含参照公务员法管理的事业单位）运行用于购买货物和服务的各项资金，包括办公及印刷费、邮电费、差旅费、会议费、日常维修费、专用材料及一般设备购置费、办公用房水电费、办公用房取暖费、办公用房物业管理费、公务用车运行维护费以及其他费用。</w:t>
      </w:r>
    </w:p>
    <w:p w14:paraId="3D417714">
      <w:pPr>
        <w:spacing w:line="560" w:lineRule="exact"/>
        <w:ind w:firstLine="0" w:firstLineChars="0"/>
        <w:jc w:val="left"/>
        <w:rPr>
          <w:rFonts w:ascii="仿宋_GB2312" w:hAnsi="黑体" w:eastAsia="仿宋_GB2312" w:cs="仿宋_GB2312"/>
          <w:sz w:val="32"/>
          <w:szCs w:val="32"/>
          <w:u w:val="none"/>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黑体_GBK">
    <w:altName w:val="微软雅黑"/>
    <w:panose1 w:val="02000000000000000000"/>
    <w:charset w:val="86"/>
    <w:family w:val="auto"/>
    <w:pitch w:val="default"/>
    <w:sig w:usb0="00000000" w:usb1="00000000" w:usb2="00082016" w:usb3="00000000" w:csb0="00040001" w:csb1="00000000"/>
  </w:font>
  <w:font w:name="微软雅黑">
    <w:panose1 w:val="020B0503020204020204"/>
    <w:charset w:val="86"/>
    <w:family w:val="auto"/>
    <w:pitch w:val="default"/>
    <w:sig w:usb0="80000287" w:usb1="2ACF3C50" w:usb2="00000016" w:usb3="00000000" w:csb0="0004001F" w:csb1="00000000"/>
  </w:font>
  <w:font w:name="方正仿宋_GBK">
    <w:altName w:val="微软雅黑"/>
    <w:panose1 w:val="02000000000000000000"/>
    <w:charset w:val="86"/>
    <w:family w:val="auto"/>
    <w:pitch w:val="default"/>
    <w:sig w:usb0="00000000" w:usb1="00000000" w:usb2="00082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KSOFEC83043A">
    <w:panose1 w:val="020B0503020204020204"/>
    <w:charset w:val="86"/>
    <w:family w:val="auto"/>
    <w:pitch w:val="default"/>
    <w:sig w:usb0="00000001" w:usb1="00000000" w:usb2="00000000" w:usb3="00000000" w:csb0="00040001" w:csb1="00000000"/>
  </w:font>
  <w:font w:name="KSOFE44F9426">
    <w:panose1 w:val="02010609060101010101"/>
    <w:charset w:val="86"/>
    <w:family w:val="auto"/>
    <w:pitch w:val="default"/>
    <w:sig w:usb0="00000001" w:usb1="00000000" w:usb2="00000000" w:usb3="00000000" w:csb0="00040001" w:csb1="00000000"/>
  </w:font>
  <w:font w:name="KSOFE4500885">
    <w:panose1 w:val="02010609060101010101"/>
    <w:charset w:val="86"/>
    <w:family w:val="auto"/>
    <w:pitch w:val="default"/>
    <w:sig w:usb0="00000001" w:usb1="00000000" w:usb2="00000000" w:usb3="00000000" w:csb0="00040001" w:csb1="00000000"/>
  </w:font>
  <w:font w:name="KSOFD8A28030">
    <w:panose1 w:val="020B0503020204020204"/>
    <w:charset w:val="86"/>
    <w:family w:val="auto"/>
    <w:pitch w:val="default"/>
    <w:sig w:usb0="00000001" w:usb1="00000000" w:usb2="00000000"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 w:name="方正公文小标宋">
    <w:panose1 w:val="02000500000000000000"/>
    <w:charset w:val="86"/>
    <w:family w:val="auto"/>
    <w:pitch w:val="default"/>
    <w:sig w:usb0="A00002BF" w:usb1="38CF7CFA" w:usb2="00000016" w:usb3="00000000" w:csb0="00040001" w:csb1="00000000"/>
  </w:font>
  <w:font w:name="方正仿宋_GB18030">
    <w:panose1 w:val="02000000000000000000"/>
    <w:charset w:val="86"/>
    <w:family w:val="auto"/>
    <w:pitch w:val="default"/>
    <w:sig w:usb0="00000001" w:usb1="08000000" w:usb2="00000000" w:usb3="00000000" w:csb0="00040000" w:csb1="00000000"/>
  </w:font>
  <w:font w:name="方正姚体">
    <w:panose1 w:val="02010601030101010101"/>
    <w:charset w:val="86"/>
    <w:family w:val="auto"/>
    <w:pitch w:val="default"/>
    <w:sig w:usb0="00000003"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BDEEC51"/>
    <w:multiLevelType w:val="singleLevel"/>
    <w:tmpl w:val="DBDEEC51"/>
    <w:lvl w:ilvl="0" w:tentative="0">
      <w:start w:val="6"/>
      <w:numFmt w:val="chineseCounting"/>
      <w:suff w:val="nothing"/>
      <w:lvlText w:val="%1、"/>
      <w:lvlJc w:val="left"/>
      <w:rPr>
        <w:rFonts w:hint="eastAsia"/>
      </w:rPr>
    </w:lvl>
  </w:abstractNum>
  <w:abstractNum w:abstractNumId="1">
    <w:nsid w:val="05832B87"/>
    <w:multiLevelType w:val="multilevel"/>
    <w:tmpl w:val="05832B87"/>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5A611727"/>
    <w:multiLevelType w:val="multilevel"/>
    <w:tmpl w:val="5A611727"/>
    <w:lvl w:ilvl="0" w:tentative="0">
      <w:start w:val="1"/>
      <w:numFmt w:val="japaneseCounting"/>
      <w:lvlText w:val="%1、"/>
      <w:lvlJc w:val="left"/>
      <w:pPr>
        <w:ind w:left="720" w:hanging="720"/>
      </w:pPr>
      <w:rPr>
        <w:rFonts w:hint="default" w:ascii="仿宋_GB2312" w:hAnsi="仿宋_GB2312" w:eastAsia="仿宋_GB2312" w:cs="仿宋_GB2312"/>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70D57A06"/>
    <w:multiLevelType w:val="multilevel"/>
    <w:tmpl w:val="70D57A06"/>
    <w:lvl w:ilvl="0" w:tentative="0">
      <w:start w:val="1"/>
      <w:numFmt w:val="chineseCountingThousand"/>
      <w:lvlText w:val="第%1部分"/>
      <w:lvlJc w:val="left"/>
      <w:pPr>
        <w:ind w:left="1320" w:hanging="1320"/>
      </w:pPr>
      <w:rPr>
        <w:rFonts w:hint="eastAsia" w:ascii="黑体" w:hAnsi="黑体" w:eastAsia="黑体" w:cs="黑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2"/>
  <w:bordersDoNotSurroundHeader w:val="0"/>
  <w:bordersDoNotSurroundFooter w:val="0"/>
  <w:documentProtection w:enforcement="0"/>
  <w:defaultTabStop w:val="420"/>
  <w:drawingGridHorizontalSpacing w:val="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C010333"/>
    <w:rsid w:val="0CC2416B"/>
    <w:rsid w:val="1109680C"/>
    <w:rsid w:val="12240078"/>
    <w:rsid w:val="133D455E"/>
    <w:rsid w:val="14C74C05"/>
    <w:rsid w:val="1DA12554"/>
    <w:rsid w:val="1E7B6870"/>
    <w:rsid w:val="1F102DF3"/>
    <w:rsid w:val="27F9D6AD"/>
    <w:rsid w:val="290B259E"/>
    <w:rsid w:val="2CFFD3C3"/>
    <w:rsid w:val="2FBF19B9"/>
    <w:rsid w:val="30773758"/>
    <w:rsid w:val="37DF1B78"/>
    <w:rsid w:val="3A105C66"/>
    <w:rsid w:val="3DE53401"/>
    <w:rsid w:val="459622F8"/>
    <w:rsid w:val="5099655E"/>
    <w:rsid w:val="51EB539F"/>
    <w:rsid w:val="55F9755F"/>
    <w:rsid w:val="58825949"/>
    <w:rsid w:val="59AC13C8"/>
    <w:rsid w:val="5ADC3C17"/>
    <w:rsid w:val="5CD71462"/>
    <w:rsid w:val="5E03261D"/>
    <w:rsid w:val="5EDA13B9"/>
    <w:rsid w:val="5EFF8EDA"/>
    <w:rsid w:val="5FBFEA10"/>
    <w:rsid w:val="6263077A"/>
    <w:rsid w:val="63075754"/>
    <w:rsid w:val="6C5805DD"/>
    <w:rsid w:val="6F772982"/>
    <w:rsid w:val="6F7F7F61"/>
    <w:rsid w:val="6FDB1131"/>
    <w:rsid w:val="6FDF3A11"/>
    <w:rsid w:val="707C7BD5"/>
    <w:rsid w:val="72BFF0B5"/>
    <w:rsid w:val="73CF45A9"/>
    <w:rsid w:val="79B922AE"/>
    <w:rsid w:val="7BF736D2"/>
    <w:rsid w:val="7DF7433C"/>
    <w:rsid w:val="7E2FDAC6"/>
    <w:rsid w:val="7EFDD520"/>
    <w:rsid w:val="7FAAE0CC"/>
    <w:rsid w:val="7FF2739F"/>
    <w:rsid w:val="7FF7D632"/>
    <w:rsid w:val="7FFCF4EE"/>
    <w:rsid w:val="7FFFDC33"/>
    <w:rsid w:val="83AFEFD5"/>
    <w:rsid w:val="87FD1F7D"/>
    <w:rsid w:val="ABBF3834"/>
    <w:rsid w:val="AFFF7822"/>
    <w:rsid w:val="BB75DD03"/>
    <w:rsid w:val="D3DA912A"/>
    <w:rsid w:val="D97F626E"/>
    <w:rsid w:val="DEB7979A"/>
    <w:rsid w:val="EAFF647C"/>
    <w:rsid w:val="EDFF99A7"/>
    <w:rsid w:val="EF4F270F"/>
    <w:rsid w:val="F24F813D"/>
    <w:rsid w:val="F3FFFD9D"/>
    <w:rsid w:val="FC6FBB23"/>
    <w:rsid w:val="FF253AE5"/>
    <w:rsid w:val="FF330AC4"/>
    <w:rsid w:val="FF5F5C3D"/>
    <w:rsid w:val="FF6F3845"/>
    <w:rsid w:val="FF6F9FDF"/>
    <w:rsid w:val="FF7C1A10"/>
    <w:rsid w:val="FFC65139"/>
    <w:rsid w:val="FFEEA926"/>
  </w:rsids>
  <m:mathPr>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Normal Indent"/>
    <w:lsdException w:uiPriority="0" w:name="footnote text"/>
    <w:lsdException w:uiPriority="0" w:name="annotation text"/>
    <w:lsdException w:qFormat="1" w:uiPriority="99" w:name="header"/>
    <w:lsdException w:qFormat="1" w:uiPriority="99" w:name="footer"/>
    <w:lsdException w:uiPriority="0" w:name="index heading"/>
    <w:lsdException w:qFormat="1" w:uiPriority="35"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22" w:semiHidden="0" w:name="Strong"/>
    <w:lsdException w:qFormat="1" w:unhideWhenUsed="0" w:uiPriority="2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黑体"/>
      <w:kern w:val="2"/>
      <w:sz w:val="21"/>
      <w:szCs w:val="22"/>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semiHidden/>
    <w:unhideWhenUsed/>
    <w:qFormat/>
    <w:uiPriority w:val="99"/>
    <w:pPr>
      <w:tabs>
        <w:tab w:val="center" w:pos="4153"/>
        <w:tab w:val="right" w:pos="8306"/>
      </w:tabs>
      <w:snapToGrid w:val="0"/>
      <w:jc w:val="left"/>
    </w:pPr>
    <w:rPr>
      <w:sz w:val="18"/>
      <w:szCs w:val="18"/>
    </w:rPr>
  </w:style>
  <w:style w:type="paragraph" w:styleId="3">
    <w:name w:val="header"/>
    <w:basedOn w:val="1"/>
    <w:link w:val="8"/>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customStyle="1" w:styleId="6">
    <w:name w:val="List Paragraph"/>
    <w:basedOn w:val="1"/>
    <w:qFormat/>
    <w:uiPriority w:val="34"/>
    <w:pPr>
      <w:ind w:firstLine="420" w:firstLineChars="200"/>
    </w:pPr>
  </w:style>
  <w:style w:type="paragraph" w:customStyle="1" w:styleId="7">
    <w:name w:val="正文1 Char Char Char"/>
    <w:basedOn w:val="1"/>
    <w:qFormat/>
    <w:uiPriority w:val="0"/>
    <w:pPr>
      <w:widowControl/>
      <w:spacing w:line="360" w:lineRule="auto"/>
      <w:ind w:firstLine="200" w:firstLineChars="200"/>
      <w:jc w:val="left"/>
    </w:pPr>
    <w:rPr>
      <w:rFonts w:ascii="宋体" w:hAnsi="宋体" w:eastAsia="宋体" w:cs="宋体"/>
      <w:kern w:val="0"/>
      <w:sz w:val="24"/>
      <w:szCs w:val="24"/>
    </w:rPr>
  </w:style>
  <w:style w:type="character" w:customStyle="1" w:styleId="8">
    <w:name w:val="页眉 Char"/>
    <w:basedOn w:val="5"/>
    <w:link w:val="3"/>
    <w:semiHidden/>
    <w:qFormat/>
    <w:uiPriority w:val="99"/>
    <w:rPr>
      <w:sz w:val="18"/>
      <w:szCs w:val="18"/>
    </w:rPr>
  </w:style>
  <w:style w:type="character" w:customStyle="1" w:styleId="9">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10</Pages>
  <Words>4233</Words>
  <Characters>4341</Characters>
  <Lines>1</Lines>
  <Paragraphs>1</Paragraphs>
  <TotalTime>10</TotalTime>
  <ScaleCrop>false</ScaleCrop>
  <LinksUpToDate>false</LinksUpToDate>
  <CharactersWithSpaces>4359</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2017-02-13T23:31:00Z</dcterms:created>
  <dc:creator>null,null,总收发</dc:creator>
  <cp:lastModifiedBy>镜花水月</cp:lastModifiedBy>
  <cp:lastPrinted>2025-01-20T00:28:00Z</cp:lastPrinted>
  <dcterms:modified xsi:type="dcterms:W3CDTF">2026-03-02T02:01:13Z</dcterms:modified>
  <dc:title>××年××部门（单位）预算</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A452AEA80B3487E3850D8E679530286D</vt:lpwstr>
  </property>
  <property fmtid="{D5CDD505-2E9C-101B-9397-08002B2CF9AE}" pid="4" name="KSOTemplateDocerSaveRecord">
    <vt:lpwstr>eyJoZGlkIjoiYTk4Y2I4YWMzYTUzMWY4NjE1MDZiZDExMTYzN2I5YWYiLCJ1c2VySWQiOiIzMzQwMzQ2NTgifQ==</vt:lpwstr>
  </property>
</Properties>
</file>