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sz w:val="84"/>
          <w:szCs w:val="84"/>
          <w:u w:val="none"/>
        </w:rPr>
      </w:pPr>
    </w:p>
    <w:p>
      <w:pPr>
        <w:spacing w:line="560" w:lineRule="exact"/>
        <w:rPr>
          <w:sz w:val="84"/>
          <w:szCs w:val="84"/>
          <w:u w:val="none"/>
        </w:rPr>
      </w:pPr>
    </w:p>
    <w:p>
      <w:pPr>
        <w:spacing w:line="560" w:lineRule="exact"/>
        <w:rPr>
          <w:sz w:val="84"/>
          <w:szCs w:val="84"/>
          <w:u w:val="none"/>
        </w:rPr>
      </w:pPr>
    </w:p>
    <w:p>
      <w:pPr>
        <w:spacing w:line="560" w:lineRule="exact"/>
        <w:rPr>
          <w:sz w:val="84"/>
          <w:szCs w:val="84"/>
          <w:u w:val="none"/>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spacing w:line="560" w:lineRule="exact"/>
        <w:jc w:val="center"/>
        <w:rPr>
          <w:sz w:val="52"/>
          <w:szCs w:val="52"/>
          <w:u w:val="none"/>
        </w:rPr>
      </w:pPr>
      <w:r>
        <w:rPr>
          <w:rFonts w:hint="eastAsia"/>
          <w:sz w:val="52"/>
          <w:szCs w:val="52"/>
          <w:u w:val="none"/>
          <w:lang w:val="en-US" w:eastAsia="zh-CN"/>
        </w:rPr>
        <w:t>2026</w:t>
      </w:r>
      <w:r>
        <w:rPr>
          <w:rFonts w:hint="eastAsia"/>
          <w:sz w:val="52"/>
          <w:szCs w:val="52"/>
          <w:u w:val="none"/>
        </w:rPr>
        <w:t>年</w:t>
      </w:r>
      <w:r>
        <w:rPr>
          <w:rFonts w:hint="eastAsia"/>
          <w:sz w:val="52"/>
          <w:szCs w:val="52"/>
          <w:u w:val="none"/>
          <w:lang w:eastAsia="zh-CN"/>
        </w:rPr>
        <w:t>儋州市房屋征收局单位</w:t>
      </w:r>
      <w:r>
        <w:rPr>
          <w:rFonts w:hint="eastAsia"/>
          <w:sz w:val="52"/>
          <w:szCs w:val="52"/>
          <w:u w:val="none"/>
        </w:rPr>
        <w:t>预算</w:t>
      </w:r>
    </w:p>
    <w:p>
      <w:pPr>
        <w:spacing w:line="560" w:lineRule="exact"/>
        <w:ind w:firstLine="1680"/>
        <w:jc w:val="center"/>
        <w:rPr>
          <w:sz w:val="84"/>
          <w:szCs w:val="84"/>
          <w:u w:val="none"/>
        </w:rPr>
      </w:pPr>
    </w:p>
    <w:p>
      <w:pPr>
        <w:spacing w:line="560" w:lineRule="exact"/>
        <w:ind w:firstLine="1680"/>
        <w:jc w:val="center"/>
        <w:rPr>
          <w:sz w:val="84"/>
          <w:szCs w:val="84"/>
          <w:u w:val="none"/>
        </w:rPr>
      </w:pPr>
    </w:p>
    <w:p>
      <w:pPr>
        <w:spacing w:line="560" w:lineRule="exact"/>
        <w:ind w:firstLine="1680"/>
        <w:jc w:val="center"/>
        <w:rPr>
          <w:sz w:val="84"/>
          <w:szCs w:val="84"/>
          <w:u w:val="none"/>
        </w:rPr>
      </w:pPr>
    </w:p>
    <w:p>
      <w:pPr>
        <w:spacing w:line="560" w:lineRule="exact"/>
        <w:ind w:firstLine="1680"/>
        <w:jc w:val="center"/>
        <w:rPr>
          <w:sz w:val="84"/>
          <w:szCs w:val="84"/>
          <w:u w:val="none"/>
        </w:rPr>
      </w:pPr>
    </w:p>
    <w:p>
      <w:pPr>
        <w:rPr>
          <w:sz w:val="84"/>
          <w:szCs w:val="84"/>
          <w:u w:val="none"/>
        </w:rPr>
      </w:pPr>
      <w:r>
        <w:rPr>
          <w:sz w:val="84"/>
          <w:szCs w:val="84"/>
          <w:u w:val="none"/>
        </w:rPr>
        <w:br w:type="page"/>
      </w:r>
    </w:p>
    <w:p>
      <w:pPr>
        <w:spacing w:line="240" w:lineRule="auto"/>
        <w:jc w:val="center"/>
        <w:rPr>
          <w:rFonts w:hint="eastAsia" w:ascii="黑体" w:hAnsi="黑体" w:eastAsia="黑体"/>
          <w:sz w:val="52"/>
          <w:szCs w:val="52"/>
          <w:u w:val="none"/>
        </w:rPr>
      </w:pPr>
      <w:r>
        <w:rPr>
          <w:rFonts w:hint="eastAsia" w:ascii="黑体" w:hAnsi="黑体" w:eastAsia="黑体"/>
          <w:sz w:val="52"/>
          <w:szCs w:val="52"/>
          <w:u w:val="none"/>
        </w:rPr>
        <w:t>目录</w:t>
      </w:r>
    </w:p>
    <w:p>
      <w:pPr>
        <w:pStyle w:val="6"/>
        <w:numPr>
          <w:ilvl w:val="0"/>
          <w:numId w:val="1"/>
        </w:numPr>
        <w:spacing w:line="240" w:lineRule="auto"/>
        <w:ind w:firstLineChars="0"/>
        <w:jc w:val="left"/>
        <w:rPr>
          <w:rFonts w:hint="eastAsia" w:ascii="方正黑体_GBK" w:hAnsi="方正黑体_GBK" w:eastAsia="方正黑体_GBK" w:cs="方正黑体_GBK"/>
          <w:sz w:val="32"/>
          <w:szCs w:val="32"/>
          <w:u w:val="none"/>
        </w:rPr>
      </w:pPr>
      <w:r>
        <w:rPr>
          <w:rFonts w:hint="eastAsia" w:ascii="黑体" w:hAnsi="黑体" w:eastAsia="黑体"/>
          <w:sz w:val="32"/>
          <w:szCs w:val="32"/>
          <w:u w:val="none"/>
          <w:lang w:val="en-US" w:eastAsia="zh-CN"/>
        </w:rPr>
        <w:t xml:space="preserve">  </w:t>
      </w:r>
      <w:r>
        <w:rPr>
          <w:rFonts w:hint="eastAsia" w:ascii="方正黑体_GBK" w:hAnsi="方正黑体_GBK" w:eastAsia="方正黑体_GBK" w:cs="方正黑体_GBK"/>
          <w:sz w:val="32"/>
          <w:szCs w:val="32"/>
          <w:u w:val="none"/>
          <w:lang w:eastAsia="zh-CN"/>
        </w:rPr>
        <w:t>儋州市房屋征收局</w:t>
      </w:r>
      <w:r>
        <w:rPr>
          <w:rFonts w:hint="eastAsia" w:ascii="方正黑体_GBK" w:hAnsi="方正黑体_GBK" w:eastAsia="方正黑体_GBK" w:cs="方正黑体_GBK"/>
          <w:sz w:val="32"/>
          <w:szCs w:val="32"/>
          <w:u w:val="none"/>
        </w:rPr>
        <w:t>概况</w:t>
      </w:r>
    </w:p>
    <w:p>
      <w:pPr>
        <w:pStyle w:val="6"/>
        <w:numPr>
          <w:ilvl w:val="-1"/>
          <w:numId w:val="0"/>
        </w:numPr>
        <w:spacing w:line="240" w:lineRule="auto"/>
        <w:ind w:left="0" w:firstLine="0" w:firstLineChars="0"/>
        <w:jc w:val="left"/>
        <w:rPr>
          <w:rFonts w:hint="eastAsia" w:ascii="方正仿宋_GBK" w:hAnsi="方正仿宋_GBK" w:eastAsia="方正仿宋_GBK" w:cs="方正仿宋_GBK"/>
          <w:sz w:val="32"/>
          <w:szCs w:val="32"/>
          <w:u w:val="none"/>
        </w:rPr>
      </w:pPr>
      <w:r>
        <w:rPr>
          <w:rFonts w:hint="eastAsia" w:ascii="方正仿宋_GBK" w:hAnsi="方正仿宋_GBK" w:eastAsia="方正仿宋_GBK" w:cs="方正仿宋_GBK"/>
          <w:sz w:val="32"/>
          <w:szCs w:val="32"/>
          <w:u w:val="none"/>
          <w:lang w:eastAsia="zh-CN"/>
        </w:rPr>
        <w:t>一、</w:t>
      </w:r>
      <w:r>
        <w:rPr>
          <w:rFonts w:hint="eastAsia" w:ascii="方正仿宋_GBK" w:hAnsi="方正仿宋_GBK" w:eastAsia="方正仿宋_GBK" w:cs="方正仿宋_GBK"/>
          <w:sz w:val="32"/>
          <w:szCs w:val="32"/>
          <w:u w:val="none"/>
        </w:rPr>
        <w:t>主要职能</w:t>
      </w:r>
    </w:p>
    <w:p>
      <w:pPr>
        <w:pStyle w:val="6"/>
        <w:numPr>
          <w:ilvl w:val="-1"/>
          <w:numId w:val="0"/>
        </w:numPr>
        <w:spacing w:line="240" w:lineRule="auto"/>
        <w:ind w:left="0" w:firstLine="0" w:firstLineChars="0"/>
        <w:jc w:val="left"/>
        <w:rPr>
          <w:rFonts w:ascii="黑体" w:hAnsi="黑体" w:eastAsia="黑体"/>
          <w:sz w:val="32"/>
          <w:szCs w:val="32"/>
          <w:u w:val="none"/>
        </w:rPr>
      </w:pPr>
      <w:r>
        <w:rPr>
          <w:rFonts w:hint="eastAsia" w:ascii="方正仿宋_GBK" w:hAnsi="方正仿宋_GBK" w:eastAsia="方正仿宋_GBK" w:cs="方正仿宋_GBK"/>
          <w:sz w:val="32"/>
          <w:szCs w:val="32"/>
          <w:u w:val="none"/>
          <w:lang w:eastAsia="zh-CN"/>
        </w:rPr>
        <w:t>二、机构设置</w:t>
      </w:r>
    </w:p>
    <w:p>
      <w:pPr>
        <w:pStyle w:val="6"/>
        <w:numPr>
          <w:ilvl w:val="0"/>
          <w:numId w:val="1"/>
        </w:numPr>
        <w:spacing w:line="240" w:lineRule="auto"/>
        <w:ind w:firstLineChars="0"/>
        <w:rPr>
          <w:rFonts w:hint="eastAsia" w:ascii="方正黑体_GBK" w:hAnsi="方正黑体_GBK" w:eastAsia="方正黑体_GBK" w:cs="方正黑体_GBK"/>
          <w:sz w:val="32"/>
          <w:szCs w:val="32"/>
          <w:u w:val="none"/>
        </w:rPr>
      </w:pPr>
      <w:r>
        <w:rPr>
          <w:rFonts w:hint="eastAsia" w:ascii="黑体" w:hAnsi="黑体" w:eastAsia="黑体"/>
          <w:sz w:val="32"/>
          <w:szCs w:val="32"/>
          <w:u w:val="none"/>
        </w:rPr>
        <w:t xml:space="preserve"> </w:t>
      </w:r>
      <w:r>
        <w:rPr>
          <w:rFonts w:hint="eastAsia" w:ascii="黑体" w:hAnsi="黑体" w:eastAsia="黑体"/>
          <w:sz w:val="32"/>
          <w:szCs w:val="32"/>
          <w:u w:val="none"/>
          <w:lang w:val="en-US" w:eastAsia="zh-CN"/>
        </w:rPr>
        <w:t xml:space="preserve"> </w:t>
      </w:r>
      <w:r>
        <w:rPr>
          <w:rFonts w:hint="eastAsia" w:ascii="方正黑体_GBK" w:hAnsi="方正黑体_GBK" w:eastAsia="方正黑体_GBK" w:cs="方正黑体_GBK"/>
          <w:sz w:val="32"/>
          <w:szCs w:val="32"/>
          <w:u w:val="none"/>
          <w:lang w:val="en-US" w:eastAsia="zh-CN"/>
        </w:rPr>
        <w:t>2026</w:t>
      </w:r>
      <w:r>
        <w:rPr>
          <w:rFonts w:hint="eastAsia" w:ascii="方正黑体_GBK" w:hAnsi="方正黑体_GBK" w:eastAsia="方正黑体_GBK" w:cs="方正黑体_GBK"/>
          <w:sz w:val="32"/>
          <w:szCs w:val="32"/>
          <w:u w:val="none"/>
        </w:rPr>
        <w:t>年</w:t>
      </w:r>
      <w:r>
        <w:rPr>
          <w:rFonts w:hint="eastAsia" w:ascii="方正黑体_GBK" w:hAnsi="方正黑体_GBK" w:eastAsia="方正黑体_GBK" w:cs="方正黑体_GBK"/>
          <w:sz w:val="32"/>
          <w:szCs w:val="32"/>
          <w:u w:val="none"/>
          <w:lang w:eastAsia="zh-CN"/>
        </w:rPr>
        <w:t>儋州市房屋征收局</w:t>
      </w:r>
      <w:r>
        <w:rPr>
          <w:rFonts w:hint="eastAsia" w:ascii="方正黑体_GBK" w:hAnsi="方正黑体_GBK" w:eastAsia="方正黑体_GBK" w:cs="方正黑体_GBK"/>
          <w:sz w:val="32"/>
          <w:szCs w:val="32"/>
          <w:u w:val="none"/>
        </w:rPr>
        <w:t>单位预算表</w:t>
      </w:r>
    </w:p>
    <w:p>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财政拨款收支总表</w:t>
      </w:r>
    </w:p>
    <w:p>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一般公共预算支出表</w:t>
      </w:r>
    </w:p>
    <w:p>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一般公共预算基本支出表</w:t>
      </w:r>
    </w:p>
    <w:p>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一般公共预算“三公”经费支出表</w:t>
      </w:r>
    </w:p>
    <w:p>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政府性基金预算支出表</w:t>
      </w:r>
    </w:p>
    <w:p>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政府性基金预算“三公”经费支出表</w:t>
      </w:r>
    </w:p>
    <w:p>
      <w:pPr>
        <w:pStyle w:val="6"/>
        <w:numPr>
          <w:ilvl w:val="0"/>
          <w:numId w:val="2"/>
        </w:numPr>
        <w:spacing w:line="240" w:lineRule="auto"/>
        <w:ind w:firstLineChars="0"/>
        <w:jc w:val="left"/>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eastAsia="zh-CN"/>
        </w:rPr>
        <w:t>国有资本经营预算支出表</w:t>
      </w:r>
    </w:p>
    <w:p>
      <w:pPr>
        <w:pStyle w:val="6"/>
        <w:numPr>
          <w:ilvl w:val="0"/>
          <w:numId w:val="2"/>
        </w:numPr>
        <w:spacing w:line="240" w:lineRule="auto"/>
        <w:ind w:firstLineChars="0"/>
        <w:jc w:val="left"/>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收支总表</w:t>
      </w:r>
    </w:p>
    <w:p>
      <w:pPr>
        <w:pStyle w:val="6"/>
        <w:numPr>
          <w:ilvl w:val="0"/>
          <w:numId w:val="2"/>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收入总表</w:t>
      </w:r>
    </w:p>
    <w:p>
      <w:pPr>
        <w:pStyle w:val="6"/>
        <w:numPr>
          <w:ilvl w:val="0"/>
          <w:numId w:val="2"/>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支出总表</w:t>
      </w:r>
    </w:p>
    <w:p>
      <w:pPr>
        <w:pStyle w:val="6"/>
        <w:numPr>
          <w:ilvl w:val="0"/>
          <w:numId w:val="2"/>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rPr>
        <w:t>项目支出绩效信息表</w:t>
      </w:r>
    </w:p>
    <w:p>
      <w:pPr>
        <w:pStyle w:val="6"/>
        <w:numPr>
          <w:ilvl w:val="0"/>
          <w:numId w:val="1"/>
        </w:numPr>
        <w:spacing w:line="240" w:lineRule="auto"/>
        <w:ind w:firstLineChars="0"/>
        <w:jc w:val="left"/>
        <w:rPr>
          <w:rFonts w:ascii="仿宋_GB2312" w:hAnsi="仿宋_GB2312" w:eastAsia="仿宋_GB2312" w:cs="仿宋_GB2312"/>
          <w:sz w:val="32"/>
          <w:szCs w:val="32"/>
          <w:u w:val="none"/>
        </w:rPr>
      </w:pPr>
      <w:r>
        <w:rPr>
          <w:rFonts w:hint="eastAsia" w:ascii="黑体" w:hAnsi="黑体" w:eastAsia="黑体"/>
          <w:sz w:val="32"/>
          <w:szCs w:val="32"/>
          <w:u w:val="none"/>
          <w:lang w:val="en-US" w:eastAsia="zh-CN"/>
        </w:rPr>
        <w:t xml:space="preserve">  </w:t>
      </w:r>
      <w:r>
        <w:rPr>
          <w:rFonts w:hint="eastAsia" w:ascii="方正黑体_GBK" w:hAnsi="方正黑体_GBK" w:eastAsia="方正黑体_GBK" w:cs="方正黑体_GBK"/>
          <w:sz w:val="32"/>
          <w:szCs w:val="32"/>
          <w:u w:val="none"/>
          <w:lang w:val="en-US" w:eastAsia="zh-CN"/>
        </w:rPr>
        <w:t>2026</w:t>
      </w:r>
      <w:r>
        <w:rPr>
          <w:rFonts w:hint="eastAsia" w:ascii="方正黑体_GBK" w:hAnsi="方正黑体_GBK" w:eastAsia="方正黑体_GBK" w:cs="方正黑体_GBK"/>
          <w:sz w:val="32"/>
          <w:szCs w:val="32"/>
          <w:u w:val="none"/>
        </w:rPr>
        <w:t>年</w:t>
      </w:r>
      <w:r>
        <w:rPr>
          <w:rFonts w:hint="eastAsia" w:ascii="方正黑体_GBK" w:hAnsi="方正黑体_GBK" w:eastAsia="方正黑体_GBK" w:cs="方正黑体_GBK"/>
          <w:sz w:val="32"/>
          <w:szCs w:val="32"/>
          <w:u w:val="none"/>
          <w:lang w:eastAsia="zh-CN"/>
        </w:rPr>
        <w:t>儋州市房屋征收局</w:t>
      </w:r>
      <w:r>
        <w:rPr>
          <w:rFonts w:hint="eastAsia" w:ascii="方正黑体_GBK" w:hAnsi="方正黑体_GBK" w:eastAsia="方正黑体_GBK" w:cs="方正黑体_GBK"/>
          <w:sz w:val="32"/>
          <w:szCs w:val="32"/>
          <w:u w:val="none"/>
        </w:rPr>
        <w:t>单位预算情况说明</w:t>
      </w:r>
    </w:p>
    <w:p>
      <w:pPr>
        <w:pStyle w:val="6"/>
        <w:numPr>
          <w:ilvl w:val="0"/>
          <w:numId w:val="1"/>
        </w:numPr>
        <w:spacing w:line="240" w:lineRule="auto"/>
        <w:ind w:firstLineChars="0"/>
        <w:jc w:val="left"/>
        <w:rPr>
          <w:rFonts w:ascii="仿宋_GB2312" w:hAnsi="仿宋_GB2312" w:eastAsia="仿宋_GB2312" w:cs="仿宋_GB2312"/>
          <w:sz w:val="32"/>
          <w:szCs w:val="32"/>
          <w:u w:val="none"/>
        </w:rPr>
      </w:pPr>
      <w:r>
        <w:rPr>
          <w:rFonts w:hint="eastAsia" w:ascii="黑体" w:hAnsi="黑体" w:eastAsia="黑体"/>
          <w:sz w:val="32"/>
          <w:szCs w:val="32"/>
          <w:u w:val="none"/>
        </w:rPr>
        <w:t xml:space="preserve">  名词解释</w:t>
      </w:r>
    </w:p>
    <w:p>
      <w:pPr>
        <w:jc w:val="left"/>
        <w:rPr>
          <w:rFonts w:hint="eastAsia" w:ascii="黑体" w:hAnsi="黑体" w:eastAsia="黑体"/>
          <w:sz w:val="52"/>
          <w:szCs w:val="52"/>
          <w:u w:val="none"/>
        </w:rPr>
      </w:pPr>
    </w:p>
    <w:p>
      <w:pPr>
        <w:pStyle w:val="6"/>
        <w:spacing w:line="560" w:lineRule="exact"/>
        <w:ind w:left="1320" w:firstLine="0" w:firstLineChars="0"/>
        <w:jc w:val="left"/>
        <w:rPr>
          <w:rFonts w:ascii="黑体" w:hAnsi="黑体" w:eastAsia="黑体"/>
          <w:sz w:val="32"/>
          <w:szCs w:val="32"/>
          <w:u w:val="none"/>
        </w:rPr>
      </w:pPr>
    </w:p>
    <w:p>
      <w:pPr>
        <w:spacing w:line="560" w:lineRule="exact"/>
        <w:jc w:val="left"/>
        <w:rPr>
          <w:rFonts w:ascii="黑体" w:hAnsi="黑体" w:eastAsia="黑体"/>
          <w:sz w:val="32"/>
          <w:szCs w:val="32"/>
          <w:u w:val="none"/>
        </w:rPr>
      </w:pPr>
    </w:p>
    <w:p>
      <w:pPr>
        <w:jc w:val="left"/>
        <w:rPr>
          <w:rFonts w:ascii="黑体" w:hAnsi="黑体" w:eastAsia="黑体"/>
          <w:sz w:val="32"/>
          <w:szCs w:val="32"/>
          <w:u w:val="none"/>
        </w:rPr>
      </w:pPr>
      <w:r>
        <w:rPr>
          <w:rFonts w:ascii="黑体" w:hAnsi="黑体" w:eastAsia="黑体"/>
          <w:sz w:val="32"/>
          <w:szCs w:val="32"/>
          <w:u w:val="none"/>
        </w:rPr>
        <w:br w:type="page"/>
      </w:r>
    </w:p>
    <w:p>
      <w:pPr>
        <w:spacing w:line="560" w:lineRule="exact"/>
        <w:jc w:val="left"/>
        <w:rPr>
          <w:rFonts w:ascii="黑体" w:hAnsi="黑体" w:eastAsia="黑体"/>
          <w:sz w:val="32"/>
          <w:szCs w:val="32"/>
          <w:u w:val="none"/>
        </w:rPr>
      </w:pPr>
    </w:p>
    <w:p>
      <w:pPr>
        <w:pStyle w:val="6"/>
        <w:numPr>
          <w:ilvl w:val="0"/>
          <w:numId w:val="3"/>
        </w:numPr>
        <w:spacing w:line="560" w:lineRule="exact"/>
        <w:ind w:firstLineChars="0"/>
        <w:jc w:val="center"/>
        <w:rPr>
          <w:rFonts w:hint="eastAsia" w:ascii="方正黑体_GBK" w:hAnsi="方正黑体_GBK" w:eastAsia="方正黑体_GBK" w:cs="方正黑体_GBK"/>
          <w:sz w:val="32"/>
          <w:szCs w:val="32"/>
          <w:u w:val="none"/>
        </w:rPr>
      </w:pPr>
      <w:r>
        <w:rPr>
          <w:rFonts w:hint="eastAsia" w:ascii="方正黑体_GBK" w:hAnsi="方正黑体_GBK" w:eastAsia="方正黑体_GBK" w:cs="方正黑体_GBK"/>
          <w:sz w:val="32"/>
          <w:szCs w:val="32"/>
          <w:u w:val="none"/>
          <w:lang w:val="en-US" w:eastAsia="zh-CN"/>
        </w:rPr>
        <w:t xml:space="preserve">  </w:t>
      </w:r>
      <w:r>
        <w:rPr>
          <w:rFonts w:hint="eastAsia" w:ascii="方正黑体_GBK" w:hAnsi="方正黑体_GBK" w:eastAsia="方正黑体_GBK" w:cs="方正黑体_GBK"/>
          <w:sz w:val="32"/>
          <w:szCs w:val="32"/>
          <w:u w:val="none"/>
          <w:lang w:eastAsia="zh-CN"/>
        </w:rPr>
        <w:t>儋州市房屋征收局</w:t>
      </w:r>
      <w:r>
        <w:rPr>
          <w:rFonts w:hint="eastAsia" w:ascii="方正黑体_GBK" w:hAnsi="方正黑体_GBK" w:eastAsia="方正黑体_GBK" w:cs="方正黑体_GBK"/>
          <w:sz w:val="32"/>
          <w:szCs w:val="32"/>
          <w:u w:val="none"/>
        </w:rPr>
        <w:t>概况</w:t>
      </w:r>
    </w:p>
    <w:p>
      <w:pPr>
        <w:spacing w:line="560" w:lineRule="exact"/>
        <w:jc w:val="left"/>
        <w:rPr>
          <w:rFonts w:ascii="仿宋_GB2312" w:hAnsi="仿宋_GB2312" w:eastAsia="仿宋_GB2312" w:cs="仿宋_GB2312"/>
          <w:sz w:val="32"/>
          <w:szCs w:val="32"/>
          <w:u w:val="none"/>
        </w:rPr>
      </w:pPr>
    </w:p>
    <w:p>
      <w:pPr>
        <w:pStyle w:val="6"/>
        <w:numPr>
          <w:ilvl w:val="-1"/>
          <w:numId w:val="0"/>
        </w:numPr>
        <w:spacing w:line="560" w:lineRule="exact"/>
        <w:ind w:left="0" w:firstLine="640" w:firstLineChars="200"/>
        <w:jc w:val="left"/>
        <w:rPr>
          <w:rFonts w:ascii="黑体" w:hAnsi="黑体" w:eastAsia="黑体" w:cs="仿宋_GB2312"/>
          <w:sz w:val="32"/>
          <w:szCs w:val="32"/>
          <w:u w:val="none"/>
        </w:rPr>
      </w:pPr>
      <w:r>
        <w:rPr>
          <w:rFonts w:hint="eastAsia" w:ascii="黑体" w:hAnsi="黑体" w:eastAsia="黑体" w:cs="仿宋_GB2312"/>
          <w:sz w:val="32"/>
          <w:szCs w:val="32"/>
          <w:u w:val="none"/>
          <w:lang w:eastAsia="zh-CN"/>
        </w:rPr>
        <w:t>一、</w:t>
      </w:r>
      <w:r>
        <w:rPr>
          <w:rFonts w:hint="eastAsia" w:ascii="黑体" w:hAnsi="黑体" w:eastAsia="黑体" w:cs="仿宋_GB2312"/>
          <w:sz w:val="32"/>
          <w:szCs w:val="32"/>
          <w:u w:val="none"/>
        </w:rPr>
        <w:t>主要职能</w:t>
      </w:r>
    </w:p>
    <w:p>
      <w:pPr>
        <w:pStyle w:val="6"/>
        <w:numPr>
          <w:ilvl w:val="-1"/>
          <w:numId w:val="0"/>
        </w:numPr>
        <w:spacing w:line="560" w:lineRule="exact"/>
        <w:ind w:left="640" w:firstLine="640" w:firstLineChars="200"/>
        <w:jc w:val="left"/>
        <w:rPr>
          <w:rFonts w:hint="eastAsia" w:ascii="仿宋_GB2312" w:hAnsi="黑体" w:eastAsia="仿宋_GB2312" w:cs="仿宋_GB2312"/>
          <w:sz w:val="32"/>
          <w:szCs w:val="32"/>
          <w:u w:val="none"/>
        </w:rPr>
      </w:pPr>
      <w:r>
        <w:rPr>
          <w:rFonts w:hint="eastAsia" w:ascii="仿宋_GB2312" w:hAnsi="黑体" w:eastAsia="仿宋_GB2312" w:cs="仿宋_GB2312"/>
          <w:sz w:val="32"/>
          <w:szCs w:val="32"/>
          <w:u w:val="none"/>
        </w:rPr>
        <w:t>贯彻执行国家、省、市土地和房屋征收、城市更新及重点项目推进有关政策法规，研究拟订推进全市土地和房屋征收、城市更新及重点项目推进相关政策和规范性文件；负责编制实施全市土地征收、房屋征收、城市更新、重点项目和搬迁安置中长期规划和年度计划。</w:t>
      </w:r>
    </w:p>
    <w:p>
      <w:pPr>
        <w:pStyle w:val="6"/>
        <w:numPr>
          <w:ilvl w:val="-1"/>
          <w:numId w:val="0"/>
        </w:numPr>
        <w:spacing w:line="560" w:lineRule="exact"/>
        <w:ind w:left="640" w:firstLine="640" w:firstLineChars="200"/>
        <w:jc w:val="left"/>
        <w:rPr>
          <w:rFonts w:hint="eastAsia" w:ascii="仿宋_GB2312" w:hAnsi="黑体" w:eastAsia="仿宋_GB2312" w:cs="仿宋_GB2312"/>
          <w:sz w:val="32"/>
          <w:szCs w:val="32"/>
          <w:u w:val="none"/>
        </w:rPr>
      </w:pPr>
      <w:r>
        <w:rPr>
          <w:rFonts w:hint="eastAsia" w:ascii="仿宋_GB2312" w:hAnsi="黑体" w:eastAsia="仿宋_GB2312" w:cs="仿宋_GB2312"/>
          <w:sz w:val="32"/>
          <w:szCs w:val="32"/>
          <w:u w:val="none"/>
        </w:rPr>
        <w:t>负责组织实施全市集体土地征收与补偿工作，统筹、协调、监督和指导各镇（办事处）具体实施全市土地征收工作；负责组织实施全市国有土地收回工作。</w:t>
      </w:r>
    </w:p>
    <w:p>
      <w:pPr>
        <w:pStyle w:val="6"/>
        <w:numPr>
          <w:ilvl w:val="-1"/>
          <w:numId w:val="0"/>
        </w:numPr>
        <w:spacing w:line="560" w:lineRule="exact"/>
        <w:ind w:left="640" w:firstLine="640" w:firstLineChars="200"/>
        <w:jc w:val="left"/>
        <w:rPr>
          <w:rFonts w:hint="eastAsia" w:ascii="仿宋_GB2312" w:hAnsi="黑体" w:eastAsia="仿宋_GB2312" w:cs="仿宋_GB2312"/>
          <w:sz w:val="32"/>
          <w:szCs w:val="32"/>
          <w:u w:val="none"/>
        </w:rPr>
      </w:pPr>
      <w:r>
        <w:rPr>
          <w:rFonts w:hint="eastAsia" w:ascii="仿宋_GB2312" w:hAnsi="黑体" w:eastAsia="仿宋_GB2312" w:cs="仿宋_GB2312"/>
          <w:sz w:val="32"/>
          <w:szCs w:val="32"/>
          <w:u w:val="none"/>
        </w:rPr>
        <w:t>负责组织实施全市国有土地上房屋征收与补偿工作，统筹、协调、监督和指导各镇（办事处）具体实施国有土地上房屋征收与补偿工作。</w:t>
      </w:r>
    </w:p>
    <w:p>
      <w:pPr>
        <w:pStyle w:val="6"/>
        <w:numPr>
          <w:ilvl w:val="-1"/>
          <w:numId w:val="0"/>
        </w:numPr>
        <w:spacing w:line="560" w:lineRule="exact"/>
        <w:ind w:left="640" w:firstLine="640" w:firstLineChars="200"/>
        <w:jc w:val="left"/>
        <w:rPr>
          <w:rFonts w:hint="eastAsia" w:ascii="仿宋_GB2312" w:hAnsi="黑体" w:eastAsia="仿宋_GB2312" w:cs="仿宋_GB2312"/>
          <w:sz w:val="32"/>
          <w:szCs w:val="32"/>
          <w:u w:val="none"/>
        </w:rPr>
      </w:pPr>
      <w:r>
        <w:rPr>
          <w:rFonts w:hint="eastAsia" w:ascii="仿宋_GB2312" w:hAnsi="黑体" w:eastAsia="仿宋_GB2312" w:cs="仿宋_GB2312"/>
          <w:sz w:val="32"/>
          <w:szCs w:val="32"/>
          <w:u w:val="none"/>
        </w:rPr>
        <w:t>负责策划组织实施全市城镇棚户区、旧城区、城中村改造等城市更新项目和房屋搬迁安置工作。</w:t>
      </w:r>
    </w:p>
    <w:p>
      <w:pPr>
        <w:pStyle w:val="6"/>
        <w:numPr>
          <w:ilvl w:val="-1"/>
          <w:numId w:val="0"/>
        </w:numPr>
        <w:spacing w:line="560" w:lineRule="exact"/>
        <w:ind w:left="640" w:firstLine="640" w:firstLineChars="200"/>
        <w:jc w:val="left"/>
        <w:rPr>
          <w:rFonts w:hint="eastAsia" w:ascii="仿宋_GB2312" w:hAnsi="黑体" w:eastAsia="仿宋_GB2312" w:cs="仿宋_GB2312"/>
          <w:sz w:val="32"/>
          <w:szCs w:val="32"/>
          <w:u w:val="none"/>
        </w:rPr>
      </w:pPr>
      <w:r>
        <w:rPr>
          <w:rFonts w:hint="eastAsia" w:ascii="仿宋_GB2312" w:hAnsi="黑体" w:eastAsia="仿宋_GB2312" w:cs="仿宋_GB2312"/>
          <w:sz w:val="32"/>
          <w:szCs w:val="32"/>
          <w:u w:val="none"/>
        </w:rPr>
        <w:t>负责实施全市重点项目的协调、服务、督查、考核等工作。</w:t>
      </w:r>
    </w:p>
    <w:p>
      <w:pPr>
        <w:pStyle w:val="6"/>
        <w:numPr>
          <w:ilvl w:val="-1"/>
          <w:numId w:val="0"/>
        </w:numPr>
        <w:spacing w:line="560" w:lineRule="exact"/>
        <w:ind w:left="640" w:firstLine="640" w:firstLineChars="200"/>
        <w:jc w:val="left"/>
        <w:rPr>
          <w:rFonts w:hint="eastAsia" w:ascii="仿宋_GB2312" w:hAnsi="黑体" w:eastAsia="仿宋_GB2312" w:cs="仿宋_GB2312"/>
          <w:sz w:val="32"/>
          <w:szCs w:val="32"/>
          <w:u w:val="none"/>
        </w:rPr>
      </w:pPr>
      <w:r>
        <w:rPr>
          <w:rFonts w:hint="eastAsia" w:ascii="仿宋_GB2312" w:hAnsi="黑体" w:eastAsia="仿宋_GB2312" w:cs="仿宋_GB2312"/>
          <w:sz w:val="32"/>
          <w:szCs w:val="32"/>
          <w:u w:val="none"/>
        </w:rPr>
        <w:t>负责全市土地和房屋征收、城市更新项目资金的预算安排、审核、调配和监管。</w:t>
      </w:r>
    </w:p>
    <w:p>
      <w:pPr>
        <w:pStyle w:val="6"/>
        <w:numPr>
          <w:ilvl w:val="-1"/>
          <w:numId w:val="0"/>
        </w:numPr>
        <w:spacing w:line="560" w:lineRule="exact"/>
        <w:ind w:left="640" w:firstLine="640" w:firstLineChars="200"/>
        <w:jc w:val="left"/>
        <w:rPr>
          <w:rFonts w:hint="eastAsia" w:ascii="仿宋_GB2312" w:hAnsi="黑体" w:eastAsia="仿宋_GB2312" w:cs="仿宋_GB2312"/>
          <w:sz w:val="32"/>
          <w:szCs w:val="32"/>
          <w:u w:val="none"/>
        </w:rPr>
      </w:pPr>
      <w:r>
        <w:rPr>
          <w:rFonts w:hint="eastAsia" w:ascii="仿宋_GB2312" w:hAnsi="黑体" w:eastAsia="仿宋_GB2312" w:cs="仿宋_GB2312"/>
          <w:sz w:val="32"/>
          <w:szCs w:val="32"/>
          <w:u w:val="none"/>
        </w:rPr>
        <w:t>负责督促落实市委（工委）、市政府（管委会）有关城市更新决定事项，承担和协调其他与土地征收、房屋征收、城市更新及重点项目有关工作。</w:t>
      </w:r>
    </w:p>
    <w:p>
      <w:pPr>
        <w:pStyle w:val="6"/>
        <w:numPr>
          <w:ilvl w:val="-1"/>
          <w:numId w:val="0"/>
        </w:numPr>
        <w:spacing w:line="560" w:lineRule="exact"/>
        <w:ind w:left="640" w:firstLine="0" w:firstLineChars="0"/>
        <w:jc w:val="left"/>
        <w:rPr>
          <w:rFonts w:ascii="仿宋_GB2312" w:hAnsi="黑体" w:eastAsia="仿宋_GB2312" w:cs="仿宋_GB2312"/>
          <w:sz w:val="32"/>
          <w:szCs w:val="32"/>
          <w:u w:val="none"/>
        </w:rPr>
      </w:pPr>
      <w:r>
        <w:rPr>
          <w:rFonts w:hint="eastAsia" w:ascii="仿宋_GB2312" w:hAnsi="黑体" w:eastAsia="仿宋_GB2312" w:cs="仿宋_GB2312"/>
          <w:sz w:val="32"/>
          <w:szCs w:val="32"/>
          <w:u w:val="none"/>
        </w:rPr>
        <w:t>完成市委（工委）、市政府（管委会）交办的其他工作任务。</w:t>
      </w:r>
    </w:p>
    <w:p>
      <w:pPr>
        <w:numPr>
          <w:ilvl w:val="-1"/>
          <w:numId w:val="0"/>
        </w:numPr>
        <w:spacing w:line="560" w:lineRule="exact"/>
        <w:ind w:firstLine="640" w:firstLineChars="200"/>
        <w:jc w:val="left"/>
        <w:rPr>
          <w:rFonts w:hint="eastAsia" w:ascii="黑体" w:hAnsi="黑体" w:eastAsia="黑体" w:cs="仿宋_GB2312"/>
          <w:sz w:val="32"/>
          <w:szCs w:val="32"/>
          <w:highlight w:val="none"/>
          <w:u w:val="none"/>
          <w:lang w:eastAsia="zh-CN"/>
        </w:rPr>
      </w:pPr>
      <w:r>
        <w:rPr>
          <w:rFonts w:hint="eastAsia" w:ascii="黑体" w:hAnsi="黑体" w:eastAsia="黑体" w:cs="仿宋_GB2312"/>
          <w:sz w:val="32"/>
          <w:szCs w:val="32"/>
          <w:highlight w:val="none"/>
          <w:u w:val="none"/>
          <w:lang w:eastAsia="zh-CN"/>
        </w:rPr>
        <w:t>二、机构设置</w:t>
      </w:r>
    </w:p>
    <w:p>
      <w:pPr>
        <w:numPr>
          <w:ilvl w:val="-1"/>
          <w:numId w:val="0"/>
        </w:numPr>
        <w:spacing w:line="560" w:lineRule="exact"/>
        <w:ind w:left="0" w:firstLine="640" w:firstLineChars="200"/>
        <w:jc w:val="left"/>
        <w:rPr>
          <w:rFonts w:ascii="仿宋_GB2312" w:hAnsi="黑体" w:eastAsia="仿宋_GB2312" w:cs="仿宋_GB2312"/>
          <w:sz w:val="32"/>
          <w:szCs w:val="32"/>
          <w:highlight w:val="yellow"/>
          <w:u w:val="none"/>
        </w:rPr>
      </w:pPr>
      <w:r>
        <w:rPr>
          <w:rFonts w:hint="eastAsia" w:ascii="仿宋_GB2312" w:hAnsi="黑体" w:eastAsia="仿宋_GB2312" w:cs="仿宋_GB2312"/>
          <w:sz w:val="32"/>
          <w:szCs w:val="32"/>
          <w:u w:val="none"/>
          <w:lang w:eastAsia="zh-CN"/>
        </w:rPr>
        <w:t>儋州市房屋征收局</w:t>
      </w:r>
      <w:r>
        <w:rPr>
          <w:rFonts w:hint="eastAsia" w:ascii="仿宋_GB2312" w:hAnsi="黑体" w:eastAsia="仿宋_GB2312" w:cs="仿宋_GB2312"/>
          <w:sz w:val="32"/>
          <w:szCs w:val="32"/>
          <w:highlight w:val="none"/>
          <w:u w:val="none"/>
          <w:lang w:val="en-US" w:eastAsia="zh-CN"/>
        </w:rPr>
        <w:t>内设5个科室，包括</w:t>
      </w:r>
      <w:r>
        <w:rPr>
          <w:rFonts w:hint="eastAsia" w:ascii="仿宋_GB2312" w:hAnsi="黑体" w:eastAsia="仿宋_GB2312" w:cs="仿宋_GB2312"/>
          <w:sz w:val="32"/>
          <w:szCs w:val="32"/>
          <w:highlight w:val="none"/>
          <w:u w:val="none"/>
          <w:lang w:eastAsia="zh-CN"/>
        </w:rPr>
        <w:t>办公室</w:t>
      </w:r>
      <w:r>
        <w:rPr>
          <w:rFonts w:hint="eastAsia" w:ascii="仿宋_GB2312" w:hAnsi="黑体" w:eastAsia="仿宋_GB2312" w:cs="仿宋_GB2312"/>
          <w:sz w:val="32"/>
          <w:szCs w:val="32"/>
          <w:highlight w:val="none"/>
          <w:u w:val="none"/>
          <w:lang w:val="en-US" w:eastAsia="zh-CN"/>
        </w:rPr>
        <w:t>、土地征收管理科、城市更新科、重点项目管理科、政策法规科。</w:t>
      </w:r>
    </w:p>
    <w:p>
      <w:pPr>
        <w:pStyle w:val="6"/>
        <w:numPr>
          <w:ilvl w:val="0"/>
          <w:numId w:val="0"/>
        </w:numPr>
        <w:spacing w:line="560" w:lineRule="exact"/>
        <w:ind w:left="0" w:firstLine="1280" w:firstLineChars="400"/>
        <w:jc w:val="center"/>
        <w:rPr>
          <w:rFonts w:ascii="黑体" w:hAnsi="黑体" w:eastAsia="黑体"/>
          <w:sz w:val="32"/>
          <w:szCs w:val="32"/>
          <w:u w:val="none"/>
        </w:rPr>
      </w:pPr>
      <w:r>
        <w:rPr>
          <w:rFonts w:hint="eastAsia" w:ascii="方正黑体_GBK" w:hAnsi="方正黑体_GBK" w:eastAsia="方正黑体_GBK" w:cs="方正黑体_GBK"/>
          <w:b w:val="0"/>
          <w:bCs/>
          <w:sz w:val="32"/>
          <w:szCs w:val="32"/>
          <w:u w:val="none"/>
          <w:lang w:eastAsia="zh-CN"/>
        </w:rPr>
        <w:t>第二部分</w:t>
      </w:r>
      <w:r>
        <w:rPr>
          <w:rFonts w:hint="eastAsia" w:ascii="方正黑体_GBK" w:hAnsi="方正黑体_GBK" w:eastAsia="方正黑体_GBK" w:cs="方正黑体_GBK"/>
          <w:b w:val="0"/>
          <w:bCs/>
          <w:sz w:val="32"/>
          <w:szCs w:val="32"/>
          <w:u w:val="none"/>
          <w:lang w:val="en-US" w:eastAsia="zh-CN"/>
        </w:rPr>
        <w:t xml:space="preserve">  2026</w:t>
      </w:r>
      <w:r>
        <w:rPr>
          <w:rFonts w:hint="eastAsia" w:ascii="方正黑体_GBK" w:hAnsi="方正黑体_GBK" w:eastAsia="方正黑体_GBK" w:cs="方正黑体_GBK"/>
          <w:b w:val="0"/>
          <w:bCs/>
          <w:sz w:val="32"/>
          <w:szCs w:val="32"/>
          <w:u w:val="none"/>
        </w:rPr>
        <w:t>年</w:t>
      </w:r>
      <w:r>
        <w:rPr>
          <w:rFonts w:hint="eastAsia" w:ascii="方正黑体_GBK" w:hAnsi="方正黑体_GBK" w:eastAsia="方正黑体_GBK" w:cs="方正黑体_GBK"/>
          <w:b w:val="0"/>
          <w:bCs/>
          <w:sz w:val="32"/>
          <w:szCs w:val="32"/>
          <w:u w:val="none"/>
          <w:lang w:eastAsia="zh-CN"/>
        </w:rPr>
        <w:t>儋州市房屋征收局</w:t>
      </w:r>
      <w:r>
        <w:rPr>
          <w:rFonts w:hint="eastAsia" w:ascii="方正黑体_GBK" w:hAnsi="方正黑体_GBK" w:eastAsia="方正黑体_GBK" w:cs="方正黑体_GBK"/>
          <w:b w:val="0"/>
          <w:bCs/>
          <w:sz w:val="32"/>
          <w:szCs w:val="32"/>
          <w:u w:val="none"/>
        </w:rPr>
        <w:t>单位预算表</w:t>
      </w:r>
    </w:p>
    <w:p>
      <w:pPr>
        <w:spacing w:line="560" w:lineRule="exact"/>
        <w:ind w:left="0"/>
        <w:jc w:val="center"/>
        <w:rPr>
          <w:rFonts w:hint="eastAsia" w:ascii="仿宋_GB2312" w:hAnsi="黑体" w:eastAsia="仿宋_GB2312"/>
          <w:b/>
          <w:sz w:val="32"/>
          <w:szCs w:val="32"/>
          <w:u w:val="none"/>
        </w:rPr>
      </w:pPr>
    </w:p>
    <w:p>
      <w:pPr>
        <w:spacing w:line="560" w:lineRule="exact"/>
        <w:ind w:left="0"/>
        <w:jc w:val="center"/>
        <w:rPr>
          <w:rFonts w:hint="eastAsia" w:ascii="仿宋_GB2312" w:hAnsi="黑体" w:eastAsia="仿宋_GB2312"/>
          <w:b/>
          <w:bCs w:val="0"/>
          <w:sz w:val="32"/>
          <w:szCs w:val="32"/>
          <w:u w:val="none"/>
        </w:rPr>
      </w:pPr>
      <w:r>
        <w:rPr>
          <w:rFonts w:hint="eastAsia" w:ascii="仿宋_GB2312" w:hAnsi="黑体" w:eastAsia="仿宋_GB2312"/>
          <w:b/>
          <w:bCs w:val="0"/>
          <w:sz w:val="32"/>
          <w:szCs w:val="32"/>
          <w:u w:val="none"/>
        </w:rPr>
        <w:t>（此部分内容即为单位预算公开表）</w:t>
      </w:r>
    </w:p>
    <w:p>
      <w:pPr>
        <w:spacing w:line="560" w:lineRule="exact"/>
        <w:ind w:left="800"/>
        <w:jc w:val="center"/>
        <w:rPr>
          <w:rFonts w:hint="eastAsia" w:ascii="仿宋_GB2312" w:hAnsi="黑体" w:eastAsia="仿宋_GB2312"/>
          <w:b/>
          <w:sz w:val="32"/>
          <w:szCs w:val="32"/>
          <w:u w:val="none"/>
        </w:rPr>
      </w:pPr>
    </w:p>
    <w:p>
      <w:pPr>
        <w:spacing w:line="560" w:lineRule="exact"/>
        <w:ind w:firstLine="0" w:firstLineChars="0"/>
        <w:jc w:val="center"/>
        <w:rPr>
          <w:rFonts w:ascii="黑体" w:hAnsi="黑体" w:eastAsia="黑体"/>
          <w:sz w:val="32"/>
          <w:szCs w:val="32"/>
          <w:u w:val="none"/>
        </w:rPr>
      </w:pPr>
      <w:r>
        <w:rPr>
          <w:rFonts w:hint="eastAsia" w:ascii="黑体" w:hAnsi="黑体" w:eastAsia="黑体"/>
          <w:sz w:val="32"/>
          <w:szCs w:val="32"/>
          <w:u w:val="none"/>
          <w:lang w:eastAsia="zh-CN"/>
        </w:rPr>
        <w:t>第三部分</w:t>
      </w:r>
      <w:r>
        <w:rPr>
          <w:rFonts w:hint="eastAsia" w:ascii="黑体" w:hAnsi="黑体" w:eastAsia="黑体"/>
          <w:sz w:val="32"/>
          <w:szCs w:val="32"/>
          <w:u w:val="none"/>
          <w:lang w:val="en-US" w:eastAsia="zh-CN"/>
        </w:rPr>
        <w:t xml:space="preserve">  2026</w:t>
      </w:r>
      <w:r>
        <w:rPr>
          <w:rFonts w:hint="eastAsia" w:ascii="黑体" w:hAnsi="黑体" w:eastAsia="黑体"/>
          <w:sz w:val="32"/>
          <w:szCs w:val="32"/>
          <w:u w:val="none"/>
        </w:rPr>
        <w:t>年</w:t>
      </w:r>
      <w:r>
        <w:rPr>
          <w:rFonts w:hint="eastAsia" w:ascii="黑体" w:hAnsi="黑体" w:eastAsia="黑体"/>
          <w:sz w:val="32"/>
          <w:szCs w:val="32"/>
          <w:u w:val="none"/>
          <w:lang w:eastAsia="zh-CN"/>
        </w:rPr>
        <w:t>儋州市房屋征收局</w:t>
      </w:r>
      <w:r>
        <w:rPr>
          <w:rFonts w:hint="eastAsia" w:ascii="黑体" w:hAnsi="黑体" w:eastAsia="黑体"/>
          <w:sz w:val="32"/>
          <w:szCs w:val="32"/>
          <w:u w:val="none"/>
        </w:rPr>
        <w:t>单位预算情况说明</w:t>
      </w:r>
    </w:p>
    <w:p>
      <w:pPr>
        <w:spacing w:line="560" w:lineRule="exact"/>
        <w:jc w:val="center"/>
        <w:rPr>
          <w:rFonts w:ascii="黑体" w:hAnsi="黑体" w:eastAsia="黑体"/>
          <w:sz w:val="32"/>
          <w:szCs w:val="32"/>
          <w:u w:val="none"/>
        </w:rPr>
      </w:pPr>
    </w:p>
    <w:p>
      <w:pPr>
        <w:spacing w:line="560" w:lineRule="exact"/>
        <w:ind w:firstLine="640" w:firstLineChars="200"/>
        <w:jc w:val="left"/>
        <w:rPr>
          <w:rFonts w:hint="eastAsia" w:ascii="方正黑体_GBK" w:hAnsi="方正黑体_GBK" w:eastAsia="方正黑体_GBK" w:cs="方正黑体_GBK"/>
          <w:sz w:val="32"/>
          <w:szCs w:val="32"/>
          <w:u w:val="none"/>
        </w:rPr>
      </w:pPr>
      <w:r>
        <w:rPr>
          <w:rFonts w:hint="eastAsia" w:ascii="方正黑体_GBK" w:hAnsi="方正黑体_GBK" w:eastAsia="方正黑体_GBK" w:cs="方正黑体_GBK"/>
          <w:sz w:val="32"/>
          <w:szCs w:val="32"/>
          <w:u w:val="none"/>
        </w:rPr>
        <w:t>一、财政拨款收支预算</w:t>
      </w:r>
      <w:r>
        <w:rPr>
          <w:rFonts w:hint="eastAsia" w:ascii="方正黑体_GBK" w:hAnsi="方正黑体_GBK" w:eastAsia="方正黑体_GBK" w:cs="方正黑体_GBK"/>
          <w:sz w:val="32"/>
          <w:szCs w:val="32"/>
          <w:u w:val="none"/>
          <w:lang w:eastAsia="zh-CN"/>
        </w:rPr>
        <w:t>总体</w:t>
      </w:r>
      <w:r>
        <w:rPr>
          <w:rFonts w:hint="eastAsia" w:ascii="方正黑体_GBK" w:hAnsi="方正黑体_GBK" w:eastAsia="方正黑体_GBK" w:cs="方正黑体_GBK"/>
          <w:sz w:val="32"/>
          <w:szCs w:val="32"/>
          <w:u w:val="none"/>
        </w:rPr>
        <w:t>情况说明</w:t>
      </w:r>
    </w:p>
    <w:p>
      <w:pPr>
        <w:spacing w:line="560" w:lineRule="exact"/>
        <w:ind w:firstLine="640" w:firstLineChars="200"/>
        <w:jc w:val="left"/>
        <w:rPr>
          <w:rFonts w:ascii="仿宋_GB2312" w:hAnsi="黑体" w:eastAsia="仿宋_GB2312"/>
          <w:sz w:val="32"/>
          <w:szCs w:val="32"/>
          <w:u w:val="none"/>
        </w:rPr>
      </w:pPr>
      <w:r>
        <w:rPr>
          <w:rFonts w:hint="eastAsia" w:ascii="仿宋_GB2312" w:hAnsi="黑体" w:eastAsia="仿宋_GB2312"/>
          <w:sz w:val="32"/>
          <w:szCs w:val="32"/>
          <w:u w:val="none"/>
          <w:lang w:eastAsia="zh-CN"/>
        </w:rPr>
        <w:t>儋州市房屋征收局（单位）</w:t>
      </w:r>
      <w:r>
        <w:rPr>
          <w:rFonts w:hint="eastAsia" w:ascii="仿宋_GB2312" w:hAnsi="黑体" w:eastAsia="仿宋_GB2312"/>
          <w:sz w:val="32"/>
          <w:szCs w:val="32"/>
          <w:u w:val="none"/>
          <w:lang w:val="en-US" w:eastAsia="zh-CN"/>
        </w:rPr>
        <w:t>2</w:t>
      </w:r>
      <w:r>
        <w:rPr>
          <w:rFonts w:hint="eastAsia" w:ascii="仿宋_GB2312" w:hAnsi="黑体" w:eastAsia="仿宋_GB2312" w:cs="仿宋_GB2312"/>
          <w:sz w:val="32"/>
          <w:szCs w:val="32"/>
          <w:u w:val="none"/>
          <w:lang w:val="en-US" w:eastAsia="zh-CN"/>
        </w:rPr>
        <w:t>026</w:t>
      </w:r>
      <w:r>
        <w:rPr>
          <w:rFonts w:hint="eastAsia" w:ascii="仿宋_GB2312" w:hAnsi="黑体" w:eastAsia="仿宋_GB2312"/>
          <w:sz w:val="32"/>
          <w:szCs w:val="32"/>
          <w:u w:val="none"/>
        </w:rPr>
        <w:t>年财政拨款收支总预算</w:t>
      </w:r>
      <w:r>
        <w:rPr>
          <w:rFonts w:hint="eastAsia" w:ascii="仿宋_GB2312" w:hAnsi="黑体" w:eastAsia="仿宋_GB2312" w:cs="仿宋_GB2312"/>
          <w:sz w:val="32"/>
          <w:szCs w:val="32"/>
          <w:u w:val="none"/>
          <w:lang w:val="en-US" w:eastAsia="zh-CN"/>
        </w:rPr>
        <w:t>2489.17</w:t>
      </w:r>
      <w:r>
        <w:rPr>
          <w:rFonts w:hint="eastAsia" w:ascii="仿宋_GB2312" w:hAnsi="黑体" w:eastAsia="仿宋_GB2312"/>
          <w:sz w:val="32"/>
          <w:szCs w:val="32"/>
          <w:u w:val="none"/>
        </w:rPr>
        <w:t>万元</w:t>
      </w:r>
      <w:r>
        <w:rPr>
          <w:rFonts w:hint="eastAsia" w:ascii="仿宋_GB2312" w:hAnsi="黑体" w:eastAsia="仿宋_GB2312"/>
          <w:sz w:val="32"/>
          <w:szCs w:val="32"/>
          <w:u w:val="none"/>
          <w:lang w:eastAsia="zh-CN"/>
        </w:rPr>
        <w:t>，</w:t>
      </w:r>
      <w:r>
        <w:rPr>
          <w:rFonts w:hint="eastAsia" w:ascii="仿宋_GB2312" w:hAnsi="黑体" w:eastAsia="仿宋_GB2312"/>
          <w:sz w:val="32"/>
          <w:szCs w:val="32"/>
          <w:u w:val="none"/>
        </w:rPr>
        <w:t>比上年预算数</w:t>
      </w:r>
      <w:r>
        <w:rPr>
          <w:rFonts w:hint="eastAsia" w:ascii="仿宋_GB2312" w:hAnsi="黑体" w:eastAsia="仿宋_GB2312" w:cs="仿宋_GB2312"/>
          <w:sz w:val="32"/>
          <w:szCs w:val="32"/>
          <w:u w:val="none"/>
        </w:rPr>
        <w:t>减少</w:t>
      </w:r>
      <w:r>
        <w:rPr>
          <w:rFonts w:hint="eastAsia" w:ascii="仿宋_GB2312" w:hAnsi="黑体" w:eastAsia="仿宋_GB2312" w:cs="仿宋_GB2312"/>
          <w:sz w:val="32"/>
          <w:szCs w:val="32"/>
          <w:u w:val="none"/>
          <w:lang w:val="en-US" w:eastAsia="zh-CN"/>
        </w:rPr>
        <w:t>2171.2</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eastAsia="zh-CN"/>
        </w:rPr>
        <w:t>城乡社区支出减少</w:t>
      </w:r>
      <w:r>
        <w:rPr>
          <w:rFonts w:hint="eastAsia" w:ascii="仿宋_GB2312" w:hAnsi="黑体" w:eastAsia="仿宋_GB2312"/>
          <w:color w:val="auto"/>
          <w:sz w:val="32"/>
          <w:szCs w:val="32"/>
          <w:highlight w:val="none"/>
          <w:u w:val="none"/>
        </w:rPr>
        <w:t>。其中，收入总计</w:t>
      </w:r>
      <w:r>
        <w:rPr>
          <w:rFonts w:hint="eastAsia" w:ascii="仿宋_GB2312" w:hAnsi="黑体" w:eastAsia="仿宋_GB2312" w:cs="仿宋_GB2312"/>
          <w:color w:val="auto"/>
          <w:sz w:val="32"/>
          <w:szCs w:val="32"/>
          <w:highlight w:val="none"/>
          <w:u w:val="none"/>
          <w:lang w:val="en-US" w:eastAsia="zh-CN"/>
        </w:rPr>
        <w:t>2489.17</w:t>
      </w:r>
      <w:r>
        <w:rPr>
          <w:rFonts w:hint="eastAsia" w:ascii="仿宋_GB2312" w:hAnsi="黑体" w:eastAsia="仿宋_GB2312"/>
          <w:color w:val="auto"/>
          <w:sz w:val="32"/>
          <w:szCs w:val="32"/>
          <w:highlight w:val="none"/>
          <w:u w:val="none"/>
        </w:rPr>
        <w:t>万元，包括一般公共预算本年收入</w:t>
      </w:r>
      <w:r>
        <w:rPr>
          <w:rFonts w:hint="eastAsia" w:ascii="仿宋_GB2312" w:hAnsi="黑体" w:eastAsia="仿宋_GB2312" w:cs="仿宋_GB2312"/>
          <w:color w:val="auto"/>
          <w:sz w:val="32"/>
          <w:szCs w:val="32"/>
          <w:highlight w:val="none"/>
          <w:u w:val="none"/>
          <w:lang w:val="en-US" w:eastAsia="zh-CN"/>
        </w:rPr>
        <w:t>2462.36</w:t>
      </w:r>
      <w:r>
        <w:rPr>
          <w:rFonts w:hint="eastAsia" w:ascii="仿宋_GB2312" w:hAnsi="黑体" w:eastAsia="仿宋_GB2312"/>
          <w:color w:val="auto"/>
          <w:sz w:val="32"/>
          <w:szCs w:val="32"/>
          <w:highlight w:val="none"/>
          <w:u w:val="none"/>
        </w:rPr>
        <w:t>万元、上年结转</w:t>
      </w:r>
      <w:r>
        <w:rPr>
          <w:rFonts w:hint="eastAsia" w:ascii="仿宋_GB2312" w:hAnsi="黑体" w:eastAsia="仿宋_GB2312" w:cs="仿宋_GB2312"/>
          <w:color w:val="auto"/>
          <w:sz w:val="32"/>
          <w:szCs w:val="32"/>
          <w:highlight w:val="none"/>
          <w:u w:val="none"/>
          <w:lang w:val="en-US" w:eastAsia="zh-CN"/>
        </w:rPr>
        <w:t>26.81</w:t>
      </w:r>
      <w:r>
        <w:rPr>
          <w:rFonts w:hint="eastAsia" w:ascii="仿宋_GB2312" w:hAnsi="黑体" w:eastAsia="仿宋_GB2312"/>
          <w:color w:val="auto"/>
          <w:sz w:val="32"/>
          <w:szCs w:val="32"/>
          <w:highlight w:val="none"/>
          <w:u w:val="none"/>
        </w:rPr>
        <w:t>万元，政府性基金预算本年收入</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万元、上年结转</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w:t>
      </w:r>
      <w:r>
        <w:rPr>
          <w:rFonts w:hint="eastAsia" w:ascii="仿宋_GB2312" w:hAnsi="黑体" w:eastAsia="仿宋_GB2312"/>
          <w:color w:val="auto"/>
          <w:sz w:val="32"/>
          <w:szCs w:val="32"/>
          <w:highlight w:val="none"/>
          <w:u w:val="none"/>
          <w:lang w:eastAsia="zh-CN"/>
        </w:rPr>
        <w:t>，国有资本经营预算本年收入</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万元、上年结转</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w:t>
      </w:r>
      <w:r>
        <w:rPr>
          <w:rFonts w:hint="eastAsia" w:ascii="仿宋_GB2312" w:hAnsi="黑体" w:eastAsia="仿宋_GB2312"/>
          <w:color w:val="auto"/>
          <w:sz w:val="32"/>
          <w:szCs w:val="32"/>
          <w:highlight w:val="none"/>
          <w:u w:val="none"/>
          <w:lang w:eastAsia="zh-CN"/>
        </w:rPr>
        <w:t>；</w:t>
      </w:r>
      <w:r>
        <w:rPr>
          <w:rFonts w:hint="eastAsia" w:ascii="仿宋_GB2312" w:hAnsi="黑体" w:eastAsia="仿宋_GB2312"/>
          <w:color w:val="auto"/>
          <w:sz w:val="32"/>
          <w:szCs w:val="32"/>
          <w:highlight w:val="none"/>
          <w:u w:val="none"/>
        </w:rPr>
        <w:t>支出总计</w:t>
      </w:r>
      <w:r>
        <w:rPr>
          <w:rFonts w:hint="eastAsia" w:ascii="仿宋_GB2312" w:hAnsi="黑体" w:eastAsia="仿宋_GB2312" w:cs="仿宋_GB2312"/>
          <w:color w:val="auto"/>
          <w:sz w:val="32"/>
          <w:szCs w:val="32"/>
          <w:u w:val="none"/>
          <w:lang w:val="en-US" w:eastAsia="zh-CN"/>
        </w:rPr>
        <w:t>2489.17</w:t>
      </w:r>
      <w:r>
        <w:rPr>
          <w:rFonts w:hint="eastAsia" w:ascii="仿宋_GB2312" w:hAnsi="黑体" w:eastAsia="仿宋_GB2312"/>
          <w:color w:val="auto"/>
          <w:sz w:val="32"/>
          <w:szCs w:val="32"/>
          <w:u w:val="none"/>
        </w:rPr>
        <w:t>万元，包括一般公共服务支出</w:t>
      </w:r>
      <w:r>
        <w:rPr>
          <w:rFonts w:hint="eastAsia" w:ascii="仿宋_GB2312" w:hAnsi="黑体" w:eastAsia="仿宋_GB2312" w:cs="仿宋_GB2312"/>
          <w:color w:val="auto"/>
          <w:sz w:val="32"/>
          <w:szCs w:val="32"/>
          <w:u w:val="none"/>
          <w:lang w:val="en-US" w:eastAsia="zh-CN"/>
        </w:rPr>
        <w:t>143.04</w:t>
      </w:r>
      <w:r>
        <w:rPr>
          <w:rFonts w:hint="eastAsia" w:ascii="仿宋_GB2312" w:hAnsi="黑体" w:eastAsia="仿宋_GB2312"/>
          <w:color w:val="auto"/>
          <w:sz w:val="32"/>
          <w:szCs w:val="32"/>
          <w:u w:val="none"/>
        </w:rPr>
        <w:t>万元、</w:t>
      </w:r>
      <w:r>
        <w:rPr>
          <w:rFonts w:hint="eastAsia" w:ascii="仿宋_GB2312" w:hAnsi="黑体" w:eastAsia="仿宋_GB2312"/>
          <w:color w:val="auto"/>
          <w:sz w:val="32"/>
          <w:szCs w:val="32"/>
          <w:u w:val="none"/>
          <w:lang w:eastAsia="zh-CN"/>
        </w:rPr>
        <w:t>社会保障和就业支出</w:t>
      </w:r>
      <w:r>
        <w:rPr>
          <w:rFonts w:hint="eastAsia" w:ascii="仿宋_GB2312" w:hAnsi="黑体" w:eastAsia="仿宋_GB2312"/>
          <w:color w:val="auto"/>
          <w:sz w:val="32"/>
          <w:szCs w:val="32"/>
          <w:u w:val="none"/>
          <w:lang w:val="en-US" w:eastAsia="zh-CN"/>
        </w:rPr>
        <w:t>71.09万元</w:t>
      </w:r>
      <w:r>
        <w:rPr>
          <w:rFonts w:hint="eastAsia" w:ascii="仿宋_GB2312" w:hAnsi="黑体" w:eastAsia="仿宋_GB2312"/>
          <w:color w:val="auto"/>
          <w:sz w:val="32"/>
          <w:szCs w:val="32"/>
          <w:u w:val="none"/>
        </w:rPr>
        <w:t>、</w:t>
      </w:r>
      <w:r>
        <w:rPr>
          <w:rFonts w:hint="eastAsia" w:ascii="仿宋_GB2312" w:hAnsi="黑体" w:eastAsia="仿宋_GB2312"/>
          <w:color w:val="auto"/>
          <w:sz w:val="32"/>
          <w:szCs w:val="32"/>
          <w:u w:val="none"/>
          <w:lang w:eastAsia="zh-CN"/>
        </w:rPr>
        <w:t>卫生健康支出</w:t>
      </w:r>
      <w:r>
        <w:rPr>
          <w:rFonts w:hint="eastAsia" w:ascii="仿宋_GB2312" w:hAnsi="黑体" w:eastAsia="仿宋_GB2312"/>
          <w:color w:val="auto"/>
          <w:sz w:val="32"/>
          <w:szCs w:val="32"/>
          <w:u w:val="none"/>
          <w:lang w:val="en-US" w:eastAsia="zh-CN"/>
        </w:rPr>
        <w:t>52.09万元、城乡社区支出2179.67万元、住房保障支出43.28万元。</w:t>
      </w:r>
    </w:p>
    <w:p>
      <w:pPr>
        <w:spacing w:line="560" w:lineRule="exact"/>
        <w:ind w:firstLine="640"/>
        <w:jc w:val="left"/>
        <w:rPr>
          <w:rFonts w:ascii="黑体" w:hAnsi="黑体" w:eastAsia="黑体"/>
          <w:sz w:val="32"/>
          <w:szCs w:val="32"/>
          <w:u w:val="none"/>
        </w:rPr>
      </w:pPr>
      <w:r>
        <w:rPr>
          <w:rFonts w:hint="eastAsia" w:ascii="黑体" w:hAnsi="黑体" w:eastAsia="黑体"/>
          <w:sz w:val="32"/>
          <w:szCs w:val="32"/>
          <w:u w:val="none"/>
        </w:rPr>
        <w:t>二、一般公共预算当年拨款情况说明</w:t>
      </w:r>
    </w:p>
    <w:p>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（一）一般公共预算当年规模变化情况</w:t>
      </w:r>
    </w:p>
    <w:p>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u w:val="none"/>
          <w:lang w:eastAsia="zh-CN"/>
        </w:rPr>
        <w:t>儋州市房屋征收局（单位）</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年一般公共预算当年拨款</w:t>
      </w:r>
      <w:r>
        <w:rPr>
          <w:rFonts w:hint="eastAsia" w:ascii="仿宋_GB2312" w:hAnsi="黑体" w:eastAsia="仿宋_GB2312" w:cs="仿宋_GB2312"/>
          <w:color w:val="auto"/>
          <w:sz w:val="32"/>
          <w:szCs w:val="32"/>
          <w:u w:val="none"/>
          <w:lang w:val="en-US" w:eastAsia="zh-CN"/>
        </w:rPr>
        <w:t>2489.17</w:t>
      </w:r>
      <w:r>
        <w:rPr>
          <w:rFonts w:hint="eastAsia" w:ascii="仿宋_GB2312" w:hAnsi="黑体" w:eastAsia="仿宋_GB2312"/>
          <w:sz w:val="32"/>
          <w:szCs w:val="32"/>
          <w:u w:val="none"/>
        </w:rPr>
        <w:t>万元，比上年预算数</w:t>
      </w:r>
      <w:r>
        <w:rPr>
          <w:rFonts w:hint="eastAsia" w:ascii="仿宋_GB2312" w:hAnsi="黑体" w:eastAsia="仿宋_GB2312" w:cs="仿宋_GB2312"/>
          <w:sz w:val="32"/>
          <w:szCs w:val="32"/>
          <w:u w:val="none"/>
        </w:rPr>
        <w:t>减少</w:t>
      </w:r>
      <w:r>
        <w:rPr>
          <w:rFonts w:hint="eastAsia" w:ascii="仿宋_GB2312" w:hAnsi="黑体" w:eastAsia="仿宋_GB2312" w:cs="仿宋_GB2312"/>
          <w:sz w:val="32"/>
          <w:szCs w:val="32"/>
          <w:u w:val="none"/>
          <w:lang w:val="en-US" w:eastAsia="zh-CN"/>
        </w:rPr>
        <w:t>2171.2</w:t>
      </w:r>
      <w:r>
        <w:rPr>
          <w:rFonts w:hint="eastAsia" w:ascii="仿宋_GB2312" w:hAnsi="黑体" w:eastAsia="仿宋_GB2312"/>
          <w:sz w:val="32"/>
          <w:szCs w:val="32"/>
          <w:u w:val="none"/>
        </w:rPr>
        <w:t>万元，主要是城乡社区支出减少</w:t>
      </w:r>
      <w:r>
        <w:rPr>
          <w:rFonts w:hint="eastAsia" w:ascii="仿宋_GB2312" w:hAnsi="黑体" w:eastAsia="仿宋_GB2312"/>
          <w:sz w:val="32"/>
          <w:szCs w:val="32"/>
          <w:u w:val="none"/>
          <w:lang w:eastAsia="zh-CN"/>
        </w:rPr>
        <w:t>。</w:t>
      </w:r>
    </w:p>
    <w:p>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（二）一般公共预算当年拨款结构情况</w:t>
      </w:r>
    </w:p>
    <w:p>
      <w:pPr>
        <w:spacing w:line="560" w:lineRule="exact"/>
        <w:ind w:firstLine="800" w:firstLineChars="250"/>
        <w:rPr>
          <w:rFonts w:ascii="仿宋_GB2312" w:hAnsi="黑体" w:eastAsia="仿宋_GB2312"/>
          <w:sz w:val="32"/>
          <w:szCs w:val="32"/>
          <w:u w:val="none"/>
        </w:rPr>
      </w:pPr>
      <w:r>
        <w:rPr>
          <w:rFonts w:hint="eastAsia" w:ascii="仿宋_GB2312" w:hAnsi="黑体" w:eastAsia="仿宋_GB2312" w:cs="仿宋_GB2312"/>
          <w:sz w:val="32"/>
          <w:szCs w:val="32"/>
          <w:u w:val="none"/>
        </w:rPr>
        <w:t>一般公共服务（类）支出143.04</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5.75</w:t>
      </w:r>
      <w:r>
        <w:rPr>
          <w:rFonts w:hint="eastAsia" w:ascii="仿宋_GB2312" w:hAnsi="黑体" w:eastAsia="仿宋_GB2312"/>
          <w:sz w:val="32"/>
          <w:szCs w:val="32"/>
          <w:u w:val="none"/>
        </w:rPr>
        <w:t>%；社会保障和就业支出71.09万元，占</w:t>
      </w:r>
      <w:r>
        <w:rPr>
          <w:rFonts w:hint="eastAsia" w:ascii="仿宋_GB2312" w:hAnsi="黑体" w:eastAsia="仿宋_GB2312" w:cs="仿宋_GB2312"/>
          <w:sz w:val="32"/>
          <w:szCs w:val="32"/>
          <w:u w:val="none"/>
          <w:lang w:val="en-US" w:eastAsia="zh-CN"/>
        </w:rPr>
        <w:t>2.85</w:t>
      </w:r>
      <w:r>
        <w:rPr>
          <w:rFonts w:hint="eastAsia" w:ascii="仿宋_GB2312" w:hAnsi="黑体" w:eastAsia="仿宋_GB2312"/>
          <w:sz w:val="32"/>
          <w:szCs w:val="32"/>
          <w:u w:val="none"/>
        </w:rPr>
        <w:t>%；卫生健康支出52.09万元，占</w:t>
      </w:r>
      <w:r>
        <w:rPr>
          <w:rFonts w:hint="eastAsia" w:ascii="仿宋_GB2312" w:hAnsi="黑体" w:eastAsia="仿宋_GB2312" w:cs="仿宋_GB2312"/>
          <w:sz w:val="32"/>
          <w:szCs w:val="32"/>
          <w:u w:val="none"/>
          <w:lang w:val="en-US" w:eastAsia="zh-CN"/>
        </w:rPr>
        <w:t>2.09</w:t>
      </w:r>
      <w:r>
        <w:rPr>
          <w:rFonts w:hint="eastAsia" w:ascii="仿宋_GB2312" w:hAnsi="黑体" w:eastAsia="仿宋_GB2312"/>
          <w:sz w:val="32"/>
          <w:szCs w:val="32"/>
          <w:u w:val="none"/>
        </w:rPr>
        <w:t>%；城乡社区支出2179.67万元，占</w:t>
      </w:r>
      <w:r>
        <w:rPr>
          <w:rFonts w:hint="eastAsia" w:ascii="仿宋_GB2312" w:hAnsi="黑体" w:eastAsia="仿宋_GB2312" w:cs="仿宋_GB2312"/>
          <w:sz w:val="32"/>
          <w:szCs w:val="32"/>
          <w:u w:val="none"/>
          <w:lang w:val="en-US" w:eastAsia="zh-CN"/>
        </w:rPr>
        <w:t>87.56</w:t>
      </w:r>
      <w:r>
        <w:rPr>
          <w:rFonts w:hint="eastAsia" w:ascii="仿宋_GB2312" w:hAnsi="黑体" w:eastAsia="仿宋_GB2312"/>
          <w:sz w:val="32"/>
          <w:szCs w:val="32"/>
          <w:u w:val="none"/>
        </w:rPr>
        <w:t>%；住房保障支出43.28万元</w:t>
      </w:r>
      <w:r>
        <w:rPr>
          <w:rFonts w:hint="eastAsia" w:ascii="仿宋_GB2312" w:hAnsi="黑体" w:eastAsia="仿宋_GB2312"/>
          <w:sz w:val="32"/>
          <w:szCs w:val="32"/>
          <w:u w:val="none"/>
          <w:lang w:eastAsia="zh-CN"/>
        </w:rPr>
        <w:t>，占</w:t>
      </w:r>
      <w:r>
        <w:rPr>
          <w:rFonts w:hint="eastAsia" w:ascii="仿宋_GB2312" w:hAnsi="黑体" w:eastAsia="仿宋_GB2312"/>
          <w:sz w:val="32"/>
          <w:szCs w:val="32"/>
          <w:u w:val="none"/>
          <w:lang w:val="en-US" w:eastAsia="zh-CN"/>
        </w:rPr>
        <w:t>1.75%。</w:t>
      </w:r>
    </w:p>
    <w:p>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（三）一般公共预算当年拨款具体使用情况</w:t>
      </w:r>
    </w:p>
    <w:p>
      <w:pPr>
        <w:spacing w:line="560" w:lineRule="exact"/>
        <w:ind w:firstLine="640" w:firstLineChars="0"/>
        <w:rPr>
          <w:rFonts w:hint="eastAsia" w:ascii="仿宋_GB2312" w:hAnsi="黑体" w:eastAsia="仿宋_GB2312" w:cs="仿宋_GB2312"/>
          <w:sz w:val="32"/>
          <w:szCs w:val="32"/>
          <w:u w:val="none"/>
        </w:rPr>
      </w:pPr>
      <w:r>
        <w:rPr>
          <w:rFonts w:hint="eastAsia" w:ascii="仿宋_GB2312" w:hAnsi="黑体" w:eastAsia="仿宋_GB2312" w:cs="仿宋_GB2312"/>
          <w:sz w:val="32"/>
          <w:szCs w:val="32"/>
          <w:u w:val="none"/>
        </w:rPr>
        <w:t>1.一般公共服务（类）人大事务（款）</w:t>
      </w:r>
      <w:r>
        <w:rPr>
          <w:rFonts w:hint="eastAsia" w:ascii="仿宋_GB2312" w:hAnsi="黑体" w:eastAsia="仿宋_GB2312" w:cs="仿宋_GB2312"/>
          <w:sz w:val="32"/>
          <w:szCs w:val="32"/>
          <w:u w:val="none"/>
          <w:lang w:eastAsia="zh-CN"/>
        </w:rPr>
        <w:t>一般行政管理事务</w:t>
      </w:r>
      <w:r>
        <w:rPr>
          <w:rFonts w:hint="eastAsia" w:ascii="仿宋_GB2312" w:hAnsi="黑体" w:eastAsia="仿宋_GB2312" w:cs="仿宋_GB2312"/>
          <w:sz w:val="32"/>
          <w:szCs w:val="32"/>
          <w:u w:val="none"/>
        </w:rPr>
        <w:t>（项）</w:t>
      </w:r>
      <w:r>
        <w:rPr>
          <w:rFonts w:hint="eastAsia" w:ascii="仿宋_GB2312" w:hAnsi="黑体" w:eastAsia="仿宋_GB2312" w:cs="仿宋_GB2312"/>
          <w:sz w:val="32"/>
          <w:szCs w:val="32"/>
          <w:u w:val="none"/>
          <w:lang w:val="en-US" w:eastAsia="zh-CN"/>
        </w:rPr>
        <w:t>2026</w:t>
      </w:r>
      <w:r>
        <w:rPr>
          <w:rFonts w:hint="eastAsia" w:ascii="仿宋_GB2312" w:hAnsi="黑体" w:eastAsia="仿宋_GB2312" w:cs="仿宋_GB2312"/>
          <w:sz w:val="32"/>
          <w:szCs w:val="32"/>
          <w:u w:val="none"/>
        </w:rPr>
        <w:t>年预算数为</w:t>
      </w:r>
      <w:r>
        <w:rPr>
          <w:rFonts w:hint="eastAsia" w:ascii="仿宋_GB2312" w:hAnsi="黑体" w:eastAsia="仿宋_GB2312" w:cs="仿宋_GB2312"/>
          <w:sz w:val="32"/>
          <w:szCs w:val="32"/>
          <w:u w:val="none"/>
          <w:lang w:val="en-US" w:eastAsia="zh-CN"/>
        </w:rPr>
        <w:t>143.04</w:t>
      </w:r>
      <w:r>
        <w:rPr>
          <w:rFonts w:hint="eastAsia" w:ascii="仿宋_GB2312" w:hAnsi="黑体" w:eastAsia="仿宋_GB2312" w:cs="仿宋_GB2312"/>
          <w:sz w:val="32"/>
          <w:szCs w:val="32"/>
          <w:u w:val="none"/>
        </w:rPr>
        <w:t>万元，比上年预算数增加143.04万元，主要是</w:t>
      </w:r>
      <w:r>
        <w:rPr>
          <w:rFonts w:hint="eastAsia" w:ascii="仿宋_GB2312" w:hAnsi="黑体" w:eastAsia="仿宋_GB2312" w:cs="仿宋_GB2312"/>
          <w:sz w:val="32"/>
          <w:szCs w:val="32"/>
          <w:u w:val="none"/>
          <w:lang w:eastAsia="zh-CN"/>
        </w:rPr>
        <w:t>科目调整。</w:t>
      </w:r>
    </w:p>
    <w:p>
      <w:pPr>
        <w:spacing w:line="560" w:lineRule="exact"/>
        <w:ind w:firstLine="640"/>
        <w:rPr>
          <w:rFonts w:hint="eastAsia" w:ascii="仿宋_GB2312" w:hAnsi="黑体" w:eastAsia="仿宋_GB2312" w:cs="仿宋_GB2312"/>
          <w:sz w:val="32"/>
          <w:szCs w:val="32"/>
          <w:u w:val="none"/>
          <w:lang w:val="en-US" w:eastAsia="zh-CN"/>
        </w:rPr>
      </w:pPr>
      <w:r>
        <w:rPr>
          <w:rFonts w:hint="eastAsia" w:ascii="仿宋_GB2312" w:hAnsi="黑体" w:eastAsia="仿宋_GB2312" w:cs="仿宋_GB2312"/>
          <w:sz w:val="32"/>
          <w:szCs w:val="32"/>
          <w:u w:val="none"/>
        </w:rPr>
        <w:t>2</w:t>
      </w:r>
      <w:r>
        <w:rPr>
          <w:rFonts w:hint="eastAsia" w:ascii="仿宋_GB2312" w:hAnsi="黑体" w:eastAsia="仿宋_GB2312" w:cs="仿宋_GB2312"/>
          <w:sz w:val="32"/>
          <w:szCs w:val="32"/>
          <w:u w:val="none"/>
          <w:lang w:val="en-US" w:eastAsia="zh-CN"/>
        </w:rPr>
        <w:t>.社会保障和就业（类）行政事业单位养老支出（款）机关事业单位基本养老保险缴费支出（项）2026年预算数为47.4万元，比上年预算数增加2.06万元，主要是人员增加。</w:t>
      </w:r>
    </w:p>
    <w:p>
      <w:pPr>
        <w:numPr>
          <w:ilvl w:val="-1"/>
          <w:numId w:val="0"/>
        </w:numPr>
        <w:spacing w:line="560" w:lineRule="exact"/>
        <w:ind w:firstLine="640" w:firstLineChars="200"/>
        <w:rPr>
          <w:rFonts w:hint="eastAsia" w:ascii="仿宋_GB2312" w:hAnsi="黑体" w:eastAsia="仿宋_GB2312" w:cs="仿宋_GB2312"/>
          <w:sz w:val="32"/>
          <w:szCs w:val="32"/>
          <w:u w:val="none"/>
          <w:lang w:val="en-US" w:eastAsia="zh-CN"/>
        </w:rPr>
      </w:pPr>
      <w:r>
        <w:rPr>
          <w:rFonts w:hint="eastAsia" w:ascii="仿宋_GB2312" w:hAnsi="黑体" w:eastAsia="仿宋_GB2312" w:cs="仿宋_GB2312"/>
          <w:sz w:val="32"/>
          <w:szCs w:val="32"/>
          <w:u w:val="none"/>
          <w:lang w:val="en-US" w:eastAsia="zh-CN"/>
        </w:rPr>
        <w:t>3.社会保障和就业（类）行政事业单位养老支出（款）机关事业单位职业年金缴费支出（项）2026年预算数为23.7万元，比上年预算数增加1.03万元，主要是人员增加。</w:t>
      </w:r>
    </w:p>
    <w:p>
      <w:pPr>
        <w:numPr>
          <w:ilvl w:val="-1"/>
          <w:numId w:val="0"/>
        </w:numPr>
        <w:spacing w:line="560" w:lineRule="exact"/>
        <w:ind w:firstLine="640" w:firstLineChars="200"/>
        <w:rPr>
          <w:rFonts w:hint="eastAsia" w:ascii="仿宋_GB2312" w:hAnsi="黑体" w:eastAsia="仿宋_GB2312" w:cs="仿宋_GB2312"/>
          <w:sz w:val="32"/>
          <w:szCs w:val="32"/>
          <w:u w:val="none"/>
          <w:lang w:val="en-US" w:eastAsia="zh-CN"/>
        </w:rPr>
      </w:pPr>
      <w:r>
        <w:rPr>
          <w:rFonts w:hint="eastAsia" w:ascii="仿宋_GB2312" w:hAnsi="黑体" w:eastAsia="仿宋_GB2312" w:cs="仿宋_GB2312"/>
          <w:sz w:val="32"/>
          <w:szCs w:val="32"/>
          <w:u w:val="none"/>
          <w:lang w:val="en-US" w:eastAsia="zh-CN"/>
        </w:rPr>
        <w:t>4.卫生健康（类）行政事业单位医疗（款）行政单位医疗（项）2026年预算数为16.02万元，比上年预算数减少4.09万元，主要是基数调整。</w:t>
      </w:r>
    </w:p>
    <w:p>
      <w:pPr>
        <w:numPr>
          <w:ilvl w:val="-1"/>
          <w:numId w:val="0"/>
        </w:numPr>
        <w:spacing w:line="560" w:lineRule="exact"/>
        <w:ind w:firstLine="640" w:firstLineChars="200"/>
        <w:rPr>
          <w:rFonts w:hint="eastAsia" w:ascii="仿宋_GB2312" w:hAnsi="黑体" w:eastAsia="仿宋_GB2312" w:cs="仿宋_GB2312"/>
          <w:sz w:val="32"/>
          <w:szCs w:val="32"/>
          <w:u w:val="none"/>
          <w:lang w:val="en-US" w:eastAsia="zh-CN"/>
        </w:rPr>
      </w:pPr>
      <w:r>
        <w:rPr>
          <w:rFonts w:hint="eastAsia" w:ascii="仿宋_GB2312" w:hAnsi="黑体" w:eastAsia="仿宋_GB2312" w:cs="仿宋_GB2312"/>
          <w:sz w:val="32"/>
          <w:szCs w:val="32"/>
          <w:u w:val="none"/>
          <w:lang w:val="en-US" w:eastAsia="zh-CN"/>
        </w:rPr>
        <w:t>5.</w:t>
      </w:r>
      <w:r>
        <w:rPr>
          <w:rFonts w:hint="eastAsia" w:ascii="仿宋_GB2312" w:hAnsi="黑体" w:eastAsia="仿宋_GB2312" w:cs="仿宋_GB2312"/>
          <w:sz w:val="32"/>
          <w:szCs w:val="32"/>
          <w:u w:val="none"/>
        </w:rPr>
        <w:t>卫生健康（类）行政事业单位医疗（款）</w:t>
      </w:r>
      <w:r>
        <w:rPr>
          <w:rFonts w:hint="eastAsia" w:ascii="仿宋_GB2312" w:hAnsi="黑体" w:eastAsia="仿宋_GB2312" w:cs="仿宋_GB2312"/>
          <w:sz w:val="32"/>
          <w:szCs w:val="32"/>
          <w:u w:val="none"/>
          <w:lang w:eastAsia="zh-CN"/>
        </w:rPr>
        <w:t>公务员医疗补助（项）</w:t>
      </w:r>
      <w:r>
        <w:rPr>
          <w:rFonts w:hint="eastAsia" w:ascii="仿宋_GB2312" w:hAnsi="黑体" w:eastAsia="仿宋_GB2312" w:cs="仿宋_GB2312"/>
          <w:sz w:val="32"/>
          <w:szCs w:val="32"/>
          <w:u w:val="none"/>
          <w:lang w:val="en-US" w:eastAsia="zh-CN"/>
        </w:rPr>
        <w:t>2026年预算数为36.07万元，比上年预算数减少5.33万元，主要是基数调整。</w:t>
      </w:r>
    </w:p>
    <w:p>
      <w:pPr>
        <w:numPr>
          <w:ilvl w:val="-1"/>
          <w:numId w:val="0"/>
        </w:numPr>
        <w:spacing w:line="560" w:lineRule="exact"/>
        <w:ind w:firstLine="640" w:firstLineChars="200"/>
        <w:rPr>
          <w:rFonts w:hint="eastAsia" w:ascii="仿宋_GB2312" w:hAnsi="黑体" w:eastAsia="仿宋_GB2312" w:cs="仿宋_GB2312"/>
          <w:sz w:val="32"/>
          <w:szCs w:val="32"/>
          <w:u w:val="none"/>
          <w:lang w:val="en-US" w:eastAsia="zh-CN"/>
        </w:rPr>
      </w:pPr>
      <w:r>
        <w:rPr>
          <w:rFonts w:hint="eastAsia" w:ascii="仿宋_GB2312" w:hAnsi="黑体" w:eastAsia="仿宋_GB2312" w:cs="仿宋_GB2312"/>
          <w:sz w:val="32"/>
          <w:szCs w:val="32"/>
          <w:u w:val="none"/>
          <w:lang w:val="en-US" w:eastAsia="zh-CN"/>
        </w:rPr>
        <w:t>6.城乡社区（类）城乡社区管理事务（款）行政运行（项）2026年预算数为662.69万元，比上年预算数增加295.25万元，主要是科目调整。</w:t>
      </w:r>
    </w:p>
    <w:p>
      <w:pPr>
        <w:numPr>
          <w:ilvl w:val="-1"/>
          <w:numId w:val="0"/>
        </w:numPr>
        <w:spacing w:line="560" w:lineRule="exact"/>
        <w:ind w:firstLine="640" w:firstLineChars="200"/>
        <w:rPr>
          <w:rFonts w:hint="eastAsia" w:ascii="仿宋_GB2312" w:hAnsi="黑体" w:eastAsia="仿宋_GB2312" w:cs="仿宋_GB2312"/>
          <w:sz w:val="32"/>
          <w:szCs w:val="32"/>
          <w:u w:val="none"/>
          <w:lang w:val="en-US" w:eastAsia="zh-CN"/>
        </w:rPr>
      </w:pPr>
      <w:r>
        <w:rPr>
          <w:rFonts w:hint="eastAsia" w:ascii="仿宋_GB2312" w:hAnsi="黑体" w:eastAsia="仿宋_GB2312" w:cs="仿宋_GB2312"/>
          <w:sz w:val="32"/>
          <w:szCs w:val="32"/>
          <w:u w:val="none"/>
          <w:lang w:val="en-US" w:eastAsia="zh-CN"/>
        </w:rPr>
        <w:t>7.城乡社区（类）城乡社区管理事务（款）一般行政管理事务（项）2026年预算数为47.95万元，比上年预算数减少414.73万元，主要是科目调整。</w:t>
      </w:r>
    </w:p>
    <w:p>
      <w:pPr>
        <w:numPr>
          <w:ilvl w:val="-1"/>
          <w:numId w:val="0"/>
        </w:numPr>
        <w:spacing w:line="560" w:lineRule="exact"/>
        <w:ind w:firstLine="640" w:firstLineChars="200"/>
        <w:rPr>
          <w:rFonts w:hint="eastAsia" w:ascii="仿宋_GB2312" w:hAnsi="黑体" w:eastAsia="仿宋_GB2312" w:cs="仿宋_GB2312"/>
          <w:sz w:val="32"/>
          <w:szCs w:val="32"/>
          <w:u w:val="none"/>
          <w:lang w:val="en-US" w:eastAsia="zh-CN"/>
        </w:rPr>
      </w:pPr>
      <w:r>
        <w:rPr>
          <w:rFonts w:hint="eastAsia" w:ascii="仿宋_GB2312" w:hAnsi="黑体" w:eastAsia="仿宋_GB2312" w:cs="仿宋_GB2312"/>
          <w:sz w:val="32"/>
          <w:szCs w:val="32"/>
          <w:u w:val="none"/>
          <w:lang w:val="en-US" w:eastAsia="zh-CN"/>
        </w:rPr>
        <w:t>8.城乡社区（类）城乡社区管理事务（款）其他城乡社区管理事务支出（项）2026年预算数为1442.22万元，比上年预算数减少57.78万元，主要是物业专项预算减少。</w:t>
      </w:r>
    </w:p>
    <w:p>
      <w:pPr>
        <w:numPr>
          <w:ilvl w:val="-1"/>
          <w:numId w:val="0"/>
        </w:numPr>
        <w:spacing w:line="560" w:lineRule="exact"/>
        <w:ind w:firstLine="640" w:firstLineChars="200"/>
        <w:rPr>
          <w:rFonts w:hint="eastAsia" w:ascii="仿宋_GB2312" w:hAnsi="黑体" w:eastAsia="仿宋_GB2312" w:cs="仿宋_GB2312"/>
          <w:sz w:val="32"/>
          <w:szCs w:val="32"/>
          <w:u w:val="none"/>
          <w:lang w:val="en-US" w:eastAsia="zh-CN"/>
        </w:rPr>
      </w:pPr>
      <w:r>
        <w:rPr>
          <w:rFonts w:hint="eastAsia" w:ascii="仿宋_GB2312" w:hAnsi="黑体" w:eastAsia="仿宋_GB2312" w:cs="仿宋_GB2312"/>
          <w:sz w:val="32"/>
          <w:szCs w:val="32"/>
          <w:u w:val="none"/>
          <w:lang w:val="en-US" w:eastAsia="zh-CN"/>
        </w:rPr>
        <w:t>9.城乡社区（类）城乡社区公共设施（款）其他城乡社区公共设施支出（项）2026年预算数为26.81万元，比上年预算数增加26.81万元，主要是该款项为上年结转。</w:t>
      </w:r>
    </w:p>
    <w:p>
      <w:pPr>
        <w:spacing w:line="560" w:lineRule="exact"/>
        <w:ind w:firstLine="640" w:firstLineChars="200"/>
        <w:rPr>
          <w:rFonts w:hint="eastAsia" w:ascii="仿宋_GB2312" w:hAnsi="黑体" w:eastAsia="仿宋_GB2312" w:cs="仿宋_GB2312"/>
          <w:sz w:val="32"/>
          <w:szCs w:val="32"/>
          <w:u w:val="none"/>
          <w:lang w:val="en-US" w:eastAsia="zh-CN"/>
        </w:rPr>
      </w:pPr>
      <w:r>
        <w:rPr>
          <w:rFonts w:hint="eastAsia" w:ascii="仿宋_GB2312" w:hAnsi="黑体" w:eastAsia="仿宋_GB2312" w:cs="仿宋_GB2312"/>
          <w:sz w:val="32"/>
          <w:szCs w:val="32"/>
          <w:u w:val="none"/>
          <w:lang w:val="en-US" w:eastAsia="zh-CN"/>
        </w:rPr>
        <w:t>10.住房保障（类）住房改革（款）住房公积金（项）2026年预算数为43.28万元，比上年预算数增加6.39万元，主要是人员增加。</w:t>
      </w:r>
    </w:p>
    <w:p>
      <w:pPr>
        <w:spacing w:line="560" w:lineRule="exact"/>
        <w:ind w:firstLine="640"/>
        <w:rPr>
          <w:rFonts w:ascii="黑体" w:hAnsi="黑体" w:eastAsia="黑体"/>
          <w:sz w:val="32"/>
          <w:szCs w:val="32"/>
          <w:u w:val="none"/>
        </w:rPr>
      </w:pPr>
      <w:r>
        <w:rPr>
          <w:rFonts w:hint="eastAsia" w:ascii="黑体" w:hAnsi="黑体" w:eastAsia="黑体"/>
          <w:sz w:val="32"/>
          <w:szCs w:val="32"/>
          <w:u w:val="none"/>
        </w:rPr>
        <w:t>三、一般公共预算基本支出情况说明</w:t>
      </w:r>
    </w:p>
    <w:p>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u w:val="none"/>
          <w:lang w:eastAsia="zh-CN"/>
        </w:rPr>
        <w:t>儋州市房屋征收局（单位）</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年一般公共预算基本支出为</w:t>
      </w:r>
      <w:r>
        <w:rPr>
          <w:rFonts w:hint="eastAsia" w:ascii="仿宋_GB2312" w:hAnsi="黑体" w:eastAsia="仿宋_GB2312" w:cs="仿宋_GB2312"/>
          <w:sz w:val="32"/>
          <w:szCs w:val="32"/>
          <w:u w:val="none"/>
          <w:lang w:val="en-US" w:eastAsia="zh-CN"/>
        </w:rPr>
        <w:t>829.15</w:t>
      </w:r>
      <w:r>
        <w:rPr>
          <w:rFonts w:hint="eastAsia" w:ascii="仿宋_GB2312" w:hAnsi="黑体" w:eastAsia="仿宋_GB2312"/>
          <w:sz w:val="32"/>
          <w:szCs w:val="32"/>
          <w:u w:val="none"/>
        </w:rPr>
        <w:t>万元，其中：</w:t>
      </w:r>
    </w:p>
    <w:p>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u w:val="none"/>
        </w:rPr>
        <w:t>人员经费</w:t>
      </w:r>
      <w:r>
        <w:rPr>
          <w:rFonts w:hint="eastAsia" w:ascii="仿宋_GB2312" w:hAnsi="黑体" w:eastAsia="仿宋_GB2312" w:cs="仿宋_GB2312"/>
          <w:sz w:val="32"/>
          <w:szCs w:val="32"/>
          <w:u w:val="none"/>
          <w:lang w:val="en-US" w:eastAsia="zh-CN"/>
        </w:rPr>
        <w:t>804.09</w:t>
      </w:r>
      <w:r>
        <w:rPr>
          <w:rFonts w:hint="eastAsia" w:ascii="仿宋_GB2312" w:hAnsi="黑体" w:eastAsia="仿宋_GB2312"/>
          <w:sz w:val="32"/>
          <w:szCs w:val="32"/>
          <w:u w:val="none"/>
        </w:rPr>
        <w:t>万元，主要包括：基本工资、津贴补贴、奖金、机关事业单位基本养老保险缴费、职业年金缴费、职工基本医疗保险缴费、公务员医疗补助缴费、其他社会保障缴费、住房公积金、其他工资福利支出</w:t>
      </w:r>
      <w:r>
        <w:rPr>
          <w:rFonts w:hint="eastAsia" w:ascii="仿宋_GB2312" w:hAnsi="黑体" w:eastAsia="仿宋_GB2312"/>
          <w:sz w:val="32"/>
          <w:szCs w:val="32"/>
          <w:u w:val="none"/>
          <w:lang w:eastAsia="zh-CN"/>
        </w:rPr>
        <w:t>、邮电费、委托业务费、其他交通费用；</w:t>
      </w:r>
    </w:p>
    <w:p>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u w:val="none"/>
        </w:rPr>
        <w:t>公用经费</w:t>
      </w:r>
      <w:r>
        <w:rPr>
          <w:rFonts w:hint="eastAsia" w:ascii="仿宋_GB2312" w:hAnsi="黑体" w:eastAsia="仿宋_GB2312" w:cs="仿宋_GB2312"/>
          <w:sz w:val="32"/>
          <w:szCs w:val="32"/>
          <w:u w:val="none"/>
          <w:lang w:val="en-US" w:eastAsia="zh-CN"/>
        </w:rPr>
        <w:t>25.06</w:t>
      </w:r>
      <w:r>
        <w:rPr>
          <w:rFonts w:hint="eastAsia" w:ascii="仿宋_GB2312" w:hAnsi="黑体" w:eastAsia="仿宋_GB2312"/>
          <w:sz w:val="32"/>
          <w:szCs w:val="32"/>
          <w:u w:val="none"/>
        </w:rPr>
        <w:t>万元，主要包括：办公费、水费、电费、邮电费、差旅费、公务接待费、专用材料费、工会经费、公务用车运行维护费、其他商品和服务支出、对个人和家庭的补助、救济费、其他工资福利支出。</w:t>
      </w:r>
    </w:p>
    <w:p>
      <w:pPr>
        <w:numPr>
          <w:ilvl w:val="0"/>
          <w:numId w:val="4"/>
        </w:numPr>
        <w:spacing w:line="560" w:lineRule="exact"/>
        <w:ind w:firstLine="640" w:firstLineChars="200"/>
        <w:rPr>
          <w:rFonts w:hint="eastAsia" w:ascii="黑体" w:hAnsi="黑体" w:eastAsia="黑体" w:cs="Times New Roman"/>
          <w:sz w:val="32"/>
          <w:u w:val="none"/>
          <w:shd w:val="clear" w:color="auto" w:fill="FFFFFF"/>
          <w:lang w:eastAsia="zh-CN"/>
        </w:rPr>
      </w:pPr>
      <w:r>
        <w:rPr>
          <w:rFonts w:hint="eastAsia" w:ascii="黑体" w:hAnsi="黑体" w:eastAsia="黑体" w:cs="Times New Roman"/>
          <w:sz w:val="32"/>
          <w:u w:val="none"/>
          <w:shd w:val="clear" w:color="auto" w:fill="FFFFFF"/>
          <w:lang w:eastAsia="zh-CN"/>
        </w:rPr>
        <w:t>四、“三公”经费预算情况说明</w:t>
      </w:r>
    </w:p>
    <w:p>
      <w:pPr>
        <w:spacing w:line="560" w:lineRule="exact"/>
        <w:ind w:firstLine="640" w:firstLineChars="200"/>
        <w:rPr>
          <w:rFonts w:hint="eastAsia" w:ascii="仿宋_GB2312" w:hAnsi="黑体" w:eastAsia="仿宋_GB2312"/>
          <w:sz w:val="32"/>
          <w:szCs w:val="32"/>
          <w:u w:val="none"/>
        </w:rPr>
      </w:pPr>
      <w:r>
        <w:rPr>
          <w:rFonts w:hint="eastAsia" w:ascii="仿宋_GB2312" w:hAnsi="黑体" w:eastAsia="仿宋_GB2312"/>
          <w:sz w:val="32"/>
          <w:szCs w:val="32"/>
          <w:u w:val="none"/>
        </w:rPr>
        <w:t>（一）</w:t>
      </w:r>
      <w:r>
        <w:rPr>
          <w:rFonts w:hint="eastAsia" w:ascii="仿宋_GB2312" w:hAnsi="黑体" w:eastAsia="仿宋_GB2312"/>
          <w:sz w:val="32"/>
          <w:szCs w:val="32"/>
          <w:u w:val="none"/>
          <w:lang w:eastAsia="zh-CN"/>
        </w:rPr>
        <w:t>儋州市房屋征收局</w:t>
      </w:r>
      <w:r>
        <w:rPr>
          <w:rFonts w:hint="eastAsia" w:ascii="仿宋_GB2312" w:hAnsi="黑体" w:eastAsia="仿宋_GB2312"/>
          <w:sz w:val="32"/>
          <w:szCs w:val="32"/>
          <w:u w:val="none"/>
          <w:lang w:eastAsia="zh-CN"/>
        </w:rPr>
        <w:t>（单位）</w:t>
      </w:r>
      <w:r>
        <w:rPr>
          <w:rFonts w:hint="eastAsia" w:ascii="仿宋_GB2312" w:hAnsi="黑体" w:eastAsia="仿宋_GB2312"/>
          <w:sz w:val="32"/>
          <w:szCs w:val="32"/>
          <w:u w:val="none"/>
          <w:lang w:val="en-US" w:eastAsia="zh-CN"/>
        </w:rPr>
        <w:t>2026</w:t>
      </w:r>
      <w:r>
        <w:rPr>
          <w:rFonts w:hint="eastAsia" w:ascii="仿宋_GB2312" w:hAnsi="黑体" w:eastAsia="仿宋_GB2312"/>
          <w:sz w:val="32"/>
          <w:szCs w:val="32"/>
          <w:u w:val="none"/>
        </w:rPr>
        <w:t>年一般公共预算“三公”经费预算数为</w:t>
      </w:r>
      <w:r>
        <w:rPr>
          <w:rFonts w:hint="eastAsia" w:ascii="仿宋_GB2312" w:hAnsi="黑体" w:eastAsia="仿宋_GB2312"/>
          <w:sz w:val="32"/>
          <w:szCs w:val="32"/>
          <w:u w:val="none"/>
          <w:lang w:val="en-US" w:eastAsia="zh-CN"/>
        </w:rPr>
        <w:t>3.25</w:t>
      </w:r>
      <w:r>
        <w:rPr>
          <w:rFonts w:hint="eastAsia" w:ascii="仿宋_GB2312" w:hAnsi="黑体" w:eastAsia="仿宋_GB2312"/>
          <w:sz w:val="32"/>
          <w:szCs w:val="32"/>
          <w:u w:val="none"/>
        </w:rPr>
        <w:t>万元，其中：</w:t>
      </w:r>
    </w:p>
    <w:p>
      <w:pPr>
        <w:spacing w:line="560" w:lineRule="exact"/>
        <w:ind w:firstLine="640" w:firstLineChars="200"/>
        <w:rPr>
          <w:rFonts w:hint="eastAsia" w:ascii="仿宋_GB2312" w:hAnsi="黑体" w:eastAsia="仿宋_GB2312"/>
          <w:sz w:val="32"/>
          <w:szCs w:val="32"/>
          <w:u w:val="none"/>
          <w:lang w:eastAsia="zh-CN"/>
        </w:rPr>
      </w:pPr>
      <w:r>
        <w:rPr>
          <w:rFonts w:hint="eastAsia" w:ascii="仿宋_GB2312" w:hAnsi="黑体" w:eastAsia="仿宋_GB2312"/>
          <w:sz w:val="32"/>
          <w:szCs w:val="32"/>
          <w:u w:val="none"/>
        </w:rPr>
        <w:t>因公出国（境）经费0万元，与上年预算持平。2026年无计划出国（境）安排。</w:t>
      </w:r>
    </w:p>
    <w:p>
      <w:pPr>
        <w:spacing w:line="560" w:lineRule="exact"/>
        <w:ind w:firstLine="640" w:firstLineChars="200"/>
        <w:rPr>
          <w:rFonts w:hint="eastAsia" w:ascii="仿宋_GB2312" w:hAnsi="黑体" w:eastAsia="仿宋_GB2312"/>
          <w:sz w:val="32"/>
          <w:szCs w:val="32"/>
          <w:u w:val="none"/>
        </w:rPr>
      </w:pPr>
      <w:r>
        <w:rPr>
          <w:rFonts w:hint="eastAsia" w:ascii="仿宋_GB2312" w:hAnsi="黑体" w:eastAsia="仿宋_GB2312"/>
          <w:sz w:val="32"/>
          <w:szCs w:val="32"/>
          <w:u w:val="none"/>
        </w:rPr>
        <w:t>公务用车购置及运行费2.25万元（其中，公务用车购置费0万元，公务用车运行费2.25万元），较上年预算增长73.08%，增长的主要原因包括：油价不断上升，且2025年公车预算做得偏低；公务车保有量1辆，无购置计划。</w:t>
      </w:r>
    </w:p>
    <w:p>
      <w:pPr>
        <w:spacing w:line="560" w:lineRule="exact"/>
        <w:ind w:firstLine="640" w:firstLineChars="200"/>
        <w:rPr>
          <w:rFonts w:hint="eastAsia" w:ascii="仿宋_GB2312" w:hAnsi="黑体" w:eastAsia="仿宋_GB2312"/>
          <w:sz w:val="32"/>
          <w:szCs w:val="32"/>
          <w:u w:val="none"/>
        </w:rPr>
      </w:pPr>
      <w:r>
        <w:rPr>
          <w:rFonts w:hint="eastAsia" w:ascii="仿宋_GB2312" w:hAnsi="黑体" w:eastAsia="仿宋_GB2312"/>
          <w:sz w:val="32"/>
          <w:szCs w:val="32"/>
          <w:u w:val="none"/>
        </w:rPr>
        <w:t>公务接待费1万元，与上年预算持平。</w:t>
      </w:r>
    </w:p>
    <w:p>
      <w:pPr>
        <w:spacing w:line="560" w:lineRule="exact"/>
        <w:ind w:firstLine="640" w:firstLineChars="200"/>
        <w:rPr>
          <w:rFonts w:hint="eastAsia" w:ascii="仿宋_GB2312" w:hAnsi="黑体" w:eastAsia="仿宋_GB2312"/>
          <w:sz w:val="32"/>
          <w:szCs w:val="32"/>
          <w:u w:val="none"/>
        </w:rPr>
      </w:pPr>
      <w:r>
        <w:rPr>
          <w:rFonts w:hint="eastAsia" w:ascii="仿宋_GB2312" w:hAnsi="黑体" w:eastAsia="仿宋_GB2312"/>
          <w:sz w:val="32"/>
          <w:szCs w:val="32"/>
          <w:u w:val="none"/>
        </w:rPr>
        <w:t>（二）</w:t>
      </w:r>
      <w:r>
        <w:rPr>
          <w:rFonts w:hint="eastAsia" w:ascii="仿宋_GB2312" w:hAnsi="黑体" w:eastAsia="仿宋_GB2312"/>
          <w:sz w:val="32"/>
          <w:szCs w:val="32"/>
          <w:u w:val="none"/>
          <w:lang w:eastAsia="zh-CN"/>
        </w:rPr>
        <w:t>儋州市房屋征收局</w:t>
      </w:r>
      <w:r>
        <w:rPr>
          <w:rFonts w:hint="eastAsia" w:ascii="仿宋_GB2312" w:hAnsi="黑体" w:eastAsia="仿宋_GB2312"/>
          <w:sz w:val="32"/>
          <w:szCs w:val="32"/>
          <w:u w:val="none"/>
          <w:lang w:eastAsia="zh-CN"/>
        </w:rPr>
        <w:t>（单位）2</w:t>
      </w:r>
      <w:r>
        <w:rPr>
          <w:rFonts w:hint="eastAsia" w:ascii="仿宋_GB2312" w:hAnsi="黑体" w:eastAsia="仿宋_GB2312"/>
          <w:sz w:val="32"/>
          <w:szCs w:val="32"/>
          <w:u w:val="none"/>
          <w:lang w:val="en-US" w:eastAsia="zh-CN"/>
        </w:rPr>
        <w:t>026</w:t>
      </w:r>
      <w:r>
        <w:rPr>
          <w:rFonts w:hint="eastAsia" w:ascii="仿宋_GB2312" w:hAnsi="黑体" w:eastAsia="仿宋_GB2312"/>
          <w:sz w:val="32"/>
          <w:szCs w:val="32"/>
          <w:u w:val="none"/>
        </w:rPr>
        <w:t>年政府性基金预算“三公”经费预算数为</w:t>
      </w:r>
      <w:r>
        <w:rPr>
          <w:rFonts w:hint="eastAsia" w:ascii="仿宋_GB2312" w:hAnsi="黑体" w:eastAsia="仿宋_GB2312"/>
          <w:sz w:val="32"/>
          <w:szCs w:val="32"/>
          <w:u w:val="none"/>
          <w:lang w:val="en-US" w:eastAsia="zh-CN"/>
        </w:rPr>
        <w:t>0</w:t>
      </w:r>
      <w:r>
        <w:rPr>
          <w:rFonts w:hint="eastAsia" w:ascii="仿宋_GB2312" w:hAnsi="黑体" w:eastAsia="仿宋_GB2312"/>
          <w:sz w:val="32"/>
          <w:szCs w:val="32"/>
          <w:u w:val="none"/>
        </w:rPr>
        <w:t>万元，其中：</w:t>
      </w:r>
    </w:p>
    <w:p>
      <w:pPr>
        <w:spacing w:line="560" w:lineRule="exact"/>
        <w:ind w:firstLine="640" w:firstLineChars="200"/>
        <w:rPr>
          <w:rFonts w:hint="eastAsia" w:ascii="仿宋_GB2312" w:hAnsi="黑体" w:eastAsia="仿宋_GB2312"/>
          <w:sz w:val="32"/>
          <w:szCs w:val="32"/>
          <w:u w:val="none"/>
        </w:rPr>
      </w:pPr>
      <w:r>
        <w:rPr>
          <w:rFonts w:hint="eastAsia" w:ascii="仿宋_GB2312" w:hAnsi="黑体" w:eastAsia="仿宋_GB2312"/>
          <w:sz w:val="32"/>
          <w:szCs w:val="32"/>
          <w:u w:val="none"/>
        </w:rPr>
        <w:t>因公出国（境）经费0万元，与上年预算持平。2026年无计划出国（境）安排。</w:t>
      </w:r>
    </w:p>
    <w:p>
      <w:pPr>
        <w:spacing w:line="560" w:lineRule="exact"/>
        <w:ind w:firstLine="640" w:firstLineChars="200"/>
        <w:rPr>
          <w:rFonts w:hint="eastAsia" w:ascii="仿宋_GB2312" w:hAnsi="黑体" w:eastAsia="仿宋_GB2312"/>
          <w:sz w:val="32"/>
          <w:szCs w:val="32"/>
          <w:u w:val="none"/>
        </w:rPr>
      </w:pPr>
      <w:r>
        <w:rPr>
          <w:rFonts w:hint="eastAsia" w:ascii="仿宋_GB2312" w:hAnsi="黑体" w:eastAsia="仿宋_GB2312"/>
          <w:sz w:val="32"/>
          <w:szCs w:val="32"/>
          <w:u w:val="none"/>
        </w:rPr>
        <w:t>公务用车购置及运行费0万元，与上年预算持平。</w:t>
      </w:r>
    </w:p>
    <w:p>
      <w:pPr>
        <w:spacing w:line="560" w:lineRule="exact"/>
        <w:ind w:firstLine="640" w:firstLineChars="200"/>
        <w:rPr>
          <w:rFonts w:hint="eastAsia" w:ascii="仿宋_GB2312" w:hAnsi="黑体" w:eastAsia="仿宋_GB2312"/>
          <w:sz w:val="32"/>
          <w:szCs w:val="32"/>
          <w:u w:val="none"/>
        </w:rPr>
      </w:pPr>
      <w:r>
        <w:rPr>
          <w:rFonts w:hint="eastAsia" w:ascii="仿宋_GB2312" w:hAnsi="黑体" w:eastAsia="仿宋_GB2312"/>
          <w:sz w:val="32"/>
          <w:szCs w:val="32"/>
          <w:u w:val="none"/>
        </w:rPr>
        <w:t>公务接待费0万元，与上年预算持平。</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rPr>
        <w:t>五、政府性基金预算当年拨款情况说明</w:t>
      </w:r>
    </w:p>
    <w:p>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（一）政府性基金预算当年规模变化情况</w:t>
      </w:r>
    </w:p>
    <w:p>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u w:val="none"/>
        </w:rPr>
        <w:t>本部门2026年政府性基金预算当年拨款0万元，与上年持平。</w:t>
      </w:r>
    </w:p>
    <w:p>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（二）政府性基金预算当年拨款结构情况</w:t>
      </w:r>
    </w:p>
    <w:p>
      <w:pPr>
        <w:spacing w:line="560" w:lineRule="exact"/>
        <w:ind w:firstLine="800" w:firstLineChars="250"/>
        <w:rPr>
          <w:rFonts w:ascii="仿宋_GB2312" w:hAnsi="黑体" w:eastAsia="仿宋_GB2312"/>
          <w:sz w:val="32"/>
          <w:szCs w:val="32"/>
          <w:u w:val="none"/>
        </w:rPr>
      </w:pPr>
      <w:r>
        <w:rPr>
          <w:rFonts w:hint="eastAsia" w:ascii="仿宋_GB2312" w:hAnsi="黑体" w:eastAsia="仿宋_GB2312" w:cs="仿宋_GB2312"/>
          <w:sz w:val="32"/>
          <w:szCs w:val="32"/>
          <w:u w:val="none"/>
          <w:lang w:eastAsia="zh-CN"/>
        </w:rPr>
        <w:t>无</w:t>
      </w:r>
      <w:r>
        <w:rPr>
          <w:rFonts w:hint="eastAsia" w:ascii="仿宋_GB2312" w:hAnsi="黑体" w:eastAsia="仿宋_GB2312"/>
          <w:sz w:val="32"/>
          <w:szCs w:val="32"/>
          <w:u w:val="none"/>
        </w:rPr>
        <w:t>。</w:t>
      </w:r>
    </w:p>
    <w:p>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（三）政府性基金预算当年拨款具体使用情况</w:t>
      </w:r>
    </w:p>
    <w:p>
      <w:pPr>
        <w:spacing w:line="560" w:lineRule="exact"/>
        <w:ind w:firstLine="0" w:firstLineChars="0"/>
        <w:rPr>
          <w:rFonts w:hint="eastAsia" w:ascii="仿宋_GB2312" w:hAnsi="黑体" w:eastAsia="仿宋_GB2312" w:cs="仿宋_GB2312"/>
          <w:sz w:val="32"/>
          <w:szCs w:val="32"/>
          <w:u w:val="none"/>
          <w:lang w:eastAsia="zh-CN"/>
        </w:rPr>
      </w:pPr>
      <w:r>
        <w:rPr>
          <w:rFonts w:hint="eastAsia" w:ascii="仿宋_GB2312" w:hAnsi="黑体" w:eastAsia="仿宋_GB2312" w:cs="仿宋_GB2312"/>
          <w:sz w:val="32"/>
          <w:szCs w:val="32"/>
          <w:u w:val="none"/>
          <w:lang w:val="en-US" w:eastAsia="zh-CN"/>
        </w:rPr>
        <w:t xml:space="preserve">     无。</w:t>
      </w:r>
    </w:p>
    <w:p>
      <w:pPr>
        <w:numPr>
          <w:ilvl w:val="0"/>
          <w:numId w:val="4"/>
        </w:numPr>
        <w:spacing w:line="560" w:lineRule="exact"/>
        <w:ind w:firstLine="640" w:firstLineChars="200"/>
        <w:rPr>
          <w:rFonts w:hint="eastAsia" w:ascii="黑体" w:hAnsi="黑体" w:eastAsia="黑体" w:cs="Times New Roman"/>
          <w:sz w:val="32"/>
          <w:u w:val="none"/>
          <w:shd w:val="clear" w:color="auto" w:fill="FFFFFF"/>
          <w:lang w:eastAsia="zh-CN"/>
        </w:rPr>
      </w:pPr>
      <w:r>
        <w:rPr>
          <w:rFonts w:hint="eastAsia" w:ascii="黑体" w:hAnsi="黑体" w:eastAsia="黑体" w:cs="Times New Roman"/>
          <w:sz w:val="32"/>
          <w:u w:val="none"/>
          <w:shd w:val="clear" w:color="auto" w:fill="FFFFFF"/>
          <w:lang w:eastAsia="zh-CN"/>
        </w:rPr>
        <w:t>国有资本经营预算当年拨款情况说明</w:t>
      </w:r>
    </w:p>
    <w:p>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u w:val="none"/>
          <w:lang w:eastAsia="zh-CN"/>
        </w:rPr>
        <w:t>儋州市房屋征收局（单位）</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w:t>
      </w:r>
      <w:r>
        <w:rPr>
          <w:rFonts w:hint="eastAsia" w:ascii="仿宋_GB2312" w:hAnsi="黑体" w:eastAsia="仿宋_GB2312"/>
          <w:sz w:val="32"/>
          <w:szCs w:val="32"/>
          <w:u w:val="none"/>
          <w:lang w:eastAsia="zh-CN"/>
        </w:rPr>
        <w:t>国有资本经营预算当年拨款0万元，与上年持平。</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七、</w:t>
      </w:r>
      <w:r>
        <w:rPr>
          <w:rFonts w:hint="eastAsia" w:ascii="黑体" w:hAnsi="黑体" w:eastAsia="黑体" w:cs="Times New Roman"/>
          <w:sz w:val="32"/>
          <w:u w:val="none"/>
          <w:shd w:val="clear" w:color="auto" w:fill="FFFFFF"/>
        </w:rPr>
        <w:t>收支预算总体情况说明</w:t>
      </w:r>
    </w:p>
    <w:p>
      <w:pPr>
        <w:spacing w:line="560" w:lineRule="exact"/>
        <w:ind w:firstLine="640" w:firstLineChars="200"/>
        <w:rPr>
          <w:rFonts w:hint="eastAsia" w:ascii="仿宋_GB2312" w:hAnsi="黑体" w:eastAsia="仿宋_GB2312"/>
          <w:sz w:val="32"/>
          <w:szCs w:val="32"/>
          <w:u w:val="none"/>
        </w:rPr>
      </w:pPr>
      <w:r>
        <w:rPr>
          <w:rFonts w:hint="eastAsia" w:ascii="仿宋_GB2312" w:hAnsi="黑体" w:eastAsia="仿宋_GB2312" w:cs="仿宋_GB2312"/>
          <w:sz w:val="32"/>
          <w:szCs w:val="32"/>
          <w:u w:val="none"/>
        </w:rPr>
        <w:t>按照综合预算原则，</w:t>
      </w:r>
      <w:r>
        <w:rPr>
          <w:rFonts w:hint="eastAsia" w:ascii="仿宋_GB2312" w:hAnsi="黑体" w:eastAsia="仿宋_GB2312" w:cs="仿宋_GB2312"/>
          <w:sz w:val="32"/>
          <w:szCs w:val="32"/>
          <w:u w:val="none"/>
          <w:lang w:eastAsia="zh-CN"/>
        </w:rPr>
        <w:t>儋州市房屋征收局</w:t>
      </w:r>
      <w:r>
        <w:rPr>
          <w:rFonts w:hint="eastAsia" w:ascii="仿宋_GB2312" w:hAnsi="黑体" w:eastAsia="仿宋_GB2312"/>
          <w:sz w:val="32"/>
          <w:szCs w:val="32"/>
          <w:u w:val="none"/>
          <w:lang w:eastAsia="zh-CN"/>
        </w:rPr>
        <w:t>（单位）</w:t>
      </w:r>
      <w:r>
        <w:rPr>
          <w:rFonts w:hint="eastAsia" w:ascii="仿宋_GB2312" w:hAnsi="黑体" w:eastAsia="仿宋_GB2312" w:cs="仿宋_GB2312"/>
          <w:sz w:val="32"/>
          <w:szCs w:val="32"/>
          <w:u w:val="none"/>
        </w:rPr>
        <w:t>所有收入和支出均纳入部门预算管理。</w:t>
      </w:r>
      <w:r>
        <w:rPr>
          <w:rFonts w:hint="eastAsia" w:ascii="仿宋_GB2312" w:hAnsi="黑体" w:eastAsia="仿宋_GB2312" w:cs="仿宋_GB2312"/>
          <w:sz w:val="32"/>
          <w:szCs w:val="32"/>
          <w:u w:val="none"/>
          <w:lang w:eastAsia="zh-CN"/>
        </w:rPr>
        <w:t>儋州市房屋征收局</w:t>
      </w:r>
      <w:r>
        <w:rPr>
          <w:rFonts w:hint="eastAsia" w:ascii="仿宋_GB2312" w:hAnsi="黑体" w:eastAsia="仿宋_GB2312" w:cs="仿宋_GB2312"/>
          <w:sz w:val="32"/>
          <w:szCs w:val="32"/>
          <w:u w:val="none"/>
        </w:rPr>
        <w:t>（单位）</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年收支总预算</w:t>
      </w:r>
      <w:r>
        <w:rPr>
          <w:rFonts w:hint="eastAsia" w:ascii="仿宋_GB2312" w:hAnsi="黑体" w:eastAsia="仿宋_GB2312" w:cs="仿宋_GB2312"/>
          <w:sz w:val="32"/>
          <w:szCs w:val="32"/>
          <w:u w:val="none"/>
          <w:lang w:val="en-US" w:eastAsia="zh-CN"/>
        </w:rPr>
        <w:t>13964.8</w:t>
      </w:r>
      <w:r>
        <w:rPr>
          <w:rFonts w:hint="eastAsia" w:ascii="仿宋_GB2312" w:hAnsi="黑体" w:eastAsia="仿宋_GB2312"/>
          <w:sz w:val="32"/>
          <w:szCs w:val="32"/>
          <w:u w:val="none"/>
        </w:rPr>
        <w:t>万元</w:t>
      </w:r>
      <w:r>
        <w:rPr>
          <w:rFonts w:hint="eastAsia" w:ascii="仿宋_GB2312" w:hAnsi="黑体" w:eastAsia="仿宋_GB2312"/>
          <w:sz w:val="32"/>
          <w:szCs w:val="32"/>
          <w:highlight w:val="none"/>
          <w:u w:val="none"/>
        </w:rPr>
        <w:t>。</w:t>
      </w:r>
      <w:r>
        <w:rPr>
          <w:rFonts w:hint="eastAsia" w:ascii="仿宋_GB2312" w:hAnsi="黑体" w:eastAsia="仿宋_GB2312" w:cs="仿宋_GB2312"/>
          <w:sz w:val="32"/>
          <w:szCs w:val="32"/>
          <w:highlight w:val="none"/>
          <w:u w:val="none"/>
        </w:rPr>
        <w:t>收入包括：一般公共预算收入、上年结转资金；支出包括：一般公共服务支出、社会保障和就业支出、卫生健康支出、城乡社区支出、住房保障支出。</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八</w:t>
      </w:r>
      <w:r>
        <w:rPr>
          <w:rFonts w:hint="eastAsia" w:ascii="黑体" w:hAnsi="黑体" w:eastAsia="黑体" w:cs="Times New Roman"/>
          <w:sz w:val="32"/>
          <w:u w:val="none"/>
          <w:shd w:val="clear" w:color="auto" w:fill="FFFFFF"/>
        </w:rPr>
        <w:t>、收入预算情况说明</w:t>
      </w:r>
    </w:p>
    <w:p>
      <w:pPr>
        <w:spacing w:line="560" w:lineRule="exact"/>
        <w:ind w:firstLine="640" w:firstLineChars="200"/>
        <w:rPr>
          <w:rFonts w:ascii="仿宋_GB2312" w:hAnsi="黑体" w:eastAsia="仿宋_GB2312"/>
          <w:sz w:val="32"/>
          <w:szCs w:val="32"/>
          <w:u w:val="none"/>
        </w:rPr>
      </w:pPr>
      <w:r>
        <w:rPr>
          <w:rFonts w:hint="eastAsia" w:ascii="仿宋_GB2312" w:hAnsi="黑体" w:eastAsia="仿宋_GB2312" w:cs="仿宋_GB2312"/>
          <w:sz w:val="32"/>
          <w:szCs w:val="32"/>
          <w:u w:val="none"/>
          <w:lang w:eastAsia="zh-CN"/>
        </w:rPr>
        <w:t>儋州市房屋征收局</w:t>
      </w:r>
      <w:r>
        <w:rPr>
          <w:rFonts w:hint="eastAsia" w:ascii="仿宋_GB2312" w:hAnsi="黑体" w:eastAsia="仿宋_GB2312"/>
          <w:sz w:val="32"/>
          <w:szCs w:val="32"/>
          <w:u w:val="none"/>
          <w:lang w:eastAsia="zh-CN"/>
        </w:rPr>
        <w:t>（单位）</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年收入预算</w:t>
      </w:r>
      <w:r>
        <w:rPr>
          <w:rFonts w:hint="eastAsia" w:ascii="仿宋_GB2312" w:hAnsi="黑体" w:eastAsia="仿宋_GB2312" w:cs="仿宋_GB2312"/>
          <w:sz w:val="32"/>
          <w:szCs w:val="32"/>
          <w:u w:val="none"/>
          <w:lang w:val="en-US" w:eastAsia="zh-CN"/>
        </w:rPr>
        <w:t>13964.8</w:t>
      </w:r>
      <w:r>
        <w:rPr>
          <w:rFonts w:hint="eastAsia" w:ascii="仿宋_GB2312" w:hAnsi="黑体" w:eastAsia="仿宋_GB2312"/>
          <w:sz w:val="32"/>
          <w:szCs w:val="32"/>
          <w:u w:val="none"/>
        </w:rPr>
        <w:t>万元，其中：上年结转</w:t>
      </w:r>
      <w:r>
        <w:rPr>
          <w:rFonts w:hint="eastAsia" w:ascii="仿宋_GB2312" w:hAnsi="黑体" w:eastAsia="仿宋_GB2312" w:cs="仿宋_GB2312"/>
          <w:sz w:val="32"/>
          <w:szCs w:val="32"/>
          <w:u w:val="none"/>
          <w:lang w:val="en-US" w:eastAsia="zh-CN"/>
        </w:rPr>
        <w:t>11502.44</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82.37</w:t>
      </w:r>
      <w:r>
        <w:rPr>
          <w:rFonts w:hint="eastAsia" w:ascii="仿宋_GB2312" w:hAnsi="黑体" w:eastAsia="仿宋_GB2312"/>
          <w:sz w:val="32"/>
          <w:szCs w:val="32"/>
          <w:u w:val="none"/>
        </w:rPr>
        <w:t>%；</w:t>
      </w:r>
      <w:r>
        <w:rPr>
          <w:rFonts w:hint="eastAsia" w:ascii="仿宋_GB2312" w:hAnsi="黑体" w:eastAsia="仿宋_GB2312"/>
          <w:sz w:val="32"/>
          <w:szCs w:val="32"/>
          <w:u w:val="none"/>
          <w:lang w:eastAsia="zh-CN"/>
        </w:rPr>
        <w:t>一般公共预算</w:t>
      </w:r>
      <w:r>
        <w:rPr>
          <w:rFonts w:hint="eastAsia" w:ascii="仿宋_GB2312" w:hAnsi="黑体" w:eastAsia="仿宋_GB2312"/>
          <w:sz w:val="32"/>
          <w:szCs w:val="32"/>
          <w:u w:val="none"/>
        </w:rPr>
        <w:t>拨款收入</w:t>
      </w:r>
      <w:r>
        <w:rPr>
          <w:rFonts w:hint="eastAsia" w:ascii="仿宋_GB2312" w:hAnsi="黑体" w:eastAsia="仿宋_GB2312" w:cs="仿宋_GB2312"/>
          <w:sz w:val="32"/>
          <w:szCs w:val="32"/>
          <w:u w:val="none"/>
          <w:lang w:val="en-US" w:eastAsia="zh-CN"/>
        </w:rPr>
        <w:t>2462.36</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17.63</w:t>
      </w:r>
      <w:r>
        <w:rPr>
          <w:rFonts w:hint="eastAsia" w:ascii="仿宋_GB2312" w:hAnsi="黑体" w:eastAsia="仿宋_GB2312"/>
          <w:sz w:val="32"/>
          <w:szCs w:val="32"/>
          <w:u w:val="none"/>
        </w:rPr>
        <w:t>%</w:t>
      </w:r>
      <w:r>
        <w:rPr>
          <w:rFonts w:hint="eastAsia" w:ascii="仿宋_GB2312" w:hAnsi="黑体" w:eastAsia="仿宋_GB2312"/>
          <w:sz w:val="32"/>
          <w:szCs w:val="32"/>
          <w:highlight w:val="none"/>
          <w:u w:val="none"/>
        </w:rPr>
        <w:t>。</w:t>
      </w:r>
      <w:r>
        <w:rPr>
          <w:rFonts w:hint="eastAsia" w:ascii="仿宋_GB2312" w:hAnsi="黑体" w:eastAsia="仿宋_GB2312"/>
          <w:sz w:val="32"/>
          <w:szCs w:val="32"/>
          <w:u w:val="none"/>
        </w:rPr>
        <w:t>比上年预算数</w:t>
      </w:r>
      <w:r>
        <w:rPr>
          <w:rFonts w:hint="eastAsia" w:ascii="仿宋_GB2312" w:hAnsi="黑体" w:eastAsia="仿宋_GB2312" w:cs="仿宋_GB2312"/>
          <w:sz w:val="32"/>
          <w:szCs w:val="32"/>
          <w:u w:val="none"/>
        </w:rPr>
        <w:t>增加</w:t>
      </w:r>
      <w:r>
        <w:rPr>
          <w:rFonts w:hint="eastAsia" w:ascii="仿宋_GB2312" w:hAnsi="黑体" w:eastAsia="仿宋_GB2312" w:cs="仿宋_GB2312"/>
          <w:sz w:val="32"/>
          <w:szCs w:val="32"/>
          <w:u w:val="none"/>
          <w:lang w:val="en-US" w:eastAsia="zh-CN"/>
        </w:rPr>
        <w:t>9304.43</w:t>
      </w:r>
      <w:r>
        <w:rPr>
          <w:rFonts w:hint="eastAsia" w:ascii="仿宋_GB2312" w:hAnsi="黑体" w:eastAsia="仿宋_GB2312"/>
          <w:sz w:val="32"/>
          <w:szCs w:val="32"/>
          <w:u w:val="none"/>
        </w:rPr>
        <w:t>万元，主要是上年结转资金增加。</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九</w:t>
      </w:r>
      <w:r>
        <w:rPr>
          <w:rFonts w:hint="eastAsia" w:ascii="黑体" w:hAnsi="黑体" w:eastAsia="黑体" w:cs="Times New Roman"/>
          <w:sz w:val="32"/>
          <w:u w:val="none"/>
          <w:shd w:val="clear" w:color="auto" w:fill="FFFFFF"/>
        </w:rPr>
        <w:t>、支出预算情况说明</w:t>
      </w:r>
    </w:p>
    <w:p>
      <w:pPr>
        <w:keepNext w:val="0"/>
        <w:keepLines w:val="0"/>
        <w:widowControl w:val="0"/>
        <w:suppressLineNumbers w:val="0"/>
        <w:spacing w:before="0" w:beforeAutospacing="0" w:after="0" w:afterAutospacing="0"/>
        <w:ind w:left="0" w:right="0" w:firstLine="640" w:firstLineChars="200"/>
        <w:jc w:val="both"/>
      </w:pPr>
      <w:r>
        <w:rPr>
          <w:rFonts w:hint="eastAsia" w:ascii="仿宋_GB2312" w:hAnsi="黑体" w:eastAsia="仿宋_GB2312" w:cs="仿宋_GB2312"/>
          <w:sz w:val="32"/>
          <w:szCs w:val="32"/>
          <w:u w:val="none"/>
          <w:lang w:eastAsia="zh-CN"/>
        </w:rPr>
        <w:t>儋州市房屋征收局</w:t>
      </w:r>
      <w:r>
        <w:rPr>
          <w:rFonts w:hint="eastAsia" w:ascii="仿宋_GB2312" w:hAnsi="黑体" w:eastAsia="仿宋_GB2312"/>
          <w:sz w:val="32"/>
          <w:szCs w:val="32"/>
          <w:u w:val="none"/>
          <w:lang w:eastAsia="zh-CN"/>
        </w:rPr>
        <w:t>（单位）</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年支出预算</w:t>
      </w:r>
      <w:r>
        <w:rPr>
          <w:rFonts w:hint="eastAsia" w:ascii="仿宋_GB2312" w:hAnsi="黑体" w:eastAsia="仿宋_GB2312" w:cs="仿宋_GB2312"/>
          <w:sz w:val="32"/>
          <w:szCs w:val="32"/>
          <w:u w:val="none"/>
          <w:lang w:val="en-US" w:eastAsia="zh-CN"/>
        </w:rPr>
        <w:t>13964.8</w:t>
      </w:r>
      <w:r>
        <w:rPr>
          <w:rFonts w:hint="eastAsia" w:ascii="仿宋_GB2312" w:hAnsi="黑体" w:eastAsia="仿宋_GB2312"/>
          <w:sz w:val="32"/>
          <w:szCs w:val="32"/>
          <w:u w:val="none"/>
        </w:rPr>
        <w:t>万元，其中：基本支出</w:t>
      </w:r>
      <w:r>
        <w:rPr>
          <w:rFonts w:hint="eastAsia" w:ascii="仿宋_GB2312" w:hAnsi="黑体" w:eastAsia="仿宋_GB2312" w:cs="仿宋_GB2312"/>
          <w:sz w:val="32"/>
          <w:szCs w:val="32"/>
          <w:u w:val="none"/>
          <w:lang w:val="en-US" w:eastAsia="zh-CN"/>
        </w:rPr>
        <w:t>829.15</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5.94</w:t>
      </w:r>
      <w:r>
        <w:rPr>
          <w:rFonts w:hint="eastAsia" w:ascii="仿宋_GB2312" w:hAnsi="黑体" w:eastAsia="仿宋_GB2312"/>
          <w:sz w:val="32"/>
          <w:szCs w:val="32"/>
          <w:u w:val="none"/>
        </w:rPr>
        <w:t>%；项目支出</w:t>
      </w:r>
      <w:r>
        <w:rPr>
          <w:rFonts w:hint="eastAsia" w:ascii="仿宋_GB2312" w:hAnsi="黑体" w:eastAsia="仿宋_GB2312" w:cs="仿宋_GB2312"/>
          <w:sz w:val="32"/>
          <w:szCs w:val="32"/>
          <w:u w:val="none"/>
          <w:lang w:val="en-US" w:eastAsia="zh-CN"/>
        </w:rPr>
        <w:t>13135.65</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94.06</w:t>
      </w:r>
      <w:r>
        <w:rPr>
          <w:rFonts w:hint="eastAsia" w:ascii="仿宋_GB2312" w:hAnsi="黑体" w:eastAsia="仿宋_GB2312"/>
          <w:sz w:val="32"/>
          <w:szCs w:val="32"/>
          <w:u w:val="none"/>
        </w:rPr>
        <w:t>%。</w:t>
      </w:r>
      <w:r>
        <w:rPr>
          <w:rFonts w:hint="eastAsia" w:ascii="仿宋_GB2312" w:hAnsi="黑体" w:eastAsia="仿宋_GB2312"/>
          <w:sz w:val="32"/>
          <w:szCs w:val="32"/>
          <w:u w:val="none"/>
        </w:rPr>
        <w:t>比上年预算数增加9304.43万元，主要是上年结转资金增加。其中委托业务费预算总额247万元，比上年预算数增加247万元。</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十</w:t>
      </w:r>
      <w:r>
        <w:rPr>
          <w:rFonts w:hint="eastAsia" w:ascii="黑体" w:hAnsi="黑体" w:eastAsia="黑体" w:cs="Times New Roman"/>
          <w:sz w:val="32"/>
          <w:u w:val="none"/>
          <w:shd w:val="clear" w:color="auto" w:fill="FFFFFF"/>
        </w:rPr>
        <w:t>、其他重要事项的情况说明</w:t>
      </w:r>
    </w:p>
    <w:p>
      <w:pPr>
        <w:spacing w:line="560" w:lineRule="exact"/>
        <w:ind w:firstLine="640" w:firstLineChars="200"/>
        <w:rPr>
          <w:rFonts w:ascii="楷体" w:hAnsi="楷体" w:eastAsia="楷体"/>
          <w:sz w:val="32"/>
          <w:szCs w:val="32"/>
          <w:u w:val="none"/>
        </w:rPr>
      </w:pPr>
      <w:r>
        <w:rPr>
          <w:rFonts w:hint="eastAsia" w:ascii="楷体" w:hAnsi="楷体" w:eastAsia="楷体"/>
          <w:sz w:val="32"/>
          <w:szCs w:val="32"/>
          <w:u w:val="none"/>
        </w:rPr>
        <w:t>（一）机关运行经费</w:t>
      </w:r>
    </w:p>
    <w:p>
      <w:pPr>
        <w:spacing w:line="560" w:lineRule="exact"/>
        <w:ind w:firstLine="640" w:firstLineChars="200"/>
        <w:rPr>
          <w:rFonts w:ascii="仿宋_GB2312" w:hAnsi="黑体" w:eastAsia="仿宋_GB2312"/>
          <w:sz w:val="32"/>
          <w:szCs w:val="32"/>
          <w:u w:val="none"/>
        </w:rPr>
      </w:pP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w:t>
      </w:r>
      <w:r>
        <w:rPr>
          <w:rFonts w:hint="eastAsia" w:ascii="仿宋_GB2312" w:hAnsi="黑体" w:eastAsia="仿宋_GB2312" w:cs="仿宋_GB2312"/>
          <w:sz w:val="32"/>
          <w:szCs w:val="32"/>
          <w:u w:val="none"/>
          <w:lang w:eastAsia="zh-CN"/>
        </w:rPr>
        <w:t>儋州市房屋征收局</w:t>
      </w:r>
      <w:r>
        <w:rPr>
          <w:rFonts w:hint="eastAsia" w:ascii="仿宋_GB2312" w:hAnsi="黑体" w:eastAsia="仿宋_GB2312"/>
          <w:sz w:val="32"/>
          <w:szCs w:val="32"/>
          <w:u w:val="none"/>
          <w:lang w:eastAsia="zh-CN"/>
        </w:rPr>
        <w:t>（单位）</w:t>
      </w:r>
      <w:r>
        <w:rPr>
          <w:rFonts w:hint="eastAsia" w:ascii="仿宋_GB2312" w:hAnsi="黑体" w:eastAsia="仿宋_GB2312" w:cs="仿宋_GB2312"/>
          <w:sz w:val="32"/>
          <w:szCs w:val="32"/>
          <w:u w:val="none"/>
        </w:rPr>
        <w:t>的机关运行经费预算</w:t>
      </w:r>
      <w:r>
        <w:rPr>
          <w:rFonts w:hint="eastAsia" w:ascii="仿宋_GB2312" w:hAnsi="黑体" w:eastAsia="仿宋_GB2312" w:cs="仿宋_GB2312"/>
          <w:sz w:val="32"/>
          <w:szCs w:val="32"/>
          <w:u w:val="none"/>
          <w:lang w:val="en-US" w:eastAsia="zh-CN"/>
        </w:rPr>
        <w:t>25.06</w:t>
      </w:r>
      <w:r>
        <w:rPr>
          <w:rFonts w:hint="eastAsia" w:ascii="仿宋_GB2312" w:hAnsi="黑体" w:eastAsia="仿宋_GB2312"/>
          <w:sz w:val="32"/>
          <w:szCs w:val="32"/>
          <w:u w:val="none"/>
        </w:rPr>
        <w:t>万元</w:t>
      </w:r>
      <w:r>
        <w:rPr>
          <w:rFonts w:hint="eastAsia" w:ascii="仿宋_GB2312" w:hAnsi="黑体" w:eastAsia="仿宋_GB2312"/>
          <w:sz w:val="32"/>
          <w:szCs w:val="32"/>
          <w:u w:val="none"/>
          <w:lang w:eastAsia="zh-CN"/>
        </w:rPr>
        <w:t>，比</w:t>
      </w:r>
      <w:r>
        <w:rPr>
          <w:rFonts w:hint="eastAsia" w:ascii="仿宋_GB2312" w:hAnsi="黑体" w:eastAsia="仿宋_GB2312"/>
          <w:sz w:val="32"/>
          <w:szCs w:val="32"/>
          <w:u w:val="none"/>
        </w:rPr>
        <w:t>上年预算数</w:t>
      </w:r>
      <w:r>
        <w:rPr>
          <w:rFonts w:hint="eastAsia" w:ascii="仿宋_GB2312" w:hAnsi="黑体" w:eastAsia="仿宋_GB2312" w:cs="仿宋_GB2312"/>
          <w:sz w:val="32"/>
          <w:szCs w:val="32"/>
          <w:u w:val="none"/>
        </w:rPr>
        <w:t>增加</w:t>
      </w:r>
      <w:r>
        <w:rPr>
          <w:rFonts w:hint="eastAsia" w:ascii="仿宋_GB2312" w:hAnsi="黑体" w:eastAsia="仿宋_GB2312" w:cs="仿宋_GB2312"/>
          <w:sz w:val="32"/>
          <w:szCs w:val="32"/>
          <w:u w:val="none"/>
          <w:lang w:val="en-US" w:eastAsia="zh-CN"/>
        </w:rPr>
        <w:t>0.08</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eastAsia="zh-CN"/>
        </w:rPr>
        <w:t>人员增加</w:t>
      </w:r>
      <w:r>
        <w:rPr>
          <w:rFonts w:hint="eastAsia" w:ascii="仿宋_GB2312" w:hAnsi="黑体" w:eastAsia="仿宋_GB2312"/>
          <w:sz w:val="32"/>
          <w:szCs w:val="32"/>
          <w:u w:val="none"/>
        </w:rPr>
        <w:t>。</w:t>
      </w:r>
    </w:p>
    <w:p>
      <w:pPr>
        <w:spacing w:line="560" w:lineRule="exact"/>
        <w:ind w:firstLine="640" w:firstLineChars="200"/>
        <w:rPr>
          <w:rFonts w:ascii="楷体" w:hAnsi="楷体" w:eastAsia="楷体"/>
          <w:sz w:val="32"/>
          <w:szCs w:val="32"/>
          <w:u w:val="none"/>
        </w:rPr>
      </w:pPr>
      <w:r>
        <w:rPr>
          <w:rFonts w:hint="eastAsia" w:ascii="楷体" w:hAnsi="楷体" w:eastAsia="楷体"/>
          <w:sz w:val="32"/>
          <w:szCs w:val="32"/>
          <w:u w:val="none"/>
        </w:rPr>
        <w:t>（二）政府采购情况</w:t>
      </w:r>
    </w:p>
    <w:p>
      <w:pPr>
        <w:spacing w:line="560" w:lineRule="exact"/>
        <w:ind w:firstLine="640"/>
        <w:rPr>
          <w:rFonts w:ascii="仿宋_GB2312" w:hAnsi="黑体" w:eastAsia="仿宋_GB2312"/>
          <w:sz w:val="32"/>
          <w:szCs w:val="32"/>
          <w:u w:val="none"/>
        </w:rPr>
      </w:pPr>
      <w:r>
        <w:rPr>
          <w:rFonts w:hint="eastAsia" w:ascii="仿宋_GB2312" w:hAnsi="黑体" w:eastAsia="仿宋_GB2312" w:cs="仿宋_GB2312"/>
          <w:sz w:val="32"/>
          <w:szCs w:val="32"/>
          <w:u w:val="none"/>
          <w:lang w:val="en-US" w:eastAsia="zh-CN"/>
        </w:rPr>
        <w:t>2026年本部门政府采购预算总额0万元</w:t>
      </w:r>
      <w:r>
        <w:rPr>
          <w:rFonts w:hint="eastAsia" w:ascii="仿宋_GB2312" w:hAnsi="黑体" w:eastAsia="仿宋_GB2312"/>
          <w:sz w:val="32"/>
          <w:szCs w:val="32"/>
          <w:u w:val="none"/>
        </w:rPr>
        <w:t>。</w:t>
      </w:r>
      <w:bookmarkStart w:id="0" w:name="_GoBack"/>
      <w:bookmarkEnd w:id="0"/>
    </w:p>
    <w:p>
      <w:pPr>
        <w:spacing w:line="560" w:lineRule="exact"/>
        <w:ind w:firstLine="640" w:firstLineChars="200"/>
        <w:rPr>
          <w:rFonts w:ascii="楷体" w:hAnsi="楷体" w:eastAsia="楷体"/>
          <w:sz w:val="32"/>
          <w:szCs w:val="32"/>
          <w:u w:val="none"/>
        </w:rPr>
      </w:pPr>
      <w:r>
        <w:rPr>
          <w:rFonts w:hint="eastAsia" w:ascii="楷体" w:hAnsi="楷体" w:eastAsia="楷体"/>
          <w:sz w:val="32"/>
          <w:szCs w:val="32"/>
          <w:u w:val="none"/>
        </w:rPr>
        <w:t>（三）国有资产占有使用情况</w:t>
      </w:r>
    </w:p>
    <w:p>
      <w:pPr>
        <w:spacing w:line="560" w:lineRule="exact"/>
        <w:ind w:firstLine="640" w:firstLineChars="200"/>
        <w:rPr>
          <w:rFonts w:ascii="仿宋_GB2312" w:hAnsi="黑体" w:eastAsia="仿宋_GB2312" w:cs="仿宋_GB2312"/>
          <w:sz w:val="32"/>
          <w:szCs w:val="32"/>
          <w:u w:val="none"/>
        </w:rPr>
      </w:pPr>
      <w:r>
        <w:rPr>
          <w:rFonts w:hint="eastAsia" w:ascii="仿宋_GB2312" w:hAnsi="黑体" w:eastAsia="仿宋_GB2312" w:cs="仿宋_GB2312"/>
          <w:sz w:val="32"/>
          <w:szCs w:val="32"/>
          <w:highlight w:val="none"/>
          <w:u w:val="none"/>
        </w:rPr>
        <w:t>截至</w:t>
      </w:r>
      <w:r>
        <w:rPr>
          <w:rFonts w:hint="eastAsia" w:ascii="仿宋_GB2312" w:hAnsi="黑体" w:eastAsia="仿宋_GB2312" w:cs="仿宋_GB2312"/>
          <w:sz w:val="32"/>
          <w:szCs w:val="32"/>
          <w:highlight w:val="none"/>
          <w:u w:val="none"/>
          <w:lang w:val="en-US" w:eastAsia="zh-CN"/>
        </w:rPr>
        <w:t>2025</w:t>
      </w:r>
      <w:r>
        <w:rPr>
          <w:rFonts w:hint="eastAsia" w:ascii="仿宋_GB2312" w:hAnsi="黑体" w:eastAsia="仿宋_GB2312"/>
          <w:sz w:val="32"/>
          <w:szCs w:val="32"/>
          <w:highlight w:val="none"/>
          <w:u w:val="none"/>
        </w:rPr>
        <w:t>年12月31日，</w:t>
      </w:r>
      <w:r>
        <w:rPr>
          <w:rFonts w:hint="eastAsia" w:ascii="仿宋_GB2312" w:hAnsi="黑体" w:eastAsia="仿宋_GB2312" w:cs="仿宋_GB2312"/>
          <w:sz w:val="32"/>
          <w:szCs w:val="32"/>
          <w:u w:val="none"/>
          <w:lang w:eastAsia="zh-CN"/>
        </w:rPr>
        <w:t>儋州市房屋征收局</w:t>
      </w:r>
      <w:r>
        <w:rPr>
          <w:rFonts w:hint="eastAsia" w:ascii="仿宋_GB2312" w:hAnsi="黑体" w:eastAsia="仿宋_GB2312"/>
          <w:sz w:val="32"/>
          <w:szCs w:val="32"/>
          <w:u w:val="none"/>
          <w:lang w:eastAsia="zh-CN"/>
        </w:rPr>
        <w:t>（单位）</w:t>
      </w:r>
      <w:r>
        <w:rPr>
          <w:rFonts w:hint="eastAsia" w:ascii="仿宋_GB2312" w:hAnsi="黑体" w:eastAsia="仿宋_GB2312" w:cs="仿宋_GB2312"/>
          <w:sz w:val="32"/>
          <w:szCs w:val="32"/>
          <w:u w:val="none"/>
        </w:rPr>
        <w:t>本级及下属各预算单位共有车辆</w:t>
      </w:r>
      <w:r>
        <w:rPr>
          <w:rFonts w:hint="eastAsia" w:ascii="仿宋_GB2312" w:hAnsi="黑体" w:eastAsia="仿宋_GB2312" w:cs="仿宋_GB2312"/>
          <w:sz w:val="32"/>
          <w:szCs w:val="32"/>
          <w:u w:val="none"/>
          <w:lang w:val="en-US" w:eastAsia="zh-CN"/>
        </w:rPr>
        <w:t>1</w:t>
      </w:r>
      <w:r>
        <w:rPr>
          <w:rFonts w:hint="eastAsia" w:ascii="仿宋_GB2312" w:hAnsi="黑体" w:eastAsia="仿宋_GB2312" w:cs="仿宋_GB2312"/>
          <w:sz w:val="32"/>
          <w:szCs w:val="32"/>
          <w:u w:val="none"/>
        </w:rPr>
        <w:t>辆，其中，领导干部用车0辆，机要通信应急用车0辆、一般执法执勤用车0辆、特种专业技术用车0辆、其他用车1辆。单位价值100万元以上设备0台（套）。</w:t>
      </w:r>
    </w:p>
    <w:p>
      <w:pPr>
        <w:widowControl/>
        <w:spacing w:line="560" w:lineRule="exact"/>
        <w:ind w:firstLine="640" w:firstLineChars="200"/>
        <w:jc w:val="left"/>
        <w:rPr>
          <w:rFonts w:ascii="楷体" w:hAnsi="楷体" w:eastAsia="楷体"/>
          <w:sz w:val="32"/>
          <w:szCs w:val="32"/>
          <w:u w:val="none"/>
        </w:rPr>
      </w:pPr>
      <w:r>
        <w:rPr>
          <w:rFonts w:hint="eastAsia" w:ascii="楷体" w:hAnsi="楷体" w:eastAsia="楷体"/>
          <w:sz w:val="32"/>
          <w:szCs w:val="32"/>
          <w:u w:val="none"/>
        </w:rPr>
        <w:t>（四）</w:t>
      </w:r>
      <w:r>
        <w:rPr>
          <w:rFonts w:hint="eastAsia" w:ascii="楷体" w:hAnsi="楷体" w:eastAsia="楷体" w:cs="黑体"/>
          <w:i w:val="0"/>
          <w:caps w:val="0"/>
          <w:spacing w:val="0"/>
          <w:kern w:val="2"/>
          <w:sz w:val="32"/>
          <w:szCs w:val="32"/>
          <w:lang w:val="en-US" w:eastAsia="zh-CN" w:bidi="ar"/>
        </w:rPr>
        <w:t>绩效目标设置及重点项目绩效目标说明</w:t>
      </w:r>
    </w:p>
    <w:p>
      <w:pPr>
        <w:spacing w:line="560" w:lineRule="exact"/>
        <w:ind w:firstLine="640" w:firstLineChars="200"/>
        <w:jc w:val="left"/>
        <w:rPr>
          <w:rFonts w:hint="eastAsia" w:ascii="黑体" w:hAnsi="黑体" w:eastAsia="黑体"/>
          <w:b w:val="0"/>
          <w:bCs/>
          <w:sz w:val="32"/>
          <w:szCs w:val="32"/>
          <w:u w:val="none"/>
          <w:lang w:eastAsia="zh-CN"/>
        </w:rPr>
      </w:pP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w:t>
      </w:r>
      <w:r>
        <w:rPr>
          <w:rFonts w:hint="eastAsia" w:ascii="仿宋_GB2312" w:hAnsi="黑体" w:eastAsia="仿宋_GB2312" w:cs="仿宋_GB2312"/>
          <w:sz w:val="32"/>
          <w:szCs w:val="32"/>
          <w:u w:val="none"/>
          <w:lang w:eastAsia="zh-CN"/>
        </w:rPr>
        <w:t>儋州市房屋征收局</w:t>
      </w:r>
      <w:r>
        <w:rPr>
          <w:rFonts w:hint="eastAsia" w:ascii="仿宋_GB2312" w:hAnsi="黑体" w:eastAsia="仿宋_GB2312"/>
          <w:sz w:val="32"/>
          <w:szCs w:val="32"/>
          <w:u w:val="none"/>
          <w:lang w:eastAsia="zh-CN"/>
        </w:rPr>
        <w:t>（单位）</w:t>
      </w:r>
      <w:r>
        <w:rPr>
          <w:rFonts w:hint="eastAsia" w:ascii="仿宋_GB2312" w:hAnsi="黑体" w:eastAsia="仿宋_GB2312" w:cs="仿宋_GB2312"/>
          <w:sz w:val="32"/>
          <w:szCs w:val="32"/>
          <w:u w:val="none"/>
          <w:lang w:val="en-US" w:eastAsia="zh-CN"/>
        </w:rPr>
        <w:t>1</w:t>
      </w:r>
      <w:r>
        <w:rPr>
          <w:rFonts w:hint="eastAsia" w:ascii="仿宋_GB2312" w:hAnsi="黑体" w:eastAsia="仿宋_GB2312" w:cs="仿宋_GB2312"/>
          <w:sz w:val="32"/>
          <w:szCs w:val="32"/>
          <w:u w:val="none"/>
        </w:rPr>
        <w:t>个项目实行绩效目标管理，涉及一般公共预算</w:t>
      </w:r>
      <w:r>
        <w:rPr>
          <w:rFonts w:hint="eastAsia" w:ascii="仿宋_GB2312" w:hAnsi="黑体" w:eastAsia="仿宋_GB2312" w:cs="仿宋_GB2312"/>
          <w:sz w:val="32"/>
          <w:szCs w:val="32"/>
          <w:u w:val="none"/>
          <w:lang w:val="en-US" w:eastAsia="zh-CN"/>
        </w:rPr>
        <w:t>1442.22</w:t>
      </w:r>
      <w:r>
        <w:rPr>
          <w:rFonts w:hint="eastAsia" w:ascii="仿宋_GB2312" w:hAnsi="黑体" w:eastAsia="仿宋_GB2312"/>
          <w:sz w:val="32"/>
          <w:szCs w:val="32"/>
          <w:u w:val="none"/>
        </w:rPr>
        <w:t>万元。</w:t>
      </w:r>
    </w:p>
    <w:p>
      <w:pPr>
        <w:spacing w:line="560" w:lineRule="exact"/>
        <w:jc w:val="center"/>
        <w:rPr>
          <w:rFonts w:ascii="黑体" w:hAnsi="黑体" w:eastAsia="黑体"/>
          <w:b w:val="0"/>
          <w:bCs/>
          <w:sz w:val="32"/>
          <w:szCs w:val="32"/>
          <w:u w:val="none"/>
        </w:rPr>
      </w:pPr>
      <w:r>
        <w:rPr>
          <w:rFonts w:hint="eastAsia" w:ascii="黑体" w:hAnsi="黑体" w:eastAsia="黑体"/>
          <w:b w:val="0"/>
          <w:bCs/>
          <w:sz w:val="32"/>
          <w:szCs w:val="32"/>
          <w:u w:val="none"/>
        </w:rPr>
        <w:t>第四部分  名词解释</w:t>
      </w:r>
    </w:p>
    <w:p>
      <w:pPr>
        <w:spacing w:line="560" w:lineRule="exact"/>
        <w:ind w:firstLine="640" w:firstLineChars="200"/>
        <w:jc w:val="left"/>
        <w:rPr>
          <w:rFonts w:ascii="仿宋_GB2312" w:eastAsia="仿宋_GB2312" w:cs="宋体"/>
          <w:bCs/>
          <w:color w:val="000000"/>
          <w:kern w:val="0"/>
          <w:sz w:val="32"/>
          <w:szCs w:val="32"/>
          <w:u w:val="none"/>
          <w:lang w:val="zh-CN"/>
        </w:rPr>
      </w:pP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一、财政拨款收入：指本级财政当年拨付的资金。</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二、一般公共预算拨款收入：指用于反映税收收入、专项收入、行政事业性收费收入、罚没收入、国有资源（资产）有偿使用收入、政府住房基金收入、捐赠收入等财政收入。</w:t>
      </w:r>
    </w:p>
    <w:p>
      <w:pPr>
        <w:spacing w:line="560" w:lineRule="exact"/>
        <w:ind w:firstLine="640" w:firstLineChars="200"/>
        <w:jc w:val="left"/>
        <w:rPr>
          <w:rFonts w:hint="eastAsia" w:ascii="仿宋_GB2312" w:hAnsi="宋体" w:eastAsia="仿宋_GB2312" w:cs="宋体"/>
          <w:color w:val="000000"/>
          <w:kern w:val="0"/>
          <w:sz w:val="32"/>
          <w:szCs w:val="30"/>
          <w:u w:val="none"/>
          <w:lang w:eastAsia="zh-CN"/>
        </w:rPr>
      </w:pPr>
      <w:r>
        <w:rPr>
          <w:rFonts w:hint="eastAsia" w:ascii="仿宋_GB2312" w:hAnsi="宋体" w:eastAsia="仿宋_GB2312" w:cs="宋体"/>
          <w:color w:val="000000"/>
          <w:kern w:val="0"/>
          <w:sz w:val="32"/>
          <w:szCs w:val="30"/>
          <w:u w:val="none"/>
        </w:rPr>
        <w:t>三、政府性基金预算拨款收入：指是用于反映政府为支持某项事业发展或特定基础设施建设，依法依规向公民、法人和其他组织征收的以及出让土地、发行彩票等方式取得的具有专门用途的资金</w:t>
      </w:r>
      <w:r>
        <w:rPr>
          <w:rFonts w:hint="eastAsia" w:ascii="仿宋_GB2312" w:hAnsi="宋体" w:eastAsia="仿宋_GB2312" w:cs="宋体"/>
          <w:color w:val="000000"/>
          <w:kern w:val="0"/>
          <w:sz w:val="32"/>
          <w:szCs w:val="30"/>
          <w:u w:val="none"/>
          <w:lang w:eastAsia="zh-CN"/>
        </w:rPr>
        <w:t>。</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 xml:space="preserve">四、事业收入：指用于反映事业单位开展专业业务活动及辅助活动所取得的收入。 </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五、事业单位经营收入：指用于反映事业单位在专业活动及辅助活动之外开展非独立核算经营活动取得的收入。</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六、其他收入：指除上述“财政拨款收入”“事业收入”“经营收入”等以外的收入。</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七、上年结转：指以前年度尚未完成、结转到本年按有关规定继续使用的资金。</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八、基本支出：指行政事业单位用于为保障其机构正常运转、完成日常工作任务而发生的人员支出和公用支出。</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九、工资福利支出：反映单位开支的在职职工和编制外长期聘用人员的各类劳动报酬，以及为上述人员缴纳的各项社会保险费等。</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十、对个人和家庭的补助支出：反映政府用于对个人和家庭的补助支出，包括离休费、退休费、退职（役）费、抚恤金、生活补助、救济费、医疗费补助、助学金、独生子女奖励金、其他等。</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一、商品和服务支出：反映单位购买商品和服务的支出，包括办公费、水费、电费、邮电费、培训费、公务用车运行维护费、差旅费、因公出国（境）费用、公务接待费、工会经费、会议费、福利费、物业管理费、维修（护）费、其他等。</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十二、项目支出：指各部门、各单位为完成其特定的工作任务和事业发展目标所发生的支出。</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三、“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w:t>
      </w:r>
      <w:r>
        <w:rPr>
          <w:rFonts w:hint="eastAsia" w:ascii="仿宋_GB2312" w:hAnsi="宋体" w:eastAsia="仿宋_GB2312" w:cs="宋体"/>
          <w:color w:val="000000"/>
          <w:kern w:val="0"/>
          <w:sz w:val="32"/>
          <w:szCs w:val="30"/>
          <w:u w:val="none"/>
          <w:lang w:eastAsia="zh-CN"/>
        </w:rPr>
        <w:t>、</w:t>
      </w:r>
      <w:r>
        <w:rPr>
          <w:rFonts w:hint="eastAsia" w:ascii="仿宋_GB2312" w:hAnsi="宋体" w:eastAsia="仿宋_GB2312" w:cs="宋体"/>
          <w:color w:val="000000"/>
          <w:kern w:val="0"/>
          <w:sz w:val="32"/>
          <w:szCs w:val="30"/>
          <w:u w:val="none"/>
          <w:lang w:val="en-US" w:eastAsia="zh-CN"/>
        </w:rPr>
        <w:t>1个月及以上租车费用</w:t>
      </w:r>
      <w:r>
        <w:rPr>
          <w:rFonts w:hint="eastAsia" w:ascii="仿宋_GB2312" w:hAnsi="宋体" w:eastAsia="仿宋_GB2312" w:cs="宋体"/>
          <w:color w:val="000000"/>
          <w:kern w:val="0"/>
          <w:sz w:val="32"/>
          <w:szCs w:val="30"/>
          <w:u w:val="none"/>
        </w:rPr>
        <w:t>等支出；公务接待费指单位按规定开支的各类公务接待（含外宾接待）支出。</w:t>
      </w:r>
    </w:p>
    <w:p>
      <w:pPr>
        <w:spacing w:line="560" w:lineRule="exact"/>
        <w:ind w:firstLine="640" w:firstLineChars="200"/>
        <w:jc w:val="left"/>
        <w:rPr>
          <w:rFonts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四、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spacing w:line="560" w:lineRule="exact"/>
        <w:ind w:firstLine="0" w:firstLineChars="0"/>
        <w:jc w:val="left"/>
        <w:rPr>
          <w:rFonts w:ascii="仿宋_GB2312" w:hAnsi="黑体" w:eastAsia="仿宋_GB2312" w:cs="仿宋_GB2312"/>
          <w:sz w:val="32"/>
          <w:szCs w:val="32"/>
          <w:u w:val="none"/>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altName w:val="微软雅黑"/>
    <w:panose1 w:val="02000000000000000000"/>
    <w:charset w:val="86"/>
    <w:family w:val="auto"/>
    <w:pitch w:val="default"/>
    <w:sig w:usb0="00000000" w:usb1="00000000" w:usb2="00082016" w:usb3="00000000" w:csb0="00040001" w:csb1="00000000"/>
  </w:font>
  <w:font w:name="方正仿宋_GBK">
    <w:altName w:val="微软雅黑"/>
    <w:panose1 w:val="02000000000000000000"/>
    <w:charset w:val="86"/>
    <w:family w:val="auto"/>
    <w:pitch w:val="default"/>
    <w:sig w:usb0="00000000" w:usb1="00000000" w:usb2="00082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BDEEC51"/>
    <w:multiLevelType w:val="singleLevel"/>
    <w:tmpl w:val="DBDEEC51"/>
    <w:lvl w:ilvl="0" w:tentative="0">
      <w:start w:val="6"/>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0"/>
  <w:bordersDoNotSurroundFooter w:val="0"/>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5DB3F5F"/>
    <w:rsid w:val="27F9D6AD"/>
    <w:rsid w:val="2CFFD3C3"/>
    <w:rsid w:val="2FBF19B9"/>
    <w:rsid w:val="37DF1B78"/>
    <w:rsid w:val="3DE53401"/>
    <w:rsid w:val="401B3829"/>
    <w:rsid w:val="490D3525"/>
    <w:rsid w:val="51043CB1"/>
    <w:rsid w:val="51EB539F"/>
    <w:rsid w:val="5CD71462"/>
    <w:rsid w:val="5EFF8EDA"/>
    <w:rsid w:val="5FBFEA10"/>
    <w:rsid w:val="6F772982"/>
    <w:rsid w:val="6F7F7F61"/>
    <w:rsid w:val="6FDB1131"/>
    <w:rsid w:val="6FDF3A11"/>
    <w:rsid w:val="72BFF0B5"/>
    <w:rsid w:val="73CF45A9"/>
    <w:rsid w:val="7BF736D2"/>
    <w:rsid w:val="7E2FDAC6"/>
    <w:rsid w:val="7EFDD520"/>
    <w:rsid w:val="7FAAE0CC"/>
    <w:rsid w:val="7FF2739F"/>
    <w:rsid w:val="7FF7D632"/>
    <w:rsid w:val="7FFCF4EE"/>
    <w:rsid w:val="7FFFDC33"/>
    <w:rsid w:val="83AFEFD5"/>
    <w:rsid w:val="87FD1F7D"/>
    <w:rsid w:val="ABBF3834"/>
    <w:rsid w:val="AFFF7822"/>
    <w:rsid w:val="BB75DD03"/>
    <w:rsid w:val="D3DA912A"/>
    <w:rsid w:val="D97F626E"/>
    <w:rsid w:val="DEB7979A"/>
    <w:rsid w:val="EAFF647C"/>
    <w:rsid w:val="EDFF99A7"/>
    <w:rsid w:val="EF4F270F"/>
    <w:rsid w:val="F24F813D"/>
    <w:rsid w:val="F3FFFD9D"/>
    <w:rsid w:val="FC6FBB23"/>
    <w:rsid w:val="FF253AE5"/>
    <w:rsid w:val="FF330AC4"/>
    <w:rsid w:val="FF5F5C3D"/>
    <w:rsid w:val="FF6F3845"/>
    <w:rsid w:val="FF6F9FDF"/>
    <w:rsid w:val="FF7C1A10"/>
    <w:rsid w:val="FFC65139"/>
    <w:rsid w:val="FFEEA926"/>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Words>580</Words>
  <Characters>3311</Characters>
  <Lines>1</Lines>
  <Paragraphs>1</Paragraphs>
  <TotalTime>1139</TotalTime>
  <ScaleCrop>false</ScaleCrop>
  <LinksUpToDate>false</LinksUpToDate>
  <CharactersWithSpaces>0</CharactersWithSpaces>
  <Application>WPS Office_11.8.2.8593_F1E327BC-269C-435d-A152-05C5408002CA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2017-02-13T23:31:00Z</dcterms:created>
  <dc:creator>null,null,总收发</dc:creator>
  <cp:lastModifiedBy>Administrator</cp:lastModifiedBy>
  <cp:lastPrinted>2025-01-20T00:28:00Z</cp:lastPrinted>
  <dcterms:modified xsi:type="dcterms:W3CDTF">2026-03-11T03:12:25Z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2052-11.8.2.8593</vt:lpwstr>
  </property>
  <property fmtid="{D5CDD505-2E9C-101B-9397-08002B2CF9AE}" pid="3" name="ICV">
    <vt:lpwstr>A452AEA80B3487E3850D8E679530286D</vt:lpwstr>
  </property>
</Properties>
</file>