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90A3C">
      <w:pPr>
        <w:spacing w:line="560" w:lineRule="exact"/>
        <w:rPr>
          <w:sz w:val="84"/>
          <w:szCs w:val="84"/>
          <w:u w:val="none"/>
        </w:rPr>
      </w:pPr>
    </w:p>
    <w:p w14:paraId="1D666D1C">
      <w:pPr>
        <w:spacing w:line="560" w:lineRule="exact"/>
        <w:rPr>
          <w:sz w:val="84"/>
          <w:szCs w:val="84"/>
          <w:u w:val="none"/>
        </w:rPr>
      </w:pPr>
    </w:p>
    <w:p w14:paraId="071F76AE">
      <w:pPr>
        <w:spacing w:line="560" w:lineRule="exact"/>
        <w:rPr>
          <w:sz w:val="84"/>
          <w:szCs w:val="84"/>
          <w:u w:val="none"/>
        </w:rPr>
      </w:pPr>
    </w:p>
    <w:p w14:paraId="1645B0E7">
      <w:pPr>
        <w:spacing w:line="560" w:lineRule="exact"/>
        <w:rPr>
          <w:sz w:val="84"/>
          <w:szCs w:val="84"/>
          <w:u w:val="none"/>
        </w:rPr>
      </w:pPr>
    </w:p>
    <w:p w14:paraId="39E822E0">
      <w:pPr>
        <w:spacing w:line="560" w:lineRule="exact"/>
        <w:jc w:val="center"/>
        <w:rPr>
          <w:rFonts w:hint="eastAsia"/>
          <w:sz w:val="52"/>
          <w:szCs w:val="52"/>
          <w:u w:val="none"/>
          <w:lang w:val="en-US" w:eastAsia="zh-CN"/>
        </w:rPr>
      </w:pPr>
    </w:p>
    <w:p w14:paraId="6423A14D">
      <w:pPr>
        <w:spacing w:line="560" w:lineRule="exact"/>
        <w:jc w:val="center"/>
        <w:rPr>
          <w:rFonts w:hint="eastAsia"/>
          <w:sz w:val="52"/>
          <w:szCs w:val="52"/>
          <w:u w:val="none"/>
          <w:lang w:val="en-US" w:eastAsia="zh-CN"/>
        </w:rPr>
      </w:pPr>
    </w:p>
    <w:p w14:paraId="7347A23B">
      <w:pPr>
        <w:spacing w:line="560" w:lineRule="exact"/>
        <w:jc w:val="center"/>
        <w:rPr>
          <w:rFonts w:hint="eastAsia"/>
          <w:sz w:val="52"/>
          <w:szCs w:val="52"/>
          <w:u w:val="none"/>
          <w:lang w:val="en-US" w:eastAsia="zh-CN"/>
        </w:rPr>
      </w:pPr>
    </w:p>
    <w:p w14:paraId="64DF9CA7">
      <w:pPr>
        <w:spacing w:line="560" w:lineRule="exact"/>
        <w:jc w:val="center"/>
        <w:rPr>
          <w:rFonts w:hint="eastAsia"/>
          <w:sz w:val="52"/>
          <w:szCs w:val="52"/>
          <w:u w:val="none"/>
          <w:lang w:val="en-US" w:eastAsia="zh-CN"/>
        </w:rPr>
      </w:pPr>
    </w:p>
    <w:p w14:paraId="2681A485">
      <w:pPr>
        <w:spacing w:line="560" w:lineRule="exact"/>
        <w:jc w:val="center"/>
        <w:rPr>
          <w:rFonts w:hint="eastAsia"/>
          <w:sz w:val="52"/>
          <w:szCs w:val="52"/>
          <w:u w:val="none"/>
          <w:lang w:val="en-US" w:eastAsia="zh-CN"/>
        </w:rPr>
      </w:pPr>
    </w:p>
    <w:p w14:paraId="4EAB7C22">
      <w:pPr>
        <w:spacing w:line="560" w:lineRule="exact"/>
        <w:jc w:val="center"/>
        <w:rPr>
          <w:rFonts w:hint="eastAsia"/>
          <w:sz w:val="52"/>
          <w:szCs w:val="52"/>
          <w:u w:val="none"/>
          <w:lang w:val="en-US" w:eastAsia="zh-CN"/>
        </w:rPr>
      </w:pPr>
    </w:p>
    <w:p w14:paraId="5B2A3C54">
      <w:pPr>
        <w:spacing w:line="560" w:lineRule="exact"/>
        <w:jc w:val="center"/>
        <w:rPr>
          <w:rFonts w:hint="eastAsia" w:ascii="方正小标宋简体" w:hAnsi="方正小标宋简体" w:eastAsia="方正小标宋简体" w:cs="方正小标宋简体"/>
          <w:sz w:val="44"/>
          <w:szCs w:val="44"/>
          <w:u w:val="none"/>
        </w:rPr>
      </w:pPr>
      <w:r>
        <w:rPr>
          <w:rFonts w:hint="eastAsia" w:ascii="方正小标宋简体" w:hAnsi="方正小标宋简体" w:eastAsia="方正小标宋简体" w:cs="方正小标宋简体"/>
          <w:sz w:val="44"/>
          <w:szCs w:val="44"/>
          <w:u w:val="none"/>
          <w:lang w:val="en-US" w:eastAsia="zh-CN"/>
        </w:rPr>
        <w:t>2026</w:t>
      </w:r>
      <w:r>
        <w:rPr>
          <w:rFonts w:hint="eastAsia" w:ascii="方正小标宋简体" w:hAnsi="方正小标宋简体" w:eastAsia="方正小标宋简体" w:cs="方正小标宋简体"/>
          <w:sz w:val="44"/>
          <w:szCs w:val="44"/>
          <w:u w:val="none"/>
        </w:rPr>
        <w:t>年</w:t>
      </w:r>
      <w:r>
        <w:rPr>
          <w:rFonts w:hint="eastAsia" w:ascii="方正小标宋简体" w:hAnsi="方正小标宋简体" w:eastAsia="方正小标宋简体" w:cs="方正小标宋简体"/>
          <w:sz w:val="44"/>
          <w:szCs w:val="44"/>
          <w:u w:val="none"/>
          <w:lang w:val="en-US" w:eastAsia="zh-CN"/>
        </w:rPr>
        <w:t>儋州市教育事业发展服务中心</w:t>
      </w:r>
      <w:r>
        <w:rPr>
          <w:rFonts w:hint="eastAsia" w:ascii="方正小标宋简体" w:hAnsi="方正小标宋简体" w:eastAsia="方正小标宋简体" w:cs="方正小标宋简体"/>
          <w:sz w:val="44"/>
          <w:szCs w:val="44"/>
          <w:u w:val="none"/>
        </w:rPr>
        <w:t>部门（单位）预算</w:t>
      </w:r>
    </w:p>
    <w:p w14:paraId="0D0CA7A7">
      <w:pPr>
        <w:spacing w:line="560" w:lineRule="exact"/>
        <w:ind w:firstLine="1680"/>
        <w:jc w:val="center"/>
        <w:rPr>
          <w:sz w:val="84"/>
          <w:szCs w:val="84"/>
          <w:u w:val="none"/>
        </w:rPr>
      </w:pPr>
    </w:p>
    <w:p w14:paraId="07A46AD0">
      <w:pPr>
        <w:spacing w:line="560" w:lineRule="exact"/>
        <w:ind w:firstLine="1680"/>
        <w:jc w:val="center"/>
        <w:rPr>
          <w:sz w:val="84"/>
          <w:szCs w:val="84"/>
          <w:u w:val="none"/>
        </w:rPr>
      </w:pPr>
    </w:p>
    <w:p w14:paraId="48DCC60F">
      <w:pPr>
        <w:spacing w:line="560" w:lineRule="exact"/>
        <w:ind w:firstLine="1680"/>
        <w:jc w:val="center"/>
        <w:rPr>
          <w:sz w:val="84"/>
          <w:szCs w:val="84"/>
          <w:u w:val="none"/>
        </w:rPr>
      </w:pPr>
    </w:p>
    <w:p w14:paraId="5307EDD4">
      <w:pPr>
        <w:spacing w:line="560" w:lineRule="exact"/>
        <w:ind w:firstLine="1680"/>
        <w:jc w:val="center"/>
        <w:rPr>
          <w:sz w:val="84"/>
          <w:szCs w:val="84"/>
          <w:u w:val="none"/>
        </w:rPr>
      </w:pPr>
    </w:p>
    <w:p w14:paraId="6DED8FEC">
      <w:pPr>
        <w:rPr>
          <w:sz w:val="84"/>
          <w:szCs w:val="84"/>
          <w:u w:val="none"/>
        </w:rPr>
      </w:pPr>
      <w:r>
        <w:rPr>
          <w:sz w:val="84"/>
          <w:szCs w:val="84"/>
          <w:u w:val="none"/>
        </w:rPr>
        <w:br w:type="page"/>
      </w:r>
    </w:p>
    <w:p w14:paraId="72BBF0DE">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31155C6E">
      <w:pPr>
        <w:pStyle w:val="4"/>
        <w:numPr>
          <w:ilvl w:val="0"/>
          <w:numId w:val="1"/>
        </w:numPr>
        <w:spacing w:line="240" w:lineRule="auto"/>
        <w:ind w:firstLineChars="0"/>
        <w:jc w:val="left"/>
        <w:rPr>
          <w:rFonts w:hint="eastAsia" w:ascii="方正黑体_GBK" w:hAnsi="方正黑体_GBK" w:eastAsia="方正黑体_GBK" w:cs="方正黑体_GBK"/>
          <w:sz w:val="32"/>
          <w:szCs w:val="32"/>
          <w:u w:val="none"/>
          <w:lang w:eastAsia="zh-CN"/>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儋州市教育事业发展服务中心概况</w:t>
      </w:r>
    </w:p>
    <w:p w14:paraId="1E8F4A0D">
      <w:pPr>
        <w:pStyle w:val="4"/>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2555EA39">
      <w:pPr>
        <w:pStyle w:val="4"/>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5EC5E412">
      <w:pPr>
        <w:pStyle w:val="4"/>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133D6F68">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15D987A">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0F6B3AC2">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567E035">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14C6BB6F">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C2B4E9D">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6A5EC58">
      <w:pPr>
        <w:pStyle w:val="4"/>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0FE5B2E">
      <w:pPr>
        <w:pStyle w:val="4"/>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3AE1BD6A">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27F363EE">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43331F90">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36170B5">
      <w:pPr>
        <w:pStyle w:val="4"/>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40D3468A">
      <w:pPr>
        <w:pStyle w:val="4"/>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7D2FCDF">
      <w:pPr>
        <w:jc w:val="left"/>
        <w:rPr>
          <w:rFonts w:hint="eastAsia" w:ascii="黑体" w:hAnsi="黑体" w:eastAsia="黑体"/>
          <w:sz w:val="52"/>
          <w:szCs w:val="52"/>
          <w:u w:val="none"/>
        </w:rPr>
      </w:pPr>
    </w:p>
    <w:p w14:paraId="011C20F9">
      <w:pPr>
        <w:pStyle w:val="4"/>
        <w:spacing w:line="560" w:lineRule="exact"/>
        <w:ind w:left="1320" w:firstLine="0" w:firstLineChars="0"/>
        <w:jc w:val="left"/>
        <w:rPr>
          <w:rFonts w:ascii="黑体" w:hAnsi="黑体" w:eastAsia="黑体"/>
          <w:sz w:val="32"/>
          <w:szCs w:val="32"/>
          <w:u w:val="none"/>
        </w:rPr>
      </w:pPr>
    </w:p>
    <w:p w14:paraId="2B980B6A">
      <w:pPr>
        <w:spacing w:line="560" w:lineRule="exact"/>
        <w:jc w:val="left"/>
        <w:rPr>
          <w:rFonts w:ascii="黑体" w:hAnsi="黑体" w:eastAsia="黑体"/>
          <w:sz w:val="32"/>
          <w:szCs w:val="32"/>
          <w:u w:val="none"/>
        </w:rPr>
      </w:pPr>
    </w:p>
    <w:p w14:paraId="674FE39D">
      <w:pPr>
        <w:jc w:val="left"/>
        <w:rPr>
          <w:rFonts w:ascii="黑体" w:hAnsi="黑体" w:eastAsia="黑体"/>
          <w:sz w:val="32"/>
          <w:szCs w:val="32"/>
          <w:u w:val="none"/>
        </w:rPr>
      </w:pPr>
      <w:r>
        <w:rPr>
          <w:rFonts w:ascii="黑体" w:hAnsi="黑体" w:eastAsia="黑体"/>
          <w:sz w:val="32"/>
          <w:szCs w:val="32"/>
          <w:u w:val="none"/>
        </w:rPr>
        <w:br w:type="page"/>
      </w:r>
    </w:p>
    <w:p w14:paraId="509BD4BB">
      <w:pPr>
        <w:spacing w:line="560" w:lineRule="exact"/>
        <w:jc w:val="left"/>
        <w:rPr>
          <w:rFonts w:ascii="黑体" w:hAnsi="黑体" w:eastAsia="黑体"/>
          <w:sz w:val="32"/>
          <w:szCs w:val="32"/>
          <w:u w:val="none"/>
        </w:rPr>
      </w:pPr>
    </w:p>
    <w:p w14:paraId="70FF0990">
      <w:pPr>
        <w:pStyle w:val="4"/>
        <w:numPr>
          <w:ilvl w:val="0"/>
          <w:numId w:val="3"/>
        </w:numPr>
        <w:spacing w:line="560" w:lineRule="exact"/>
        <w:ind w:firstLineChars="0"/>
        <w:jc w:val="center"/>
        <w:rPr>
          <w:rFonts w:ascii="仿宋_GB2312" w:hAnsi="仿宋_GB2312" w:eastAsia="仿宋_GB2312" w:cs="仿宋_GB2312"/>
          <w:sz w:val="32"/>
          <w:szCs w:val="32"/>
          <w:u w:val="none"/>
        </w:rPr>
      </w:pPr>
      <w:r>
        <w:rPr>
          <w:rFonts w:hint="eastAsia" w:ascii="方正黑体_GBK" w:hAnsi="方正黑体_GBK" w:eastAsia="方正黑体_GBK" w:cs="方正黑体_GBK"/>
          <w:sz w:val="32"/>
          <w:szCs w:val="32"/>
          <w:u w:val="none"/>
          <w:lang w:val="en-US" w:eastAsia="zh-CN"/>
        </w:rPr>
        <w:t xml:space="preserve">  儋州市教育事业发展服务中心</w:t>
      </w:r>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62B2A260">
      <w:pPr>
        <w:pStyle w:val="4"/>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5038F9F4">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本单位主要以</w:t>
      </w:r>
      <w:r>
        <w:rPr>
          <w:rFonts w:hint="eastAsia" w:ascii="仿宋_GB2312" w:hAnsi="仿宋_GB2312" w:eastAsia="仿宋_GB2312" w:cs="仿宋_GB2312"/>
          <w:color w:val="auto"/>
          <w:sz w:val="32"/>
          <w:szCs w:val="32"/>
          <w:lang w:eastAsia="zh-CN"/>
        </w:rPr>
        <w:t>服务全市教育发展，办好人民满意的教育为宗旨。其主要职能是：（</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）负责落实以“两免一补”为主要内容的义务教育阶段资助贫困家庭学生政策,统筹本市学生各项资助工作。（</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）组织和指导学校的后勤管理工作和勤工俭学工作。（</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）负责监测学生的体检健康工作,组织开展学校卫生保健服务工作。（</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）负责全市教育系统的人事档案管理,组织、指导、检查、监督全市各级各类公立中小学(含幼儿园)的文件材料的归档工作。（</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）指导和协调全市教育项目建设的推进工作。（</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）协助主管部门做好全市中小学校舍安全管理的指导、检查、监督、评估、考核工作。（</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）协助市政府督导室开展全市教育督导、评估、检查验收、质量检测工作。（</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）负责建立健全学校教学质量监测与保障体系,协助做好全市各类学校的办学方向、办学水平、办学质量的监督、检查指导和评估工作。（</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）完成市委、市政府和上级部门交办的其他任务。</w:t>
      </w:r>
    </w:p>
    <w:p w14:paraId="55F28235">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8F858EC">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单位根据中共儋州市委机构编制委员会《关于理顺市教育局下属事业单位管理体制的通知》（儋编〔2020〕10号）文件精神，于2020年4月9日批复成立，单位类型为全额拨款事业单位，是隶属儋州市教育局管理的公益一类事业单位，本单位制定事业编制25名，设主任1名（管理六级）、副主任2名（管理七级）、内设机构领导职数5名（管理8级），其他工作人员17名。内设五个机构，分别是</w:t>
      </w:r>
      <w:r>
        <w:rPr>
          <w:rFonts w:hint="eastAsia" w:ascii="仿宋_GB2312" w:hAnsi="仿宋_GB2312" w:eastAsia="仿宋_GB2312" w:cs="仿宋_GB2312"/>
          <w:color w:val="auto"/>
          <w:sz w:val="32"/>
          <w:szCs w:val="32"/>
          <w:lang w:eastAsia="zh-CN"/>
        </w:rPr>
        <w:t>办公室(学生资助管理科)、综合服务科、</w:t>
      </w:r>
      <w:r>
        <w:rPr>
          <w:rFonts w:hint="eastAsia" w:ascii="仿宋_GB2312" w:hAnsi="仿宋_GB2312" w:eastAsia="仿宋_GB2312" w:cs="仿宋_GB2312"/>
          <w:color w:val="auto"/>
          <w:sz w:val="32"/>
          <w:szCs w:val="32"/>
          <w:lang w:val="en-US" w:eastAsia="zh-CN"/>
        </w:rPr>
        <w:t>信息管理科、</w:t>
      </w:r>
      <w:r>
        <w:rPr>
          <w:rFonts w:hint="eastAsia" w:ascii="仿宋_GB2312" w:hAnsi="仿宋_GB2312" w:eastAsia="仿宋_GB2312" w:cs="仿宋_GB2312"/>
          <w:color w:val="auto"/>
          <w:sz w:val="32"/>
          <w:szCs w:val="32"/>
          <w:lang w:eastAsia="zh-CN"/>
        </w:rPr>
        <w:t>项目建设科、质量检测科。</w:t>
      </w:r>
      <w:r>
        <w:rPr>
          <w:rFonts w:hint="eastAsia" w:ascii="仿宋_GB2312" w:hAnsi="仿宋_GB2312" w:eastAsia="仿宋_GB2312" w:cs="仿宋_GB2312"/>
          <w:color w:val="auto"/>
          <w:sz w:val="32"/>
          <w:szCs w:val="32"/>
          <w:lang w:val="en-US" w:eastAsia="zh-CN"/>
        </w:rPr>
        <w:t>目前本单位在编人数23名。单位所在地址：儋州市那大镇文化中路二中北侧青少年活动中心办公大楼101室。</w:t>
      </w:r>
    </w:p>
    <w:p w14:paraId="6170587A">
      <w:pPr>
        <w:pStyle w:val="4"/>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2C42D635">
      <w:pPr>
        <w:pStyle w:val="4"/>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097E6A0F">
      <w:pPr>
        <w:spacing w:line="560" w:lineRule="exact"/>
        <w:ind w:left="0"/>
        <w:jc w:val="center"/>
        <w:rPr>
          <w:rFonts w:hint="eastAsia" w:ascii="仿宋_GB2312" w:hAnsi="黑体" w:eastAsia="仿宋_GB2312"/>
          <w:b/>
          <w:sz w:val="32"/>
          <w:szCs w:val="32"/>
          <w:u w:val="none"/>
        </w:rPr>
      </w:pPr>
    </w:p>
    <w:p w14:paraId="687F32F1">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6152E68C">
      <w:pPr>
        <w:spacing w:line="560" w:lineRule="exact"/>
        <w:ind w:left="800"/>
        <w:jc w:val="center"/>
        <w:rPr>
          <w:rFonts w:hint="eastAsia" w:ascii="仿宋_GB2312" w:hAnsi="黑体" w:eastAsia="仿宋_GB2312"/>
          <w:b/>
          <w:sz w:val="32"/>
          <w:szCs w:val="32"/>
          <w:u w:val="none"/>
        </w:rPr>
      </w:pPr>
    </w:p>
    <w:p w14:paraId="5FDDDF6E">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027EB944">
      <w:pPr>
        <w:spacing w:line="560" w:lineRule="exact"/>
        <w:jc w:val="center"/>
        <w:rPr>
          <w:rFonts w:ascii="黑体" w:hAnsi="黑体" w:eastAsia="黑体"/>
          <w:sz w:val="32"/>
          <w:szCs w:val="32"/>
          <w:u w:val="none"/>
        </w:rPr>
      </w:pPr>
    </w:p>
    <w:p w14:paraId="783A3994">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7B27AD68">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儋州市教育事业发展服务中心2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467.1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27.98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单位人员经费、社保缴费标准、医保缴费标准、公积金缴存等较上年均有所增加，民生保障水平提升</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467.1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467.01</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0.08</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467.1</w:t>
      </w:r>
      <w:r>
        <w:rPr>
          <w:rFonts w:hint="eastAsia" w:ascii="仿宋_GB2312" w:hAnsi="黑体" w:eastAsia="仿宋_GB2312"/>
          <w:color w:val="auto"/>
          <w:sz w:val="32"/>
          <w:szCs w:val="32"/>
          <w:u w:val="none"/>
        </w:rPr>
        <w:t>万元，包括</w:t>
      </w:r>
      <w:r>
        <w:rPr>
          <w:rFonts w:hint="eastAsia" w:ascii="仿宋_GB2312" w:hAnsi="黑体" w:eastAsia="仿宋_GB2312"/>
          <w:color w:val="auto"/>
          <w:sz w:val="32"/>
          <w:szCs w:val="32"/>
        </w:rPr>
        <w:t>教育支出</w:t>
      </w:r>
      <w:r>
        <w:rPr>
          <w:rFonts w:hint="eastAsia" w:ascii="仿宋_GB2312" w:hAnsi="黑体" w:eastAsia="仿宋_GB2312" w:cs="仿宋_GB2312"/>
          <w:color w:val="auto"/>
          <w:sz w:val="32"/>
          <w:szCs w:val="32"/>
          <w:lang w:val="en-US" w:eastAsia="zh-CN"/>
        </w:rPr>
        <w:t>333.04</w:t>
      </w:r>
      <w:r>
        <w:rPr>
          <w:rFonts w:hint="eastAsia" w:ascii="仿宋_GB2312" w:hAnsi="黑体" w:eastAsia="仿宋_GB2312"/>
          <w:color w:val="auto"/>
          <w:sz w:val="32"/>
          <w:szCs w:val="32"/>
        </w:rPr>
        <w:t>万元、 社会保障和就业支出</w:t>
      </w:r>
      <w:r>
        <w:rPr>
          <w:rFonts w:hint="eastAsia" w:ascii="仿宋_GB2312" w:hAnsi="黑体" w:eastAsia="仿宋_GB2312" w:cs="仿宋_GB2312"/>
          <w:color w:val="auto"/>
          <w:sz w:val="32"/>
          <w:szCs w:val="32"/>
          <w:lang w:val="en-US" w:eastAsia="zh-CN"/>
        </w:rPr>
        <w:t>58.58</w:t>
      </w:r>
      <w:r>
        <w:rPr>
          <w:rFonts w:hint="eastAsia" w:ascii="仿宋_GB2312" w:hAnsi="黑体" w:eastAsia="仿宋_GB2312"/>
          <w:color w:val="auto"/>
          <w:sz w:val="32"/>
          <w:szCs w:val="32"/>
        </w:rPr>
        <w:t>万元、卫生健康支出</w:t>
      </w:r>
      <w:r>
        <w:rPr>
          <w:rFonts w:hint="eastAsia" w:ascii="仿宋_GB2312" w:hAnsi="黑体" w:eastAsia="仿宋_GB2312" w:cs="仿宋_GB2312"/>
          <w:color w:val="auto"/>
          <w:sz w:val="32"/>
          <w:szCs w:val="32"/>
          <w:lang w:val="en-US" w:eastAsia="zh-CN"/>
        </w:rPr>
        <w:t>43.86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住房保障支出</w:t>
      </w:r>
      <w:r>
        <w:rPr>
          <w:rFonts w:hint="eastAsia" w:ascii="仿宋_GB2312" w:hAnsi="黑体" w:eastAsia="仿宋_GB2312"/>
          <w:color w:val="auto"/>
          <w:sz w:val="32"/>
          <w:szCs w:val="32"/>
          <w:lang w:val="en-US" w:eastAsia="zh-CN"/>
        </w:rPr>
        <w:t>31.62万元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sz w:val="32"/>
          <w:szCs w:val="32"/>
          <w:u w:val="none"/>
        </w:rPr>
        <w:t>。</w:t>
      </w:r>
    </w:p>
    <w:p w14:paraId="13120E9B">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59F9F95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3C7680D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儋州市教育事业发展服务中心</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467.1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27.98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单位人员经费、社保缴费标准、医保缴费标准、公积金缴存等较上年均有所增加，民生保障水平提升</w:t>
      </w:r>
      <w:r>
        <w:rPr>
          <w:rFonts w:hint="eastAsia" w:ascii="仿宋_GB2312" w:hAnsi="黑体" w:eastAsia="仿宋_GB2312"/>
          <w:color w:val="auto"/>
          <w:sz w:val="32"/>
          <w:szCs w:val="32"/>
          <w:highlight w:val="none"/>
          <w:u w:val="none"/>
        </w:rPr>
        <w:t>。</w:t>
      </w:r>
    </w:p>
    <w:p w14:paraId="432F205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AE9220D">
      <w:pPr>
        <w:spacing w:line="560" w:lineRule="exact"/>
        <w:ind w:firstLine="64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教育（类）支出</w:t>
      </w:r>
      <w:r>
        <w:rPr>
          <w:rFonts w:hint="eastAsia" w:ascii="仿宋_GB2312" w:hAnsi="黑体" w:eastAsia="仿宋_GB2312" w:cs="仿宋_GB2312"/>
          <w:color w:val="auto"/>
          <w:sz w:val="32"/>
          <w:szCs w:val="32"/>
          <w:lang w:val="en-US" w:eastAsia="zh-CN"/>
        </w:rPr>
        <w:t>333.04</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71.30</w:t>
      </w:r>
      <w:r>
        <w:rPr>
          <w:rFonts w:hint="eastAsia" w:ascii="仿宋_GB2312" w:hAnsi="仿宋_GB2312" w:eastAsia="仿宋_GB2312" w:cs="仿宋_GB2312"/>
          <w:color w:val="auto"/>
          <w:sz w:val="32"/>
          <w:szCs w:val="32"/>
        </w:rPr>
        <w:t>%；社会保障和就业（类）支出</w:t>
      </w:r>
      <w:r>
        <w:rPr>
          <w:rFonts w:hint="eastAsia" w:ascii="仿宋_GB2312" w:hAnsi="黑体" w:eastAsia="仿宋_GB2312" w:cs="仿宋_GB2312"/>
          <w:color w:val="auto"/>
          <w:sz w:val="32"/>
          <w:szCs w:val="32"/>
          <w:lang w:val="en-US" w:eastAsia="zh-CN"/>
        </w:rPr>
        <w:t>58.58</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12.54</w:t>
      </w:r>
      <w:r>
        <w:rPr>
          <w:rFonts w:hint="eastAsia" w:ascii="仿宋_GB2312" w:hAnsi="仿宋_GB2312" w:eastAsia="仿宋_GB2312" w:cs="仿宋_GB2312"/>
          <w:color w:val="auto"/>
          <w:sz w:val="32"/>
          <w:szCs w:val="32"/>
        </w:rPr>
        <w:t>%；卫生健康（类）支出</w:t>
      </w:r>
      <w:r>
        <w:rPr>
          <w:rFonts w:hint="eastAsia" w:ascii="仿宋_GB2312" w:hAnsi="黑体" w:eastAsia="仿宋_GB2312" w:cs="仿宋_GB2312"/>
          <w:color w:val="auto"/>
          <w:sz w:val="32"/>
          <w:szCs w:val="32"/>
          <w:lang w:val="en-US" w:eastAsia="zh-CN"/>
        </w:rPr>
        <w:t>43.86</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9.39</w:t>
      </w:r>
      <w:r>
        <w:rPr>
          <w:rFonts w:hint="eastAsia" w:ascii="仿宋_GB2312" w:hAnsi="仿宋_GB2312" w:eastAsia="仿宋_GB2312" w:cs="仿宋_GB2312"/>
          <w:color w:val="auto"/>
          <w:sz w:val="32"/>
          <w:szCs w:val="32"/>
        </w:rPr>
        <w:t>%；住房保障（类）支出</w:t>
      </w:r>
      <w:r>
        <w:rPr>
          <w:rFonts w:hint="eastAsia" w:ascii="仿宋_GB2312" w:hAnsi="黑体" w:eastAsia="仿宋_GB2312"/>
          <w:color w:val="auto"/>
          <w:sz w:val="32"/>
          <w:szCs w:val="32"/>
          <w:lang w:val="en-US" w:eastAsia="zh-CN"/>
        </w:rPr>
        <w:t>31.62</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6.77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14:paraId="0D4A14C8">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83384E8">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1.教育支出（类）教育管理事务（款）其他教育管理事务支出（项）</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332.95</w:t>
      </w:r>
      <w:r>
        <w:rPr>
          <w:rFonts w:hint="eastAsia" w:ascii="仿宋_GB2312" w:hAnsi="仿宋_GB2312" w:eastAsia="仿宋_GB2312" w:cs="仿宋_GB2312"/>
          <w:color w:val="auto"/>
          <w:sz w:val="32"/>
          <w:szCs w:val="32"/>
        </w:rPr>
        <w:t>万元，比上年预算数</w:t>
      </w:r>
      <w:r>
        <w:rPr>
          <w:rFonts w:hint="eastAsia" w:ascii="仿宋_GB2312" w:hAnsi="仿宋_GB2312" w:eastAsia="仿宋_GB2312" w:cs="仿宋_GB2312"/>
          <w:color w:val="auto"/>
          <w:sz w:val="32"/>
          <w:szCs w:val="32"/>
          <w:lang w:eastAsia="zh-CN"/>
        </w:rPr>
        <w:t>增加</w:t>
      </w:r>
      <w:r>
        <w:rPr>
          <w:rFonts w:hint="eastAsia" w:ascii="仿宋_GB2312" w:hAnsi="仿宋_GB2312" w:eastAsia="仿宋_GB2312" w:cs="仿宋_GB2312"/>
          <w:color w:val="auto"/>
          <w:sz w:val="32"/>
          <w:szCs w:val="32"/>
          <w:lang w:val="en-US" w:eastAsia="zh-CN"/>
        </w:rPr>
        <w:t>48.79</w:t>
      </w:r>
      <w:r>
        <w:rPr>
          <w:rFonts w:hint="eastAsia" w:ascii="仿宋_GB2312" w:hAnsi="仿宋_GB2312" w:eastAsia="仿宋_GB2312" w:cs="仿宋_GB2312"/>
          <w:color w:val="auto"/>
          <w:sz w:val="32"/>
          <w:szCs w:val="32"/>
        </w:rPr>
        <w:t>万元，主要是</w:t>
      </w:r>
      <w:r>
        <w:rPr>
          <w:rFonts w:hint="eastAsia" w:ascii="仿宋_GB2312" w:hAnsi="黑体" w:eastAsia="仿宋_GB2312"/>
          <w:color w:val="auto"/>
          <w:sz w:val="32"/>
          <w:szCs w:val="32"/>
          <w:u w:val="none"/>
          <w:lang w:val="en-US" w:eastAsia="zh-CN"/>
        </w:rPr>
        <w:t>单位人员经费较上年有所增加</w:t>
      </w:r>
      <w:r>
        <w:rPr>
          <w:rFonts w:hint="eastAsia" w:ascii="仿宋_GB2312" w:hAnsi="仿宋_GB2312" w:eastAsia="仿宋_GB2312" w:cs="仿宋_GB2312"/>
          <w:color w:val="auto"/>
          <w:sz w:val="32"/>
          <w:szCs w:val="32"/>
          <w:lang w:eastAsia="zh-CN"/>
        </w:rPr>
        <w:t>。</w:t>
      </w:r>
    </w:p>
    <w:p w14:paraId="54245597">
      <w:pPr>
        <w:ind w:firstLine="640" w:firstLineChars="200"/>
        <w:rPr>
          <w:rFonts w:hint="eastAsia" w:ascii="仿宋_GB2312" w:hAnsi="仿宋_GB2312" w:eastAsia="仿宋_GB2312" w:cs="仿宋_GB2312"/>
          <w:color w:val="0000FF"/>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.教育支出（类）教育管理事务（款）其他教育支出（项）</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0.08</w:t>
      </w:r>
      <w:r>
        <w:rPr>
          <w:rFonts w:hint="eastAsia" w:ascii="仿宋_GB2312" w:hAnsi="仿宋_GB2312" w:eastAsia="仿宋_GB2312" w:cs="仿宋_GB2312"/>
          <w:color w:val="auto"/>
          <w:sz w:val="32"/>
          <w:szCs w:val="32"/>
        </w:rPr>
        <w:t>万元，比上年预算数</w:t>
      </w:r>
      <w:r>
        <w:rPr>
          <w:rFonts w:hint="eastAsia" w:ascii="仿宋_GB2312" w:hAnsi="仿宋_GB2312" w:eastAsia="仿宋_GB2312" w:cs="仿宋_GB2312"/>
          <w:color w:val="auto"/>
          <w:sz w:val="32"/>
          <w:szCs w:val="32"/>
          <w:lang w:eastAsia="zh-CN"/>
        </w:rPr>
        <w:t>减少</w:t>
      </w:r>
      <w:r>
        <w:rPr>
          <w:rFonts w:hint="eastAsia" w:ascii="仿宋_GB2312" w:hAnsi="仿宋_GB2312" w:eastAsia="仿宋_GB2312" w:cs="仿宋_GB2312"/>
          <w:color w:val="auto"/>
          <w:sz w:val="32"/>
          <w:szCs w:val="32"/>
          <w:lang w:val="en-US" w:eastAsia="zh-CN"/>
        </w:rPr>
        <w:t>28.58</w:t>
      </w:r>
      <w:r>
        <w:rPr>
          <w:rFonts w:hint="eastAsia" w:ascii="仿宋_GB2312" w:hAnsi="仿宋_GB2312" w:eastAsia="仿宋_GB2312" w:cs="仿宋_GB2312"/>
          <w:color w:val="auto"/>
          <w:sz w:val="32"/>
          <w:szCs w:val="32"/>
        </w:rPr>
        <w:t>万元，主要是</w:t>
      </w:r>
      <w:r>
        <w:rPr>
          <w:rFonts w:hint="eastAsia" w:ascii="仿宋_GB2312" w:hAnsi="仿宋_GB2312" w:eastAsia="仿宋_GB2312" w:cs="仿宋_GB2312"/>
          <w:color w:val="auto"/>
          <w:sz w:val="32"/>
          <w:szCs w:val="32"/>
          <w:lang w:eastAsia="zh-CN"/>
        </w:rPr>
        <w:t>按照预算管理有关要求，压减该项预算经费。</w:t>
      </w:r>
    </w:p>
    <w:p w14:paraId="2A0A9529">
      <w:pPr>
        <w:ind w:firstLine="640" w:firstLineChars="200"/>
        <w:rPr>
          <w:rFonts w:hint="eastAsia" w:ascii="仿宋_GB2312" w:hAnsi="仿宋_GB2312" w:eastAsia="仿宋_GB2312" w:cs="仿宋_GB2312"/>
          <w:color w:val="0000FF"/>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39.05</w:t>
      </w:r>
      <w:r>
        <w:rPr>
          <w:rFonts w:hint="eastAsia" w:ascii="仿宋_GB2312" w:hAnsi="仿宋_GB2312" w:eastAsia="仿宋_GB2312" w:cs="仿宋_GB2312"/>
          <w:color w:val="auto"/>
          <w:sz w:val="32"/>
          <w:szCs w:val="32"/>
        </w:rPr>
        <w:t>万元，比上年预算数增加</w:t>
      </w:r>
      <w:r>
        <w:rPr>
          <w:rFonts w:hint="eastAsia" w:ascii="仿宋_GB2312" w:hAnsi="仿宋_GB2312" w:eastAsia="仿宋_GB2312" w:cs="仿宋_GB2312"/>
          <w:color w:val="auto"/>
          <w:sz w:val="32"/>
          <w:szCs w:val="32"/>
          <w:lang w:val="en-US" w:eastAsia="zh-CN"/>
        </w:rPr>
        <w:t>3.19</w:t>
      </w:r>
      <w:r>
        <w:rPr>
          <w:rFonts w:hint="eastAsia" w:ascii="仿宋_GB2312" w:hAnsi="仿宋_GB2312" w:eastAsia="仿宋_GB2312" w:cs="仿宋_GB2312"/>
          <w:color w:val="auto"/>
          <w:sz w:val="32"/>
          <w:szCs w:val="32"/>
        </w:rPr>
        <w:t>万元，主要是</w:t>
      </w:r>
      <w:r>
        <w:rPr>
          <w:rFonts w:hint="eastAsia" w:ascii="仿宋_GB2312" w:hAnsi="黑体" w:eastAsia="仿宋_GB2312"/>
          <w:color w:val="auto"/>
          <w:sz w:val="32"/>
          <w:szCs w:val="32"/>
          <w:u w:val="none"/>
          <w:lang w:val="en-US" w:eastAsia="zh-CN"/>
        </w:rPr>
        <w:t>单位社保缴费标准较上年有所增加</w:t>
      </w:r>
      <w:r>
        <w:rPr>
          <w:rFonts w:hint="eastAsia" w:ascii="仿宋_GB2312" w:hAnsi="仿宋_GB2312" w:eastAsia="仿宋_GB2312" w:cs="仿宋_GB2312"/>
          <w:color w:val="auto"/>
          <w:sz w:val="32"/>
          <w:szCs w:val="32"/>
          <w:lang w:eastAsia="zh-CN"/>
        </w:rPr>
        <w:t>。</w:t>
      </w:r>
    </w:p>
    <w:p w14:paraId="07D8E463">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.社会保障和就业支出（类）行政事业单位养老支出（款）机关事业单位职业年金缴费支出（项）</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19.53</w:t>
      </w:r>
      <w:r>
        <w:rPr>
          <w:rFonts w:hint="eastAsia" w:ascii="仿宋_GB2312" w:hAnsi="仿宋_GB2312" w:eastAsia="仿宋_GB2312" w:cs="仿宋_GB2312"/>
          <w:color w:val="auto"/>
          <w:sz w:val="32"/>
          <w:szCs w:val="32"/>
        </w:rPr>
        <w:t>万元，比上年预算数增加</w:t>
      </w: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万元，主要是</w:t>
      </w:r>
      <w:r>
        <w:rPr>
          <w:rFonts w:hint="eastAsia" w:ascii="仿宋_GB2312" w:hAnsi="黑体" w:eastAsia="仿宋_GB2312"/>
          <w:color w:val="auto"/>
          <w:sz w:val="32"/>
          <w:szCs w:val="32"/>
          <w:u w:val="none"/>
          <w:lang w:val="en-US" w:eastAsia="zh-CN"/>
        </w:rPr>
        <w:t>单位社保缴费标准较上年有所增加</w:t>
      </w:r>
      <w:r>
        <w:rPr>
          <w:rFonts w:hint="eastAsia" w:ascii="仿宋_GB2312" w:hAnsi="仿宋_GB2312" w:eastAsia="仿宋_GB2312" w:cs="仿宋_GB2312"/>
          <w:color w:val="auto"/>
          <w:sz w:val="32"/>
          <w:szCs w:val="32"/>
          <w:lang w:eastAsia="zh-CN"/>
        </w:rPr>
        <w:t>。</w:t>
      </w:r>
    </w:p>
    <w:p w14:paraId="37C7ED82">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卫生健康支出（类）行政事业单位医疗（款）事业单位医疗（项）</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13.62</w:t>
      </w:r>
      <w:r>
        <w:rPr>
          <w:rFonts w:hint="eastAsia" w:ascii="仿宋_GB2312" w:hAnsi="仿宋_GB2312" w:eastAsia="仿宋_GB2312" w:cs="仿宋_GB2312"/>
          <w:color w:val="auto"/>
          <w:sz w:val="32"/>
          <w:szCs w:val="32"/>
        </w:rPr>
        <w:t>万元，比上年预算数</w:t>
      </w:r>
      <w:r>
        <w:rPr>
          <w:rFonts w:hint="eastAsia" w:ascii="仿宋_GB2312" w:hAnsi="仿宋_GB2312" w:eastAsia="仿宋_GB2312" w:cs="仿宋_GB2312"/>
          <w:color w:val="auto"/>
          <w:sz w:val="32"/>
          <w:szCs w:val="32"/>
          <w:lang w:val="en-US" w:eastAsia="zh-CN"/>
        </w:rPr>
        <w:t>减少2.91</w:t>
      </w:r>
      <w:r>
        <w:rPr>
          <w:rFonts w:hint="eastAsia" w:ascii="仿宋_GB2312" w:hAnsi="仿宋_GB2312" w:eastAsia="仿宋_GB2312" w:cs="仿宋_GB2312"/>
          <w:color w:val="auto"/>
          <w:sz w:val="32"/>
          <w:szCs w:val="32"/>
        </w:rPr>
        <w:t>万元，主要是</w:t>
      </w:r>
      <w:r>
        <w:rPr>
          <w:rFonts w:hint="eastAsia" w:ascii="仿宋_GB2312" w:hAnsi="仿宋_GB2312" w:eastAsia="仿宋_GB2312" w:cs="仿宋_GB2312"/>
          <w:color w:val="auto"/>
          <w:sz w:val="32"/>
          <w:szCs w:val="32"/>
          <w:lang w:eastAsia="zh-CN"/>
        </w:rPr>
        <w:t>按照预算管理有关要求，压减该项预算经费。</w:t>
      </w:r>
    </w:p>
    <w:p w14:paraId="05E956E2">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卫生健康支出（类）行政事业单位医疗（款）公务员医疗补助（项）</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30.24</w:t>
      </w:r>
      <w:r>
        <w:rPr>
          <w:rFonts w:hint="eastAsia" w:ascii="仿宋_GB2312" w:hAnsi="仿宋_GB2312" w:eastAsia="仿宋_GB2312" w:cs="仿宋_GB2312"/>
          <w:color w:val="auto"/>
          <w:sz w:val="32"/>
          <w:szCs w:val="32"/>
        </w:rPr>
        <w:t>万元，比上年预算数增加</w:t>
      </w:r>
      <w:r>
        <w:rPr>
          <w:rFonts w:hint="eastAsia" w:ascii="仿宋_GB2312" w:hAnsi="仿宋_GB2312" w:eastAsia="仿宋_GB2312" w:cs="仿宋_GB2312"/>
          <w:color w:val="auto"/>
          <w:sz w:val="32"/>
          <w:szCs w:val="32"/>
          <w:lang w:val="en-US" w:eastAsia="zh-CN"/>
        </w:rPr>
        <w:t>3.44</w:t>
      </w:r>
      <w:r>
        <w:rPr>
          <w:rFonts w:hint="eastAsia" w:ascii="仿宋_GB2312" w:hAnsi="仿宋_GB2312" w:eastAsia="仿宋_GB2312" w:cs="仿宋_GB2312"/>
          <w:color w:val="auto"/>
          <w:sz w:val="32"/>
          <w:szCs w:val="32"/>
        </w:rPr>
        <w:t>万元，主要是</w:t>
      </w:r>
      <w:r>
        <w:rPr>
          <w:rFonts w:hint="eastAsia" w:ascii="仿宋_GB2312" w:hAnsi="黑体" w:eastAsia="仿宋_GB2312"/>
          <w:color w:val="auto"/>
          <w:sz w:val="32"/>
          <w:szCs w:val="32"/>
          <w:u w:val="none"/>
          <w:lang w:val="en-US" w:eastAsia="zh-CN"/>
        </w:rPr>
        <w:t>单位医保缴费标准较上年有所增加</w:t>
      </w:r>
      <w:r>
        <w:rPr>
          <w:rFonts w:hint="eastAsia" w:ascii="仿宋_GB2312" w:hAnsi="仿宋_GB2312" w:eastAsia="仿宋_GB2312" w:cs="仿宋_GB2312"/>
          <w:color w:val="auto"/>
          <w:sz w:val="32"/>
          <w:szCs w:val="32"/>
          <w:lang w:eastAsia="zh-CN"/>
        </w:rPr>
        <w:t>。</w:t>
      </w:r>
    </w:p>
    <w:p w14:paraId="419AFB06">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住房保障支出（类）住房改革支出（款）住房公积金（项）</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年预算数为</w:t>
      </w:r>
      <w:r>
        <w:rPr>
          <w:rFonts w:hint="eastAsia" w:ascii="仿宋_GB2312" w:hAnsi="仿宋_GB2312" w:eastAsia="仿宋_GB2312" w:cs="仿宋_GB2312"/>
          <w:color w:val="auto"/>
          <w:sz w:val="32"/>
          <w:szCs w:val="32"/>
          <w:lang w:val="en-US" w:eastAsia="zh-CN"/>
        </w:rPr>
        <w:t>31.62</w:t>
      </w:r>
      <w:r>
        <w:rPr>
          <w:rFonts w:hint="eastAsia" w:ascii="仿宋_GB2312" w:hAnsi="仿宋_GB2312" w:eastAsia="仿宋_GB2312" w:cs="仿宋_GB2312"/>
          <w:color w:val="auto"/>
          <w:sz w:val="32"/>
          <w:szCs w:val="32"/>
        </w:rPr>
        <w:t>万元，比上年预算数增加</w:t>
      </w:r>
      <w:r>
        <w:rPr>
          <w:rFonts w:hint="eastAsia" w:ascii="仿宋_GB2312" w:hAnsi="仿宋_GB2312" w:eastAsia="仿宋_GB2312" w:cs="仿宋_GB2312"/>
          <w:color w:val="auto"/>
          <w:sz w:val="32"/>
          <w:szCs w:val="32"/>
          <w:lang w:val="en-US" w:eastAsia="zh-CN"/>
        </w:rPr>
        <w:t>2.43</w:t>
      </w:r>
      <w:r>
        <w:rPr>
          <w:rFonts w:hint="eastAsia" w:ascii="仿宋_GB2312" w:hAnsi="仿宋_GB2312" w:eastAsia="仿宋_GB2312" w:cs="仿宋_GB2312"/>
          <w:color w:val="auto"/>
          <w:sz w:val="32"/>
          <w:szCs w:val="32"/>
        </w:rPr>
        <w:t>万元，主要是</w:t>
      </w:r>
      <w:r>
        <w:rPr>
          <w:rFonts w:hint="eastAsia" w:ascii="仿宋_GB2312" w:hAnsi="黑体" w:eastAsia="仿宋_GB2312"/>
          <w:color w:val="auto"/>
          <w:sz w:val="32"/>
          <w:szCs w:val="32"/>
          <w:u w:val="none"/>
          <w:lang w:val="en-US" w:eastAsia="zh-CN"/>
        </w:rPr>
        <w:t>单位公积金缴存标准较上年有所增加</w:t>
      </w:r>
      <w:r>
        <w:rPr>
          <w:rFonts w:hint="eastAsia" w:ascii="仿宋_GB2312" w:hAnsi="仿宋_GB2312" w:eastAsia="仿宋_GB2312" w:cs="仿宋_GB2312"/>
          <w:color w:val="auto"/>
          <w:sz w:val="32"/>
          <w:szCs w:val="32"/>
          <w:lang w:eastAsia="zh-CN"/>
        </w:rPr>
        <w:t>。</w:t>
      </w:r>
    </w:p>
    <w:p w14:paraId="3CACAB45">
      <w:pPr>
        <w:spacing w:line="560" w:lineRule="exact"/>
        <w:ind w:firstLine="640"/>
        <w:rPr>
          <w:rFonts w:ascii="黑体" w:hAnsi="黑体" w:eastAsia="黑体"/>
          <w:color w:val="auto"/>
          <w:sz w:val="32"/>
          <w:szCs w:val="32"/>
          <w:u w:val="none"/>
        </w:rPr>
      </w:pPr>
      <w:r>
        <w:rPr>
          <w:rFonts w:hint="eastAsia" w:ascii="黑体" w:hAnsi="黑体" w:eastAsia="黑体"/>
          <w:color w:val="auto"/>
          <w:sz w:val="32"/>
          <w:szCs w:val="32"/>
          <w:u w:val="none"/>
        </w:rPr>
        <w:t>三、一般公共预算基本支出情况说明</w:t>
      </w:r>
    </w:p>
    <w:p w14:paraId="62FC12A2">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儋州市教育事业发展服务中心</w:t>
      </w:r>
      <w:r>
        <w:rPr>
          <w:rFonts w:hint="eastAsia" w:ascii="仿宋_GB2312" w:hAnsi="黑体" w:eastAsia="仿宋_GB2312"/>
          <w:color w:val="auto"/>
          <w:sz w:val="32"/>
          <w:szCs w:val="32"/>
          <w:lang w:val="en-US" w:eastAsia="zh-CN"/>
        </w:rPr>
        <w:t>2026</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lang w:val="en-US" w:eastAsia="zh-CN"/>
        </w:rPr>
        <w:t>439.36</w:t>
      </w:r>
      <w:r>
        <w:rPr>
          <w:rFonts w:hint="eastAsia" w:ascii="仿宋_GB2312" w:hAnsi="黑体" w:eastAsia="仿宋_GB2312"/>
          <w:color w:val="auto"/>
          <w:sz w:val="32"/>
          <w:szCs w:val="32"/>
        </w:rPr>
        <w:t>万元，其中：</w:t>
      </w:r>
    </w:p>
    <w:p w14:paraId="31790825">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lang w:val="en-US" w:eastAsia="zh-CN"/>
        </w:rPr>
        <w:t>409.92</w:t>
      </w:r>
      <w:r>
        <w:rPr>
          <w:rFonts w:hint="eastAsia" w:ascii="仿宋_GB2312" w:hAnsi="黑体" w:eastAsia="仿宋_GB2312"/>
          <w:color w:val="auto"/>
          <w:sz w:val="32"/>
          <w:szCs w:val="32"/>
        </w:rPr>
        <w:t>万元，主要包括：基本工资、津贴补贴、绩效工资、机关事业单位基本养老保险缴费、职工基本医疗保险缴费</w:t>
      </w:r>
      <w:r>
        <w:rPr>
          <w:rFonts w:hint="eastAsia" w:ascii="仿宋_GB2312" w:hAnsi="黑体" w:eastAsia="仿宋_GB2312"/>
          <w:color w:val="auto"/>
          <w:sz w:val="32"/>
          <w:szCs w:val="32"/>
          <w:lang w:eastAsia="zh-CN"/>
        </w:rPr>
        <w:t>、公务员医疗补助缴费、其他社会保障缴费、住房公积金、邮电费等</w:t>
      </w:r>
      <w:r>
        <w:rPr>
          <w:rFonts w:hint="eastAsia" w:ascii="仿宋_GB2312" w:hAnsi="黑体" w:eastAsia="仿宋_GB2312"/>
          <w:color w:val="auto"/>
          <w:sz w:val="32"/>
          <w:szCs w:val="32"/>
        </w:rPr>
        <w:t>;</w:t>
      </w:r>
    </w:p>
    <w:p w14:paraId="12D0B36A">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29.44</w:t>
      </w:r>
      <w:r>
        <w:rPr>
          <w:rFonts w:hint="eastAsia" w:ascii="仿宋_GB2312" w:hAnsi="黑体" w:eastAsia="仿宋_GB2312"/>
          <w:color w:val="auto"/>
          <w:sz w:val="32"/>
          <w:szCs w:val="32"/>
        </w:rPr>
        <w:t>万元，主要包括：办公费、</w:t>
      </w:r>
      <w:r>
        <w:rPr>
          <w:rFonts w:hint="eastAsia" w:ascii="仿宋_GB2312" w:hAnsi="黑体" w:eastAsia="仿宋_GB2312"/>
          <w:color w:val="auto"/>
          <w:sz w:val="32"/>
          <w:szCs w:val="32"/>
          <w:lang w:eastAsia="zh-CN"/>
        </w:rPr>
        <w:t>邮电费、</w:t>
      </w:r>
      <w:r>
        <w:rPr>
          <w:rFonts w:hint="eastAsia" w:ascii="仿宋_GB2312" w:hAnsi="黑体" w:eastAsia="仿宋_GB2312"/>
          <w:color w:val="auto"/>
          <w:sz w:val="32"/>
          <w:szCs w:val="32"/>
          <w:lang w:val="en-US" w:eastAsia="zh-CN"/>
        </w:rPr>
        <w:t>印刷费、差旅费、</w:t>
      </w:r>
      <w:r>
        <w:rPr>
          <w:rFonts w:hint="eastAsia" w:ascii="仿宋_GB2312" w:hAnsi="黑体" w:eastAsia="仿宋_GB2312"/>
          <w:color w:val="auto"/>
          <w:sz w:val="32"/>
          <w:szCs w:val="32"/>
        </w:rPr>
        <w:t>工会经费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14:paraId="32654C27">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四、</w:t>
      </w:r>
      <w:r>
        <w:rPr>
          <w:rFonts w:ascii="黑体" w:hAnsi="黑体" w:eastAsia="黑体" w:cs="Times New Roman"/>
          <w:color w:val="auto"/>
          <w:sz w:val="32"/>
          <w:u w:val="none"/>
          <w:shd w:val="clear" w:color="auto" w:fill="FFFFFF"/>
        </w:rPr>
        <w:t>“三公”经费预算情况</w:t>
      </w:r>
      <w:r>
        <w:rPr>
          <w:rFonts w:hint="eastAsia" w:ascii="黑体" w:hAnsi="黑体" w:eastAsia="黑体" w:cs="Times New Roman"/>
          <w:color w:val="auto"/>
          <w:sz w:val="32"/>
          <w:u w:val="none"/>
          <w:shd w:val="clear" w:color="auto" w:fill="FFFFFF"/>
        </w:rPr>
        <w:t>说明</w:t>
      </w:r>
    </w:p>
    <w:p w14:paraId="3B218A65">
      <w:pPr>
        <w:ind w:firstLine="630"/>
        <w:rPr>
          <w:rFonts w:ascii="Times New Roman" w:hAnsi="Times New Roman" w:eastAsia="仿宋_GB2312" w:cs="Times New Roman"/>
          <w:color w:val="auto"/>
          <w:sz w:val="32"/>
          <w:shd w:val="clear" w:color="auto" w:fill="FFFFFF"/>
        </w:rPr>
      </w:pPr>
      <w:r>
        <w:rPr>
          <w:rFonts w:hint="eastAsia" w:ascii="仿宋_GB2312" w:hAnsi="黑体" w:eastAsia="仿宋_GB2312"/>
          <w:color w:val="auto"/>
          <w:sz w:val="32"/>
          <w:szCs w:val="32"/>
        </w:rPr>
        <w:t>（一）</w:t>
      </w:r>
      <w:r>
        <w:rPr>
          <w:rFonts w:hint="eastAsia" w:ascii="仿宋_GB2312" w:hAnsi="黑体" w:eastAsia="仿宋_GB2312"/>
          <w:color w:val="auto"/>
          <w:sz w:val="32"/>
          <w:szCs w:val="32"/>
          <w:lang w:eastAsia="zh-CN"/>
        </w:rPr>
        <w:t>儋州市教育事业发展服务中心</w:t>
      </w:r>
      <w:r>
        <w:rPr>
          <w:rFonts w:hint="eastAsia" w:ascii="仿宋_GB2312" w:hAnsi="黑体" w:eastAsia="仿宋_GB2312"/>
          <w:color w:val="auto"/>
          <w:sz w:val="32"/>
          <w:szCs w:val="32"/>
          <w:lang w:val="en-US" w:eastAsia="zh-CN"/>
        </w:rPr>
        <w:t>2026</w:t>
      </w:r>
      <w:r>
        <w:rPr>
          <w:rFonts w:hint="eastAsia" w:ascii="仿宋_GB2312" w:hAnsi="黑体" w:eastAsia="仿宋_GB2312"/>
          <w:color w:val="auto"/>
          <w:sz w:val="32"/>
          <w:szCs w:val="32"/>
        </w:rPr>
        <w:t>年一般公共预算“三公”经费预算数为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rPr>
        <w:t>。</w:t>
      </w:r>
    </w:p>
    <w:p w14:paraId="5B05AB5C">
      <w:pPr>
        <w:ind w:firstLine="640" w:firstLineChars="200"/>
        <w:rPr>
          <w:rFonts w:ascii="Times New Roman" w:hAnsi="Times New Roman" w:eastAsia="仿宋_GB2312" w:cs="Times New Roman"/>
          <w:color w:val="auto"/>
          <w:sz w:val="32"/>
          <w:shd w:val="clear" w:color="auto" w:fill="FFFFFF"/>
        </w:rPr>
      </w:pPr>
      <w:r>
        <w:rPr>
          <w:rFonts w:hint="eastAsia" w:ascii="仿宋_GB2312" w:hAnsi="黑体" w:eastAsia="仿宋_GB2312"/>
          <w:color w:val="auto"/>
          <w:sz w:val="32"/>
          <w:szCs w:val="32"/>
        </w:rPr>
        <w:t>（二）</w:t>
      </w:r>
      <w:r>
        <w:rPr>
          <w:rFonts w:hint="eastAsia" w:ascii="仿宋_GB2312" w:hAnsi="黑体" w:eastAsia="仿宋_GB2312"/>
          <w:color w:val="auto"/>
          <w:sz w:val="32"/>
          <w:szCs w:val="32"/>
          <w:lang w:eastAsia="zh-CN"/>
        </w:rPr>
        <w:t>儋州市教育事业发展服务中心</w:t>
      </w:r>
      <w:r>
        <w:rPr>
          <w:rFonts w:hint="eastAsia" w:ascii="仿宋_GB2312" w:hAnsi="黑体" w:eastAsia="仿宋_GB2312"/>
          <w:color w:val="auto"/>
          <w:sz w:val="32"/>
          <w:szCs w:val="32"/>
          <w:lang w:val="en-US" w:eastAsia="zh-CN"/>
        </w:rPr>
        <w:t>2026</w:t>
      </w:r>
      <w:r>
        <w:rPr>
          <w:rFonts w:hint="eastAsia" w:ascii="仿宋_GB2312" w:hAnsi="黑体" w:eastAsia="仿宋_GB2312"/>
          <w:color w:val="auto"/>
          <w:sz w:val="32"/>
          <w:szCs w:val="32"/>
        </w:rPr>
        <w:t>年政府性基金预算“三公”经费预算数为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p>
    <w:p w14:paraId="4C74846D">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rPr>
        <w:t>五、政府性基金预算当年拨款情况说明</w:t>
      </w:r>
    </w:p>
    <w:p w14:paraId="409661C8">
      <w:pPr>
        <w:ind w:firstLine="64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（一）政府性基金预算当年规模变化情况</w:t>
      </w:r>
    </w:p>
    <w:p w14:paraId="7A93EBD8">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儋州市教育事业发展服务中心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年政府性基金预算当年拨款</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与</w:t>
      </w:r>
      <w:r>
        <w:rPr>
          <w:rFonts w:hint="eastAsia" w:ascii="仿宋_GB2312" w:hAnsi="仿宋_GB2312" w:eastAsia="仿宋_GB2312" w:cs="仿宋_GB2312"/>
          <w:color w:val="auto"/>
          <w:sz w:val="32"/>
          <w:szCs w:val="32"/>
        </w:rPr>
        <w:t>上年预算持平。</w:t>
      </w:r>
    </w:p>
    <w:p w14:paraId="0CEDBF6A">
      <w:pPr>
        <w:ind w:firstLine="64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（二）政府性基金预算当年拨款结构情况</w:t>
      </w:r>
    </w:p>
    <w:p w14:paraId="027345C8">
      <w:pPr>
        <w:ind w:firstLine="800" w:firstLineChars="2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儋州市教育事业发展服务中心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无</w:t>
      </w:r>
      <w:r>
        <w:rPr>
          <w:rFonts w:hint="eastAsia" w:ascii="仿宋_GB2312" w:hAnsi="仿宋_GB2312" w:eastAsia="仿宋_GB2312" w:cs="仿宋_GB2312"/>
          <w:color w:val="auto"/>
          <w:sz w:val="32"/>
          <w:szCs w:val="32"/>
        </w:rPr>
        <w:t>政府性基金。</w:t>
      </w:r>
    </w:p>
    <w:p w14:paraId="046C51B2">
      <w:pPr>
        <w:ind w:firstLine="64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（三）政府性基金预算当年拨款具体使用情况</w:t>
      </w:r>
    </w:p>
    <w:p w14:paraId="78B190F2">
      <w:pPr>
        <w:ind w:firstLine="800" w:firstLineChars="2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儋州市教育事业发展服务中心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无</w:t>
      </w:r>
      <w:r>
        <w:rPr>
          <w:rFonts w:hint="eastAsia" w:ascii="仿宋_GB2312" w:hAnsi="仿宋_GB2312" w:eastAsia="仿宋_GB2312" w:cs="仿宋_GB2312"/>
          <w:color w:val="auto"/>
          <w:sz w:val="32"/>
          <w:szCs w:val="32"/>
        </w:rPr>
        <w:t>政府性基金。</w:t>
      </w:r>
    </w:p>
    <w:p w14:paraId="664F80C7">
      <w:pPr>
        <w:numPr>
          <w:ilvl w:val="0"/>
          <w:numId w:val="4"/>
        </w:numPr>
        <w:spacing w:line="560" w:lineRule="exact"/>
        <w:ind w:firstLine="640" w:firstLineChars="200"/>
        <w:rPr>
          <w:rFonts w:hint="eastAsia" w:ascii="黑体" w:hAnsi="黑体" w:eastAsia="黑体" w:cs="Times New Roman"/>
          <w:color w:val="auto"/>
          <w:sz w:val="32"/>
          <w:u w:val="none"/>
          <w:shd w:val="clear" w:color="auto" w:fill="FFFFFF"/>
          <w:lang w:eastAsia="zh-CN"/>
        </w:rPr>
      </w:pPr>
      <w:r>
        <w:rPr>
          <w:rFonts w:hint="eastAsia" w:ascii="黑体" w:hAnsi="黑体" w:eastAsia="黑体" w:cs="Times New Roman"/>
          <w:color w:val="auto"/>
          <w:sz w:val="32"/>
          <w:u w:val="none"/>
          <w:shd w:val="clear" w:color="auto" w:fill="FFFFFF"/>
          <w:lang w:eastAsia="zh-CN"/>
        </w:rPr>
        <w:t>国有资本经营预算当年拨款情况说明</w:t>
      </w:r>
    </w:p>
    <w:p w14:paraId="474C6684">
      <w:pPr>
        <w:spacing w:line="560" w:lineRule="exact"/>
        <w:ind w:firstLine="640" w:firstLineChars="200"/>
        <w:rPr>
          <w:rFonts w:ascii="仿宋_GB2312" w:hAnsi="黑体" w:eastAsia="仿宋_GB2312"/>
          <w:color w:val="auto"/>
          <w:sz w:val="32"/>
          <w:szCs w:val="32"/>
          <w:u w:val="none"/>
        </w:rPr>
      </w:pPr>
      <w:r>
        <w:rPr>
          <w:rFonts w:hint="eastAsia" w:ascii="仿宋_GB2312" w:hAnsi="仿宋_GB2312" w:eastAsia="仿宋_GB2312" w:cs="仿宋_GB2312"/>
          <w:color w:val="auto"/>
          <w:sz w:val="32"/>
          <w:szCs w:val="32"/>
          <w:lang w:eastAsia="zh-CN"/>
        </w:rPr>
        <w:t>儋州市教育事业发展服务中心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eastAsia="zh-CN"/>
        </w:rPr>
        <w:t>国有资本经营</w:t>
      </w:r>
      <w:r>
        <w:rPr>
          <w:rFonts w:hint="eastAsia" w:ascii="仿宋_GB2312" w:hAnsi="黑体" w:eastAsia="仿宋_GB2312"/>
          <w:color w:val="auto"/>
          <w:sz w:val="32"/>
          <w:szCs w:val="32"/>
          <w:u w:val="none"/>
        </w:rPr>
        <w:t>预算当年拨款</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与上年</w:t>
      </w:r>
      <w:r>
        <w:rPr>
          <w:rFonts w:hint="eastAsia" w:ascii="仿宋_GB2312" w:hAnsi="黑体" w:eastAsia="仿宋_GB2312"/>
          <w:color w:val="auto"/>
          <w:sz w:val="32"/>
          <w:szCs w:val="32"/>
          <w:u w:val="none"/>
          <w:lang w:val="en-US" w:eastAsia="zh-CN"/>
        </w:rPr>
        <w:t>预算</w:t>
      </w:r>
      <w:r>
        <w:rPr>
          <w:rFonts w:hint="eastAsia" w:ascii="仿宋_GB2312" w:hAnsi="黑体" w:eastAsia="仿宋_GB2312"/>
          <w:color w:val="auto"/>
          <w:sz w:val="32"/>
          <w:szCs w:val="32"/>
          <w:u w:val="none"/>
          <w:lang w:eastAsia="zh-CN"/>
        </w:rPr>
        <w:t>持平。</w:t>
      </w:r>
    </w:p>
    <w:p w14:paraId="4960E9A8">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七、</w:t>
      </w:r>
      <w:r>
        <w:rPr>
          <w:rFonts w:hint="eastAsia" w:ascii="黑体" w:hAnsi="黑体" w:eastAsia="黑体" w:cs="Times New Roman"/>
          <w:color w:val="auto"/>
          <w:sz w:val="32"/>
          <w:u w:val="none"/>
          <w:shd w:val="clear" w:color="auto" w:fill="FFFFFF"/>
        </w:rPr>
        <w:t>收支预算总体情况说明</w:t>
      </w:r>
    </w:p>
    <w:p w14:paraId="5BF5F52F">
      <w:pPr>
        <w:spacing w:line="560" w:lineRule="exact"/>
        <w:ind w:firstLine="640" w:firstLineChars="200"/>
        <w:rPr>
          <w:rFonts w:hint="eastAsia" w:ascii="仿宋_GB2312" w:hAnsi="黑体" w:eastAsia="仿宋_GB2312"/>
          <w:color w:val="auto"/>
          <w:sz w:val="32"/>
          <w:szCs w:val="32"/>
          <w:u w:val="none"/>
        </w:rPr>
      </w:pPr>
      <w:r>
        <w:rPr>
          <w:rFonts w:hint="eastAsia" w:ascii="仿宋_GB2312" w:hAnsi="黑体" w:eastAsia="仿宋_GB2312" w:cs="仿宋_GB2312"/>
          <w:color w:val="auto"/>
          <w:sz w:val="32"/>
          <w:szCs w:val="32"/>
          <w:u w:val="none"/>
        </w:rPr>
        <w:t>按照综合预算原则，</w:t>
      </w:r>
      <w:r>
        <w:rPr>
          <w:rFonts w:hint="eastAsia" w:ascii="仿宋_GB2312" w:hAnsi="仿宋_GB2312" w:eastAsia="仿宋_GB2312" w:cs="仿宋_GB2312"/>
          <w:color w:val="auto"/>
          <w:sz w:val="32"/>
          <w:szCs w:val="32"/>
          <w:lang w:eastAsia="zh-CN"/>
        </w:rPr>
        <w:t>儋州市教育事业发展服务中心</w:t>
      </w:r>
      <w:r>
        <w:rPr>
          <w:rFonts w:hint="eastAsia" w:ascii="仿宋_GB2312" w:hAnsi="黑体" w:eastAsia="仿宋_GB2312" w:cs="仿宋_GB2312"/>
          <w:color w:val="auto"/>
          <w:sz w:val="32"/>
          <w:szCs w:val="32"/>
          <w:u w:val="none"/>
        </w:rPr>
        <w:t>所有收入和支出均纳入部门预算管理。</w:t>
      </w:r>
      <w:r>
        <w:rPr>
          <w:rFonts w:hint="eastAsia" w:ascii="仿宋_GB2312" w:hAnsi="仿宋_GB2312" w:eastAsia="仿宋_GB2312" w:cs="仿宋_GB2312"/>
          <w:color w:val="auto"/>
          <w:sz w:val="32"/>
          <w:szCs w:val="32"/>
          <w:lang w:eastAsia="zh-CN"/>
        </w:rPr>
        <w:t>儋州市教育事业发展服务中心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年收支总预算</w:t>
      </w:r>
      <w:r>
        <w:rPr>
          <w:rFonts w:hint="eastAsia" w:ascii="仿宋_GB2312" w:hAnsi="黑体" w:eastAsia="仿宋_GB2312" w:cs="仿宋_GB2312"/>
          <w:color w:val="auto"/>
          <w:sz w:val="32"/>
          <w:szCs w:val="32"/>
          <w:u w:val="none"/>
        </w:rPr>
        <w:t>527.</w:t>
      </w:r>
      <w:r>
        <w:rPr>
          <w:rFonts w:hint="eastAsia" w:ascii="仿宋_GB2312" w:hAnsi="黑体" w:eastAsia="仿宋_GB2312" w:cs="仿宋_GB2312"/>
          <w:color w:val="auto"/>
          <w:sz w:val="32"/>
          <w:szCs w:val="32"/>
          <w:u w:val="none"/>
          <w:lang w:val="en-US" w:eastAsia="zh-CN"/>
        </w:rPr>
        <w:t>1</w:t>
      </w:r>
      <w:bookmarkStart w:id="0" w:name="_GoBack"/>
      <w:bookmarkEnd w:id="0"/>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highlight w:val="none"/>
          <w:u w:val="none"/>
        </w:rPr>
        <w:t>。</w:t>
      </w:r>
      <w:r>
        <w:rPr>
          <w:rFonts w:hint="eastAsia" w:ascii="仿宋_GB2312" w:hAnsi="黑体" w:eastAsia="仿宋_GB2312" w:cs="仿宋_GB2312"/>
          <w:color w:val="auto"/>
          <w:sz w:val="32"/>
          <w:szCs w:val="32"/>
          <w:highlight w:val="none"/>
          <w:u w:val="none"/>
        </w:rPr>
        <w:t>收入包括：一般公共预算收入、</w:t>
      </w:r>
      <w:r>
        <w:rPr>
          <w:rFonts w:hint="eastAsia" w:ascii="仿宋_GB2312" w:hAnsi="黑体" w:eastAsia="仿宋_GB2312" w:cs="仿宋_GB2312"/>
          <w:color w:val="auto"/>
          <w:sz w:val="32"/>
          <w:szCs w:val="32"/>
          <w:highlight w:val="none"/>
          <w:u w:val="none"/>
          <w:lang w:val="en-US" w:eastAsia="zh-CN"/>
        </w:rPr>
        <w:t>其他</w:t>
      </w:r>
      <w:r>
        <w:rPr>
          <w:rFonts w:hint="eastAsia" w:ascii="仿宋_GB2312" w:hAnsi="黑体" w:eastAsia="仿宋_GB2312" w:cs="仿宋_GB2312"/>
          <w:color w:val="auto"/>
          <w:sz w:val="32"/>
          <w:szCs w:val="32"/>
          <w:highlight w:val="none"/>
          <w:u w:val="none"/>
        </w:rPr>
        <w:t>收入</w:t>
      </w:r>
      <w:r>
        <w:rPr>
          <w:rFonts w:hint="eastAsia" w:ascii="仿宋_GB2312" w:hAnsi="黑体" w:eastAsia="仿宋_GB2312" w:cs="仿宋_GB2312"/>
          <w:color w:val="auto"/>
          <w:sz w:val="32"/>
          <w:szCs w:val="32"/>
          <w:highlight w:val="none"/>
          <w:u w:val="none"/>
          <w:lang w:val="en-US" w:eastAsia="zh-CN"/>
        </w:rPr>
        <w:t>等</w:t>
      </w:r>
      <w:r>
        <w:rPr>
          <w:rFonts w:hint="eastAsia" w:ascii="仿宋_GB2312" w:hAnsi="黑体" w:eastAsia="仿宋_GB2312"/>
          <w:color w:val="auto"/>
          <w:sz w:val="32"/>
          <w:szCs w:val="32"/>
          <w:highlight w:val="none"/>
          <w:u w:val="none"/>
        </w:rPr>
        <w:t>；支出包括：教育支出、社会保障和就业支出、卫生健康支出、住房保障支出</w:t>
      </w:r>
      <w:r>
        <w:rPr>
          <w:rFonts w:hint="eastAsia" w:ascii="仿宋_GB2312" w:hAnsi="黑体" w:eastAsia="仿宋_GB2312"/>
          <w:color w:val="auto"/>
          <w:sz w:val="32"/>
          <w:szCs w:val="32"/>
          <w:highlight w:val="none"/>
          <w:u w:val="none"/>
          <w:lang w:val="en-US" w:eastAsia="zh-CN"/>
        </w:rPr>
        <w:t>等</w:t>
      </w:r>
      <w:r>
        <w:rPr>
          <w:rFonts w:hint="eastAsia" w:ascii="仿宋_GB2312" w:hAnsi="黑体" w:eastAsia="仿宋_GB2312"/>
          <w:color w:val="auto"/>
          <w:sz w:val="32"/>
          <w:szCs w:val="32"/>
          <w:u w:val="none"/>
        </w:rPr>
        <w:t>。</w:t>
      </w:r>
    </w:p>
    <w:p w14:paraId="1B2CEF45">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八</w:t>
      </w:r>
      <w:r>
        <w:rPr>
          <w:rFonts w:hint="eastAsia" w:ascii="黑体" w:hAnsi="黑体" w:eastAsia="黑体" w:cs="Times New Roman"/>
          <w:color w:val="auto"/>
          <w:sz w:val="32"/>
          <w:u w:val="none"/>
          <w:shd w:val="clear" w:color="auto" w:fill="FFFFFF"/>
        </w:rPr>
        <w:t>、收入预算情况说明</w:t>
      </w:r>
    </w:p>
    <w:p w14:paraId="56FD6C06">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lang w:eastAsia="zh-CN"/>
        </w:rPr>
        <w:t>儋州市教育事业发展服务中心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u w:val="none"/>
        </w:rPr>
        <w:t>527.</w:t>
      </w:r>
      <w:r>
        <w:rPr>
          <w:rFonts w:hint="eastAsia" w:ascii="仿宋_GB2312" w:hAnsi="黑体" w:eastAsia="仿宋_GB2312" w:cs="仿宋_GB2312"/>
          <w:color w:val="auto"/>
          <w:sz w:val="32"/>
          <w:szCs w:val="32"/>
          <w:u w:val="none"/>
          <w:lang w:val="en-US" w:eastAsia="zh-CN"/>
        </w:rPr>
        <w:t>1</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u w:val="none"/>
          <w:lang w:val="en-US" w:eastAsia="zh-CN"/>
        </w:rPr>
        <w:t>0.08</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0.02</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一般公共预算</w:t>
      </w:r>
      <w:r>
        <w:rPr>
          <w:rFonts w:hint="eastAsia" w:ascii="仿宋_GB2312" w:hAnsi="黑体" w:eastAsia="仿宋_GB2312"/>
          <w:color w:val="auto"/>
          <w:sz w:val="32"/>
          <w:szCs w:val="32"/>
          <w:u w:val="none"/>
        </w:rPr>
        <w:t>拨款收入</w:t>
      </w:r>
      <w:r>
        <w:rPr>
          <w:rFonts w:hint="eastAsia" w:ascii="仿宋_GB2312" w:hAnsi="黑体" w:eastAsia="仿宋_GB2312" w:cs="仿宋_GB2312"/>
          <w:color w:val="auto"/>
          <w:sz w:val="32"/>
          <w:szCs w:val="32"/>
          <w:u w:val="none"/>
        </w:rPr>
        <w:t>467.01</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88.6</w:t>
      </w:r>
      <w:r>
        <w:rPr>
          <w:rFonts w:hint="eastAsia" w:ascii="仿宋_GB2312" w:hAnsi="黑体" w:eastAsia="仿宋_GB2312"/>
          <w:color w:val="auto"/>
          <w:sz w:val="32"/>
          <w:szCs w:val="32"/>
          <w:u w:val="none"/>
        </w:rPr>
        <w:t>%；政府性基金</w:t>
      </w:r>
      <w:r>
        <w:rPr>
          <w:rFonts w:hint="eastAsia" w:ascii="仿宋_GB2312" w:hAnsi="黑体" w:eastAsia="仿宋_GB2312"/>
          <w:color w:val="auto"/>
          <w:sz w:val="32"/>
          <w:szCs w:val="32"/>
          <w:u w:val="none"/>
          <w:lang w:eastAsia="zh-CN"/>
        </w:rPr>
        <w:t>预算拨款</w:t>
      </w:r>
      <w:r>
        <w:rPr>
          <w:rFonts w:hint="eastAsia" w:ascii="仿宋_GB2312" w:hAnsi="黑体" w:eastAsia="仿宋_GB2312"/>
          <w:color w:val="auto"/>
          <w:sz w:val="32"/>
          <w:szCs w:val="32"/>
          <w:u w:val="none"/>
        </w:rPr>
        <w:t>收入</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eastAsia="zh-CN"/>
        </w:rPr>
        <w:t>国有资本经营预算拨款收入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万元，占</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lang w:eastAsia="zh-CN"/>
        </w:rPr>
        <w:t>其他</w:t>
      </w:r>
      <w:r>
        <w:rPr>
          <w:rFonts w:hint="eastAsia" w:ascii="仿宋_GB2312" w:hAnsi="黑体" w:eastAsia="仿宋_GB2312"/>
          <w:color w:val="auto"/>
          <w:sz w:val="32"/>
          <w:szCs w:val="32"/>
        </w:rPr>
        <w:t>收入</w:t>
      </w:r>
      <w:r>
        <w:rPr>
          <w:rFonts w:hint="eastAsia" w:ascii="仿宋_GB2312" w:hAnsi="黑体" w:eastAsia="仿宋_GB2312" w:cs="仿宋_GB2312"/>
          <w:color w:val="auto"/>
          <w:sz w:val="32"/>
          <w:szCs w:val="32"/>
          <w:lang w:val="en-US" w:eastAsia="zh-CN"/>
        </w:rPr>
        <w:t>60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11.38</w:t>
      </w:r>
      <w:r>
        <w:rPr>
          <w:rFonts w:hint="eastAsia" w:ascii="仿宋_GB2312" w:hAnsi="黑体" w:eastAsia="仿宋_GB2312"/>
          <w:color w:val="auto"/>
          <w:sz w:val="32"/>
          <w:szCs w:val="32"/>
        </w:rPr>
        <w:t>%</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27.98</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val="en-US" w:eastAsia="zh-CN"/>
        </w:rPr>
        <w:t>单位人员经费、社保缴费标准、医保缴费标准、公积金缴存等较上年均有所增加，民生保障水平提升</w:t>
      </w:r>
      <w:r>
        <w:rPr>
          <w:rFonts w:hint="eastAsia" w:ascii="仿宋_GB2312" w:hAnsi="黑体" w:eastAsia="仿宋_GB2312"/>
          <w:color w:val="auto"/>
          <w:sz w:val="32"/>
          <w:szCs w:val="32"/>
          <w:u w:val="none"/>
        </w:rPr>
        <w:t>。</w:t>
      </w:r>
    </w:p>
    <w:p w14:paraId="6ECE3EC0">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九</w:t>
      </w:r>
      <w:r>
        <w:rPr>
          <w:rFonts w:hint="eastAsia" w:ascii="黑体" w:hAnsi="黑体" w:eastAsia="黑体" w:cs="Times New Roman"/>
          <w:color w:val="auto"/>
          <w:sz w:val="32"/>
          <w:u w:val="none"/>
          <w:shd w:val="clear" w:color="auto" w:fill="FFFFFF"/>
        </w:rPr>
        <w:t>、支出预算情况说明</w:t>
      </w:r>
    </w:p>
    <w:p w14:paraId="4B59940E">
      <w:pPr>
        <w:keepNext w:val="0"/>
        <w:keepLines w:val="0"/>
        <w:widowControl w:val="0"/>
        <w:suppressLineNumbers w:val="0"/>
        <w:spacing w:before="0" w:beforeAutospacing="0" w:after="0" w:afterAutospacing="0"/>
        <w:ind w:left="0" w:right="0" w:firstLine="640" w:firstLineChars="200"/>
        <w:jc w:val="both"/>
        <w:rPr>
          <w:color w:val="auto"/>
        </w:rPr>
      </w:pPr>
      <w:r>
        <w:rPr>
          <w:rFonts w:hint="eastAsia" w:ascii="仿宋_GB2312" w:hAnsi="黑体" w:eastAsia="仿宋_GB2312"/>
          <w:color w:val="auto"/>
          <w:sz w:val="32"/>
          <w:szCs w:val="32"/>
          <w:lang w:eastAsia="zh-CN"/>
        </w:rPr>
        <w:t>儋州市教育事业发展服务中心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年支出预算</w:t>
      </w:r>
      <w:r>
        <w:rPr>
          <w:rFonts w:hint="eastAsia" w:ascii="仿宋_GB2312" w:hAnsi="黑体" w:eastAsia="仿宋_GB2312" w:cs="仿宋_GB2312"/>
          <w:color w:val="auto"/>
          <w:sz w:val="32"/>
          <w:szCs w:val="32"/>
          <w:u w:val="none"/>
        </w:rPr>
        <w:t>527.</w:t>
      </w:r>
      <w:r>
        <w:rPr>
          <w:rFonts w:hint="eastAsia" w:ascii="仿宋_GB2312" w:hAnsi="黑体" w:eastAsia="仿宋_GB2312" w:cs="仿宋_GB2312"/>
          <w:color w:val="auto"/>
          <w:sz w:val="32"/>
          <w:szCs w:val="32"/>
          <w:u w:val="none"/>
          <w:lang w:val="en-US" w:eastAsia="zh-CN"/>
        </w:rPr>
        <w:t>1</w:t>
      </w:r>
      <w:r>
        <w:rPr>
          <w:rFonts w:hint="eastAsia" w:ascii="仿宋_GB2312" w:hAnsi="黑体" w:eastAsia="仿宋_GB2312"/>
          <w:color w:val="auto"/>
          <w:sz w:val="32"/>
          <w:szCs w:val="32"/>
          <w:u w:val="none"/>
        </w:rPr>
        <w:t>万元，其中：基本支出</w:t>
      </w:r>
      <w:r>
        <w:rPr>
          <w:rFonts w:hint="eastAsia" w:ascii="仿宋_GB2312" w:hAnsi="黑体" w:eastAsia="仿宋_GB2312" w:cs="仿宋_GB2312"/>
          <w:color w:val="auto"/>
          <w:sz w:val="32"/>
          <w:szCs w:val="32"/>
          <w:u w:val="none"/>
          <w:lang w:val="en-US" w:eastAsia="zh-CN"/>
        </w:rPr>
        <w:t>439.36</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83.35</w:t>
      </w:r>
      <w:r>
        <w:rPr>
          <w:rFonts w:hint="eastAsia" w:ascii="仿宋_GB2312" w:hAnsi="黑体" w:eastAsia="仿宋_GB2312"/>
          <w:color w:val="auto"/>
          <w:sz w:val="32"/>
          <w:szCs w:val="32"/>
          <w:u w:val="none"/>
        </w:rPr>
        <w:t>%；项目支出</w:t>
      </w:r>
      <w:r>
        <w:rPr>
          <w:rFonts w:hint="eastAsia" w:ascii="仿宋_GB2312" w:hAnsi="黑体" w:eastAsia="仿宋_GB2312" w:cs="仿宋_GB2312"/>
          <w:color w:val="auto"/>
          <w:sz w:val="32"/>
          <w:szCs w:val="32"/>
          <w:u w:val="none"/>
          <w:lang w:val="en-US" w:eastAsia="zh-CN"/>
        </w:rPr>
        <w:t>87.74</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16.65</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27.98</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val="en-US" w:eastAsia="zh-CN"/>
        </w:rPr>
        <w:t>单位人员经费、社保缴费标准、医保缴费标准、公积金缴存等较上年均有所增加，民生保障水平提升</w:t>
      </w:r>
      <w:r>
        <w:rPr>
          <w:rFonts w:hint="eastAsia" w:ascii="仿宋_GB2312" w:hAnsi="黑体" w:eastAsia="仿宋_GB2312"/>
          <w:color w:val="auto"/>
          <w:sz w:val="32"/>
          <w:szCs w:val="32"/>
          <w:u w:val="none"/>
        </w:rPr>
        <w:t>。</w:t>
      </w:r>
      <w:r>
        <w:rPr>
          <w:rFonts w:hint="eastAsia" w:ascii="仿宋_GB2312" w:hAnsi="宋体" w:eastAsia="仿宋_GB2312" w:cs="仿宋_GB2312"/>
          <w:color w:val="auto"/>
          <w:kern w:val="2"/>
          <w:sz w:val="32"/>
          <w:szCs w:val="32"/>
          <w:lang w:val="en-US" w:eastAsia="zh-CN" w:bidi="ar"/>
        </w:rPr>
        <w:t>其中委托业务费预算总额0万元，与上年持平。</w:t>
      </w:r>
    </w:p>
    <w:p w14:paraId="305E70D8">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十</w:t>
      </w:r>
      <w:r>
        <w:rPr>
          <w:rFonts w:hint="eastAsia" w:ascii="黑体" w:hAnsi="黑体" w:eastAsia="黑体" w:cs="Times New Roman"/>
          <w:color w:val="auto"/>
          <w:sz w:val="32"/>
          <w:u w:val="none"/>
          <w:shd w:val="clear" w:color="auto" w:fill="FFFFFF"/>
        </w:rPr>
        <w:t>、其他重要事项的情况说明</w:t>
      </w:r>
    </w:p>
    <w:p w14:paraId="7EDDD67C">
      <w:pPr>
        <w:spacing w:line="560" w:lineRule="exact"/>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（一）机关运行经费</w:t>
      </w:r>
      <w:r>
        <w:rPr>
          <w:rFonts w:hint="eastAsia" w:ascii="楷体" w:hAnsi="楷体" w:eastAsia="楷体"/>
          <w:color w:val="auto"/>
          <w:sz w:val="32"/>
          <w:szCs w:val="32"/>
          <w:u w:val="none"/>
          <w:lang w:val="en-US" w:eastAsia="zh-CN"/>
        </w:rPr>
        <w:t>（</w:t>
      </w:r>
      <w:r>
        <w:rPr>
          <w:rFonts w:hint="eastAsia" w:ascii="楷体" w:hAnsi="楷体" w:eastAsia="楷体"/>
          <w:color w:val="auto"/>
          <w:sz w:val="32"/>
          <w:szCs w:val="32"/>
          <w:u w:val="none"/>
        </w:rPr>
        <w:t>行政单位</w:t>
      </w:r>
      <w:r>
        <w:rPr>
          <w:rFonts w:hint="eastAsia" w:ascii="楷体" w:hAnsi="楷体" w:eastAsia="楷体"/>
          <w:color w:val="auto"/>
          <w:sz w:val="32"/>
          <w:szCs w:val="32"/>
          <w:u w:val="none"/>
          <w:lang w:eastAsia="zh-CN"/>
        </w:rPr>
        <w:t>、</w:t>
      </w:r>
      <w:r>
        <w:rPr>
          <w:rFonts w:hint="eastAsia" w:ascii="楷体" w:hAnsi="楷体" w:eastAsia="楷体"/>
          <w:color w:val="auto"/>
          <w:sz w:val="32"/>
          <w:szCs w:val="32"/>
          <w:u w:val="none"/>
        </w:rPr>
        <w:t>参照公务员法管理的事业单位</w:t>
      </w:r>
      <w:r>
        <w:rPr>
          <w:rFonts w:hint="eastAsia" w:ascii="楷体" w:hAnsi="楷体" w:eastAsia="楷体"/>
          <w:color w:val="auto"/>
          <w:sz w:val="32"/>
          <w:szCs w:val="32"/>
          <w:u w:val="none"/>
          <w:lang w:eastAsia="zh-CN"/>
        </w:rPr>
        <w:t>需说明，其他单位不需要说明</w:t>
      </w:r>
      <w:r>
        <w:rPr>
          <w:rFonts w:hint="eastAsia" w:ascii="楷体" w:hAnsi="楷体" w:eastAsia="楷体"/>
          <w:color w:val="auto"/>
          <w:sz w:val="32"/>
          <w:szCs w:val="32"/>
          <w:u w:val="none"/>
          <w:lang w:val="en-US" w:eastAsia="zh-CN"/>
        </w:rPr>
        <w:t>）</w:t>
      </w:r>
    </w:p>
    <w:p w14:paraId="5E440B70">
      <w:pPr>
        <w:spacing w:line="560" w:lineRule="exact"/>
        <w:ind w:firstLine="640" w:firstLineChars="200"/>
        <w:rPr>
          <w:rFonts w:ascii="仿宋_GB2312" w:hAnsi="黑体" w:eastAsia="仿宋_GB2312"/>
          <w:color w:val="auto"/>
          <w:sz w:val="32"/>
          <w:szCs w:val="32"/>
          <w:u w:val="none"/>
        </w:rPr>
      </w:pP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s="仿宋_GB2312"/>
          <w:color w:val="auto"/>
          <w:sz w:val="32"/>
          <w:szCs w:val="32"/>
          <w:u w:val="none"/>
          <w:lang w:val="en-US" w:eastAsia="zh-CN"/>
        </w:rPr>
        <w:t>儋州市教育事业发展服务中心</w:t>
      </w:r>
      <w:r>
        <w:rPr>
          <w:rFonts w:hint="eastAsia" w:ascii="仿宋_GB2312" w:hAnsi="黑体" w:eastAsia="仿宋_GB2312" w:cs="仿宋_GB2312"/>
          <w:color w:val="auto"/>
          <w:sz w:val="32"/>
          <w:szCs w:val="32"/>
          <w:u w:val="none"/>
        </w:rPr>
        <w:t>的机关运行经费预算</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，与上年持平</w:t>
      </w:r>
      <w:r>
        <w:rPr>
          <w:rFonts w:hint="eastAsia" w:ascii="仿宋_GB2312" w:hAnsi="黑体" w:eastAsia="仿宋_GB2312"/>
          <w:color w:val="auto"/>
          <w:sz w:val="32"/>
          <w:szCs w:val="32"/>
          <w:u w:val="none"/>
        </w:rPr>
        <w:t>。</w:t>
      </w:r>
    </w:p>
    <w:p w14:paraId="35E25261">
      <w:pPr>
        <w:spacing w:line="560" w:lineRule="exact"/>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（二）政府采购情况</w:t>
      </w:r>
    </w:p>
    <w:p w14:paraId="118C0A91">
      <w:pPr>
        <w:spacing w:line="560" w:lineRule="exact"/>
        <w:ind w:firstLine="640"/>
        <w:rPr>
          <w:rFonts w:ascii="仿宋_GB2312" w:hAnsi="黑体" w:eastAsia="仿宋_GB2312"/>
          <w:color w:val="auto"/>
          <w:sz w:val="32"/>
          <w:szCs w:val="32"/>
          <w:u w:val="none"/>
        </w:rPr>
      </w:pP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s="仿宋_GB2312"/>
          <w:color w:val="auto"/>
          <w:sz w:val="32"/>
          <w:szCs w:val="32"/>
          <w:u w:val="none"/>
          <w:lang w:val="en-US" w:eastAsia="zh-CN"/>
        </w:rPr>
        <w:t>儋州市教育事业发展服务中心</w:t>
      </w:r>
      <w:r>
        <w:rPr>
          <w:rFonts w:hint="eastAsia" w:ascii="仿宋_GB2312" w:hAnsi="黑体" w:eastAsia="仿宋_GB2312" w:cs="仿宋_GB2312"/>
          <w:color w:val="auto"/>
          <w:sz w:val="32"/>
          <w:szCs w:val="32"/>
          <w:u w:val="none"/>
        </w:rPr>
        <w:t>政府采购预算总额</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万元，其中：政府采购货物预算</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万元，政府采购工程预算</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万元，政府采购服务预算</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p>
    <w:p w14:paraId="43A7DAF6">
      <w:pPr>
        <w:spacing w:line="560" w:lineRule="exact"/>
        <w:ind w:firstLine="640" w:firstLineChars="200"/>
        <w:rPr>
          <w:rFonts w:ascii="楷体" w:hAnsi="楷体" w:eastAsia="楷体"/>
          <w:color w:val="auto"/>
          <w:sz w:val="32"/>
          <w:szCs w:val="32"/>
          <w:u w:val="none"/>
        </w:rPr>
      </w:pPr>
      <w:r>
        <w:rPr>
          <w:rFonts w:hint="eastAsia" w:ascii="楷体" w:hAnsi="楷体" w:eastAsia="楷体"/>
          <w:color w:val="auto"/>
          <w:sz w:val="32"/>
          <w:szCs w:val="32"/>
          <w:u w:val="none"/>
        </w:rPr>
        <w:t>（三）国有资产占有使用情况</w:t>
      </w:r>
    </w:p>
    <w:p w14:paraId="19C4C42B">
      <w:pPr>
        <w:spacing w:line="560" w:lineRule="exact"/>
        <w:ind w:firstLine="640" w:firstLineChars="200"/>
        <w:rPr>
          <w:rFonts w:ascii="仿宋_GB2312" w:hAnsi="黑体" w:eastAsia="仿宋_GB2312" w:cs="仿宋_GB2312"/>
          <w:color w:val="auto"/>
          <w:sz w:val="32"/>
          <w:szCs w:val="32"/>
          <w:u w:val="none"/>
        </w:rPr>
      </w:pPr>
      <w:r>
        <w:rPr>
          <w:rFonts w:hint="eastAsia" w:ascii="仿宋_GB2312" w:hAnsi="黑体" w:eastAsia="仿宋_GB2312" w:cs="仿宋_GB2312"/>
          <w:color w:val="auto"/>
          <w:sz w:val="32"/>
          <w:szCs w:val="32"/>
          <w:highlight w:val="none"/>
          <w:u w:val="none"/>
        </w:rPr>
        <w:t>截至</w:t>
      </w:r>
      <w:r>
        <w:rPr>
          <w:rFonts w:hint="eastAsia" w:ascii="仿宋_GB2312" w:hAnsi="黑体" w:eastAsia="仿宋_GB2312" w:cs="仿宋_GB2312"/>
          <w:color w:val="auto"/>
          <w:sz w:val="32"/>
          <w:szCs w:val="32"/>
          <w:highlight w:val="none"/>
          <w:u w:val="none"/>
          <w:lang w:val="en-US" w:eastAsia="zh-CN"/>
        </w:rPr>
        <w:t>2025</w:t>
      </w:r>
      <w:r>
        <w:rPr>
          <w:rFonts w:hint="eastAsia" w:ascii="仿宋_GB2312" w:hAnsi="黑体" w:eastAsia="仿宋_GB2312"/>
          <w:color w:val="auto"/>
          <w:sz w:val="32"/>
          <w:szCs w:val="32"/>
          <w:highlight w:val="none"/>
          <w:u w:val="none"/>
        </w:rPr>
        <w:t>年12月31日，</w:t>
      </w:r>
      <w:r>
        <w:rPr>
          <w:rFonts w:hint="eastAsia" w:ascii="仿宋_GB2312" w:hAnsi="黑体" w:eastAsia="仿宋_GB2312" w:cs="仿宋_GB2312"/>
          <w:color w:val="auto"/>
          <w:sz w:val="32"/>
          <w:szCs w:val="32"/>
          <w:u w:val="none"/>
          <w:lang w:val="en-US" w:eastAsia="zh-CN"/>
        </w:rPr>
        <w:t>儋州市教育事业发展服务中心</w:t>
      </w:r>
      <w:r>
        <w:rPr>
          <w:rFonts w:hint="eastAsia" w:ascii="仿宋_GB2312" w:hAnsi="黑体" w:eastAsia="仿宋_GB2312" w:cs="仿宋_GB2312"/>
          <w:color w:val="auto"/>
          <w:sz w:val="32"/>
          <w:szCs w:val="32"/>
          <w:u w:val="none"/>
        </w:rPr>
        <w:t>本级预算单位共有车辆</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s="仿宋_GB2312"/>
          <w:color w:val="auto"/>
          <w:sz w:val="32"/>
          <w:szCs w:val="32"/>
          <w:u w:val="none"/>
        </w:rPr>
        <w:t>辆，其中，领导干部用车</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s="仿宋_GB2312"/>
          <w:color w:val="auto"/>
          <w:sz w:val="32"/>
          <w:szCs w:val="32"/>
          <w:u w:val="none"/>
        </w:rPr>
        <w:t>辆，机要通信应急用车</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s="仿宋_GB2312"/>
          <w:color w:val="auto"/>
          <w:sz w:val="32"/>
          <w:szCs w:val="32"/>
          <w:u w:val="none"/>
        </w:rPr>
        <w:t>辆、一般执法执勤用车</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s="仿宋_GB2312"/>
          <w:color w:val="auto"/>
          <w:sz w:val="32"/>
          <w:szCs w:val="32"/>
          <w:u w:val="none"/>
        </w:rPr>
        <w:t>辆、特种专业技术用车</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s="仿宋_GB2312"/>
          <w:color w:val="auto"/>
          <w:sz w:val="32"/>
          <w:szCs w:val="32"/>
          <w:u w:val="none"/>
        </w:rPr>
        <w:t>辆、其他用车</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s="仿宋_GB2312"/>
          <w:color w:val="auto"/>
          <w:sz w:val="32"/>
          <w:szCs w:val="32"/>
          <w:u w:val="none"/>
        </w:rPr>
        <w:t>辆。单位价值100万元以上设备</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s="仿宋_GB2312"/>
          <w:color w:val="auto"/>
          <w:sz w:val="32"/>
          <w:szCs w:val="32"/>
          <w:u w:val="none"/>
        </w:rPr>
        <w:t>台（套）。</w:t>
      </w:r>
    </w:p>
    <w:p w14:paraId="0A0D1470">
      <w:pPr>
        <w:widowControl/>
        <w:spacing w:line="560" w:lineRule="exact"/>
        <w:ind w:firstLine="640" w:firstLineChars="200"/>
        <w:jc w:val="left"/>
        <w:rPr>
          <w:rFonts w:ascii="楷体" w:hAnsi="楷体" w:eastAsia="楷体"/>
          <w:color w:val="auto"/>
          <w:sz w:val="32"/>
          <w:szCs w:val="32"/>
          <w:u w:val="none"/>
        </w:rPr>
      </w:pPr>
      <w:r>
        <w:rPr>
          <w:rFonts w:hint="eastAsia" w:ascii="楷体" w:hAnsi="楷体" w:eastAsia="楷体"/>
          <w:color w:val="auto"/>
          <w:sz w:val="32"/>
          <w:szCs w:val="32"/>
          <w:u w:val="none"/>
        </w:rPr>
        <w:t>（四）</w:t>
      </w:r>
      <w:r>
        <w:rPr>
          <w:rFonts w:hint="eastAsia" w:ascii="楷体" w:hAnsi="楷体" w:eastAsia="楷体" w:cs="黑体"/>
          <w:i w:val="0"/>
          <w:caps w:val="0"/>
          <w:color w:val="auto"/>
          <w:spacing w:val="0"/>
          <w:kern w:val="2"/>
          <w:sz w:val="32"/>
          <w:szCs w:val="32"/>
          <w:lang w:val="en-US" w:eastAsia="zh-CN" w:bidi="ar"/>
        </w:rPr>
        <w:t>绩效目标设置及重点项目绩效目标说明</w:t>
      </w:r>
    </w:p>
    <w:p w14:paraId="35C08BD3">
      <w:pPr>
        <w:spacing w:line="560" w:lineRule="exact"/>
        <w:ind w:firstLine="640" w:firstLineChars="200"/>
        <w:rPr>
          <w:rFonts w:hint="eastAsia" w:ascii="仿宋_GB2312" w:hAnsi="黑体" w:eastAsia="仿宋_GB2312"/>
          <w:color w:val="auto"/>
          <w:sz w:val="32"/>
          <w:szCs w:val="32"/>
          <w:u w:val="none"/>
        </w:rPr>
      </w:pP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s="仿宋_GB2312"/>
          <w:color w:val="auto"/>
          <w:sz w:val="32"/>
          <w:szCs w:val="32"/>
          <w:u w:val="none"/>
          <w:lang w:val="en-US" w:eastAsia="zh-CN"/>
        </w:rPr>
        <w:t>儋州市教育事业发展服务中心12</w:t>
      </w:r>
      <w:r>
        <w:rPr>
          <w:rFonts w:hint="eastAsia" w:ascii="仿宋_GB2312" w:hAnsi="黑体" w:eastAsia="仿宋_GB2312" w:cs="仿宋_GB2312"/>
          <w:color w:val="auto"/>
          <w:sz w:val="32"/>
          <w:szCs w:val="32"/>
          <w:u w:val="none"/>
        </w:rPr>
        <w:t>个项目实行绩效目标管理，涉及一般公共预算467.01</w:t>
      </w:r>
      <w:r>
        <w:rPr>
          <w:rFonts w:hint="eastAsia" w:ascii="仿宋_GB2312" w:hAnsi="黑体" w:eastAsia="仿宋_GB2312"/>
          <w:color w:val="auto"/>
          <w:sz w:val="32"/>
          <w:szCs w:val="32"/>
          <w:u w:val="none"/>
        </w:rPr>
        <w:t>万元、政府性基金</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highlight w:val="none"/>
          <w:u w:val="none"/>
          <w:lang w:eastAsia="zh-CN"/>
        </w:rPr>
        <w:t>国有资本经营</w:t>
      </w:r>
      <w:r>
        <w:rPr>
          <w:rFonts w:hint="eastAsia" w:ascii="仿宋_GB2312" w:hAnsi="黑体" w:eastAsia="仿宋_GB2312"/>
          <w:color w:val="auto"/>
          <w:sz w:val="32"/>
          <w:szCs w:val="32"/>
          <w:highlight w:val="none"/>
          <w:u w:val="none"/>
          <w:lang w:val="en-US" w:eastAsia="zh-CN"/>
        </w:rPr>
        <w:t>0万元、其他收入60万元</w:t>
      </w:r>
      <w:r>
        <w:rPr>
          <w:rFonts w:hint="eastAsia" w:ascii="仿宋_GB2312" w:hAnsi="黑体" w:eastAsia="仿宋_GB2312"/>
          <w:color w:val="auto"/>
          <w:sz w:val="32"/>
          <w:szCs w:val="32"/>
          <w:u w:val="none"/>
        </w:rPr>
        <w:t>。</w:t>
      </w:r>
    </w:p>
    <w:p w14:paraId="69B0779D">
      <w:pPr>
        <w:spacing w:line="560" w:lineRule="exact"/>
        <w:jc w:val="center"/>
        <w:rPr>
          <w:rFonts w:hint="eastAsia" w:ascii="黑体" w:hAnsi="黑体" w:eastAsia="黑体"/>
          <w:b w:val="0"/>
          <w:bCs/>
          <w:sz w:val="32"/>
          <w:szCs w:val="32"/>
          <w:u w:val="none"/>
          <w:lang w:eastAsia="zh-CN"/>
        </w:rPr>
      </w:pPr>
    </w:p>
    <w:p w14:paraId="6FB7FAB4">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5445EA53">
      <w:pPr>
        <w:spacing w:line="560" w:lineRule="exact"/>
        <w:ind w:firstLine="640" w:firstLineChars="200"/>
        <w:jc w:val="left"/>
        <w:rPr>
          <w:rFonts w:ascii="仿宋_GB2312" w:eastAsia="仿宋_GB2312" w:cs="宋体"/>
          <w:bCs/>
          <w:color w:val="000000"/>
          <w:kern w:val="0"/>
          <w:sz w:val="32"/>
          <w:szCs w:val="32"/>
          <w:u w:val="none"/>
          <w:lang w:val="zh-CN"/>
        </w:rPr>
      </w:pPr>
    </w:p>
    <w:p w14:paraId="7B3EF7B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6AA72E0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51577169">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4F2C07A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2EB8BD9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06DED46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47108D3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1222033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567CB13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04215CF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740F81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7D42589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32D852E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50C357A0">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0B60E85">
      <w:pPr>
        <w:spacing w:line="560" w:lineRule="exact"/>
        <w:ind w:firstLine="0" w:firstLineChars="0"/>
        <w:jc w:val="left"/>
        <w:rPr>
          <w:rFonts w:ascii="仿宋_GB2312" w:hAnsi="黑体" w:eastAsia="仿宋_GB2312" w:cs="仿宋_GB2312"/>
          <w:sz w:val="32"/>
          <w:szCs w:val="32"/>
          <w:u w:val="none"/>
        </w:rPr>
      </w:pPr>
    </w:p>
    <w:p w14:paraId="1100E58D"/>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AA380C"/>
    <w:rsid w:val="03AF33C7"/>
    <w:rsid w:val="04B36EE7"/>
    <w:rsid w:val="06B93241"/>
    <w:rsid w:val="06F52B80"/>
    <w:rsid w:val="0E9F4548"/>
    <w:rsid w:val="139B7FB4"/>
    <w:rsid w:val="1A177C84"/>
    <w:rsid w:val="1B9D571C"/>
    <w:rsid w:val="1F424883"/>
    <w:rsid w:val="292971A0"/>
    <w:rsid w:val="2B8C5C18"/>
    <w:rsid w:val="30A92DC8"/>
    <w:rsid w:val="33883169"/>
    <w:rsid w:val="37AA380C"/>
    <w:rsid w:val="3E0A17ED"/>
    <w:rsid w:val="406A2A7E"/>
    <w:rsid w:val="455D7CE5"/>
    <w:rsid w:val="463D012B"/>
    <w:rsid w:val="56076FA5"/>
    <w:rsid w:val="5982111A"/>
    <w:rsid w:val="5E5E54B1"/>
    <w:rsid w:val="604A1775"/>
    <w:rsid w:val="68893E33"/>
    <w:rsid w:val="746F16BC"/>
    <w:rsid w:val="7A0B3553"/>
    <w:rsid w:val="7A713C34"/>
    <w:rsid w:val="7B234136"/>
    <w:rsid w:val="7F094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1172</Words>
  <Characters>1242</Characters>
  <Lines>0</Lines>
  <Paragraphs>0</Paragraphs>
  <TotalTime>9</TotalTime>
  <ScaleCrop>false</ScaleCrop>
  <LinksUpToDate>false</LinksUpToDate>
  <CharactersWithSpaces>1256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2026-02-09T07:37:00Z</dcterms:created>
  <dc:creator>彬china</dc:creator>
  <cp:lastModifiedBy>彬china</cp:lastModifiedBy>
  <dcterms:modified xsi:type="dcterms:W3CDTF">2026-02-11T02:36:58Z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EB59871C24D64B53B2ECC6B98F32DE53_11</vt:lpwstr>
  </property>
  <property fmtid="{D5CDD505-2E9C-101B-9397-08002B2CF9AE}" pid="4" name="KSOTemplateDocerSaveRecord">
    <vt:lpwstr>eyJoZGlkIjoiMjNmMDAwYzMwOWYyMWRjMDZlNGY0Yjc3ZDQyOWQ3YWQiLCJ1c2VySWQiOiI0NTA5NjAwMjYifQ==</vt:lpwstr>
  </property>
</Properties>
</file>