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cs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儋州市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一般公共预算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收入预算的说明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儋州市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一般公共预算总收入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174.75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27.98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</w:t>
      </w:r>
      <w:r>
        <w:rPr>
          <w:rFonts w:hint="eastAsia" w:ascii="仿宋_GB2312" w:hAnsi="仿宋_GB2312" w:eastAsia="仿宋_GB2312" w:cs="仿宋_GB2312"/>
          <w:sz w:val="32"/>
          <w:szCs w:val="32"/>
        </w:rPr>
        <w:t>（与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</w:rPr>
        <w:t>执行数相比，下同）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，下降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%。具体情况如下：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地方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一般公共预算收入预算数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67.29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3.5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%，主要根据年度经济发展因素预计。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税收收入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增值税预算数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17.23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</w:rPr>
        <w:t>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8,983万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%，主要根据自贸港社会经济发展趋势，房地产、工业、商业、固定资产投资等预计增长情况，招商引资落户企业投资、结算额等因素测算。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企业所得税预算数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9.23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</w:rPr>
        <w:t>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5,223万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考虑</w:t>
      </w:r>
      <w:r>
        <w:rPr>
          <w:rFonts w:hint="eastAsia" w:ascii="仿宋_GB2312" w:hAnsi="仿宋_GB2312" w:eastAsia="仿宋_GB2312" w:cs="仿宋_GB2312"/>
          <w:sz w:val="32"/>
          <w:szCs w:val="32"/>
        </w:rPr>
        <w:t>我省自贸港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优惠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所得税的影响，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同时结合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企业利润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招商引资、总部企业落户情况等因素测算。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个人所得税预算数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3.04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</w:rPr>
        <w:t>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1,587万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考虑</w:t>
      </w:r>
      <w:r>
        <w:rPr>
          <w:rFonts w:hint="eastAsia" w:ascii="仿宋_GB2312" w:hAnsi="仿宋_GB2312" w:eastAsia="仿宋_GB2312" w:cs="仿宋_GB2312"/>
          <w:sz w:val="32"/>
          <w:szCs w:val="32"/>
        </w:rPr>
        <w:t>我省自贸港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优惠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</w:t>
      </w:r>
      <w:r>
        <w:rPr>
          <w:rFonts w:hint="eastAsia" w:ascii="仿宋_GB2312" w:hAnsi="仿宋_GB2312" w:eastAsia="仿宋_GB2312" w:cs="仿宋_GB2312"/>
          <w:sz w:val="32"/>
          <w:szCs w:val="32"/>
        </w:rPr>
        <w:t>所得税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影响，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同时结合</w:t>
      </w:r>
      <w:r>
        <w:rPr>
          <w:rFonts w:hint="eastAsia" w:ascii="仿宋_GB2312" w:hAnsi="仿宋_GB2312" w:eastAsia="仿宋_GB2312" w:cs="仿宋_GB2312"/>
          <w:sz w:val="32"/>
          <w:szCs w:val="32"/>
        </w:rPr>
        <w:t>居民收入预计增长目标、企业数量增加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等因素测算。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土地增值</w:t>
      </w:r>
      <w:r>
        <w:rPr>
          <w:rFonts w:hint="eastAsia" w:ascii="仿宋_GB2312" w:hAnsi="仿宋_GB2312" w:eastAsia="仿宋_GB2312" w:cs="仿宋_GB2312"/>
          <w:sz w:val="32"/>
          <w:szCs w:val="32"/>
        </w:rPr>
        <w:t>税预算数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8,735万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加455万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元，增长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，主要根据应税房屋保有量等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因素</w:t>
      </w:r>
      <w:r>
        <w:rPr>
          <w:rFonts w:hint="eastAsia" w:ascii="仿宋_GB2312" w:hAnsi="仿宋_GB2312" w:eastAsia="仿宋_GB2312" w:cs="仿宋_GB2312"/>
          <w:sz w:val="32"/>
          <w:szCs w:val="32"/>
        </w:rPr>
        <w:t>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耕地占用税预算数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4,990万元，比上年增加260万元，增长5%，主要根据2025-2026年我市耕地占用亩数等因素测算。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6.契税预算数1.91亿元，比上年增加998万元，增长6%，主要根据2026年我市土地出让计划等因素测算。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7.烟叶税预算数336万元，比上年增加178万元，增长113%，主要根据2025-2026年我市烟叶市场情况等因素测算。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8.其他税收预算数8万元，比上年减少102万元，下降93%，主要是剔除上年一次性因素影响测算。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非税收入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专项收入预算数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4.29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2.14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原因一是剔除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上年一次性收入因素影响；二是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全省</w:t>
      </w:r>
      <w:r>
        <w:rPr>
          <w:rFonts w:hint="eastAsia" w:ascii="仿宋_GB2312" w:hAnsi="仿宋_GB2312" w:eastAsia="仿宋_GB2312" w:cs="仿宋_GB2312"/>
          <w:sz w:val="32"/>
          <w:szCs w:val="32"/>
        </w:rPr>
        <w:t>减税降费政策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结合我市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2025-2026年市场情况、重点企业经营情况等因素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测算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行政事业性收费收入预算数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1.85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上年增加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3,914万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%，主要根据各行政事业性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收入预计情况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罚没收入预算数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7,737万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2,350万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%，主要根据公检法司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、纪委</w:t>
      </w:r>
      <w:r>
        <w:rPr>
          <w:rFonts w:hint="eastAsia" w:ascii="仿宋_GB2312" w:hAnsi="仿宋_GB2312" w:eastAsia="仿宋_GB2312" w:cs="仿宋_GB2312"/>
          <w:sz w:val="32"/>
          <w:szCs w:val="32"/>
        </w:rPr>
        <w:t>等执法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预计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收入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国有资源（资产）有偿使用收入预算数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7.45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1.9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%，主要根据我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盘活变现存量资产、对闲置和低效运行的国有资产处置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zh-CN"/>
        </w:rPr>
        <w:t>情况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等因素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zh-CN"/>
        </w:rPr>
        <w:t>测算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政府住房基金收入预算数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1,800万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366万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元，下降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，主要根据全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公积金收入以及保值增值收益情况测算。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其他收入预算数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1万元，下降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是剔除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2025年一次性收入因素影响，结合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单位申报的征收计划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确定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二、上年结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转</w:t>
      </w:r>
      <w:r>
        <w:rPr>
          <w:rFonts w:hint="eastAsia" w:ascii="仿宋_GB2312" w:hAnsi="仿宋_GB2312" w:eastAsia="仿宋_GB2312" w:cs="仿宋_GB2312"/>
          <w:sz w:val="32"/>
          <w:szCs w:val="32"/>
        </w:rPr>
        <w:t>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7.08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4,174万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2025年度预算执行中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专项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资金支出较快，结转规模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减小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、动用预算稳定调节基金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13.5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1,500万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主要是从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本级预算稳定调节基金中安排调入的资金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F6"/>
    <w:rsid w:val="0018570C"/>
    <w:rsid w:val="001C00F6"/>
    <w:rsid w:val="002504BC"/>
    <w:rsid w:val="002E5BF7"/>
    <w:rsid w:val="00397203"/>
    <w:rsid w:val="00594D53"/>
    <w:rsid w:val="006161AB"/>
    <w:rsid w:val="00860F75"/>
    <w:rsid w:val="00994D7D"/>
    <w:rsid w:val="009B2E4C"/>
    <w:rsid w:val="00BB2F03"/>
    <w:rsid w:val="00BD0026"/>
    <w:rsid w:val="00C3191B"/>
    <w:rsid w:val="00DD673E"/>
    <w:rsid w:val="00E2564F"/>
    <w:rsid w:val="00EF11CD"/>
    <w:rsid w:val="00FB1903"/>
    <w:rsid w:val="0F5FF2E2"/>
    <w:rsid w:val="0FF69808"/>
    <w:rsid w:val="16CD4483"/>
    <w:rsid w:val="1B4E3785"/>
    <w:rsid w:val="1EFF5664"/>
    <w:rsid w:val="1F3564BB"/>
    <w:rsid w:val="1F7CC01D"/>
    <w:rsid w:val="236C8665"/>
    <w:rsid w:val="2D6FF5BC"/>
    <w:rsid w:val="2F7BF325"/>
    <w:rsid w:val="2FBDD075"/>
    <w:rsid w:val="31C204F2"/>
    <w:rsid w:val="3F7FD34B"/>
    <w:rsid w:val="3FFB54CC"/>
    <w:rsid w:val="4F5FDBE5"/>
    <w:rsid w:val="57CF6EFC"/>
    <w:rsid w:val="616C1EF6"/>
    <w:rsid w:val="61EC2F2D"/>
    <w:rsid w:val="64BE5400"/>
    <w:rsid w:val="6DFD712B"/>
    <w:rsid w:val="6EC79C68"/>
    <w:rsid w:val="75BFF49B"/>
    <w:rsid w:val="761A3D9E"/>
    <w:rsid w:val="76FBE832"/>
    <w:rsid w:val="77AE96B5"/>
    <w:rsid w:val="7967AC7F"/>
    <w:rsid w:val="7AB81A41"/>
    <w:rsid w:val="7BAB895D"/>
    <w:rsid w:val="7DFF2D51"/>
    <w:rsid w:val="7E3C8A39"/>
    <w:rsid w:val="7E575FE8"/>
    <w:rsid w:val="7F7F43A8"/>
    <w:rsid w:val="8DFDB7D8"/>
    <w:rsid w:val="9BE939D3"/>
    <w:rsid w:val="B47E17F4"/>
    <w:rsid w:val="B7EB1B7B"/>
    <w:rsid w:val="BF93AE1E"/>
    <w:rsid w:val="BFF8519E"/>
    <w:rsid w:val="DFFFEF7D"/>
    <w:rsid w:val="F62FF6C2"/>
    <w:rsid w:val="F6F49AB5"/>
    <w:rsid w:val="FA7C76EB"/>
    <w:rsid w:val="FED73879"/>
    <w:rsid w:val="FFFEBDF4"/>
    <w:rsid w:val="FFFF7F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qFormat="1"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unhideWhenUsed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footnote reference"/>
    <w:basedOn w:val="7"/>
    <w:semiHidden/>
    <w:unhideWhenUsed/>
    <w:qFormat/>
    <w:uiPriority w:val="0"/>
    <w:rPr>
      <w:vertAlign w:val="superscript"/>
    </w:rPr>
  </w:style>
  <w:style w:type="paragraph" w:customStyle="1" w:styleId="9">
    <w:name w:val="_Style 1"/>
    <w:basedOn w:val="1"/>
    <w:qFormat/>
    <w:uiPriority w:val="0"/>
    <w:rPr>
      <w:rFonts w:ascii="Times New Roman" w:hAnsi="Times New Roman" w:cs="Times New Roman"/>
      <w:szCs w:val="20"/>
    </w:rPr>
  </w:style>
  <w:style w:type="character" w:customStyle="1" w:styleId="10">
    <w:name w:val="页眉 Char"/>
    <w:link w:val="4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1">
    <w:name w:val="页脚 Char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2">
    <w:name w:val="批注框文本 Char"/>
    <w:link w:val="2"/>
    <w:semiHidden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3">
    <w:name w:val="脚注文本 Char"/>
    <w:basedOn w:val="7"/>
    <w:link w:val="5"/>
    <w:semiHidden/>
    <w:qFormat/>
    <w:uiPriority w:val="0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276</Words>
  <Characters>1578</Characters>
  <Lines>13</Lines>
  <Paragraphs>3</Paragraphs>
  <TotalTime>37</TotalTime>
  <ScaleCrop>false</ScaleCrop>
  <LinksUpToDate>false</LinksUpToDate>
  <CharactersWithSpaces>1851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2021-02-13T07:14:00Z</dcterms:created>
  <dc:creator>张振旺</dc:creator>
  <cp:lastModifiedBy>LLL</cp:lastModifiedBy>
  <cp:lastPrinted>2022-02-17T04:41:00Z</cp:lastPrinted>
  <dcterms:modified xsi:type="dcterms:W3CDTF">2026-02-12T02:34:11Z</dcterms:modified>
  <dc:title>关于2019年海南省省级一般公共预算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