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附件</w:t>
      </w:r>
      <w:r>
        <w:rPr>
          <w:rFonts w:hint="eastAsia" w:ascii="仿宋_GB2312" w:hAnsi="仿宋_GB2312" w:eastAsia="仿宋_GB2312" w:cs="仿宋_GB2312"/>
          <w:sz w:val="32"/>
          <w:szCs w:val="32"/>
          <w:u w:val="none"/>
          <w:lang w:val="en-US" w:eastAsia="zh-CN"/>
        </w:rPr>
        <w:t>1</w:t>
      </w:r>
    </w:p>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儋州市市政管理处</w:t>
      </w:r>
      <w:r>
        <w:rPr>
          <w:rFonts w:hint="eastAsia"/>
          <w:sz w:val="52"/>
          <w:szCs w:val="52"/>
        </w:rPr>
        <w:t>部门（单位）预算</w:t>
      </w:r>
    </w:p>
    <w:p>
      <w:pPr>
        <w:ind w:firstLine="1680"/>
        <w:jc w:val="center"/>
        <w:rPr>
          <w:sz w:val="48"/>
          <w:szCs w:val="48"/>
        </w:rPr>
      </w:pP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儋州市市政管理处</w:t>
      </w:r>
      <w:r>
        <w:rPr>
          <w:rFonts w:hint="eastAsia" w:ascii="黑体" w:hAnsi="黑体" w:eastAsia="黑体"/>
          <w:sz w:val="32"/>
          <w:szCs w:val="32"/>
        </w:rPr>
        <w:t>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儋州市市政管理处</w:t>
      </w:r>
      <w:r>
        <w:rPr>
          <w:rFonts w:hint="eastAsia" w:ascii="黑体" w:hAnsi="黑体" w:eastAsia="黑体"/>
          <w:sz w:val="32"/>
          <w:szCs w:val="32"/>
        </w:rPr>
        <w:t>（部门或单位）</w:t>
      </w:r>
      <w:r>
        <w:rPr>
          <w:rFonts w:hint="eastAsia" w:ascii="黑体" w:hAnsi="黑体" w:eastAsia="黑体"/>
          <w:sz w:val="32"/>
          <w:szCs w:val="32"/>
          <w:lang w:val="en-US" w:eastAsia="zh-CN"/>
        </w:rPr>
        <w:t>2022</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儋州市市政管理处</w:t>
      </w:r>
      <w:r>
        <w:rPr>
          <w:rFonts w:hint="eastAsia" w:ascii="黑体" w:hAnsi="黑体" w:eastAsia="黑体"/>
          <w:sz w:val="32"/>
          <w:szCs w:val="32"/>
        </w:rPr>
        <w:t>（部门或单位）</w:t>
      </w:r>
      <w:r>
        <w:rPr>
          <w:rFonts w:hint="eastAsia" w:ascii="黑体" w:hAnsi="黑体" w:eastAsia="黑体"/>
          <w:sz w:val="32"/>
          <w:szCs w:val="32"/>
          <w:lang w:val="en-US" w:eastAsia="zh-CN"/>
        </w:rPr>
        <w:t>2022</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儋州市市政管理处</w:t>
      </w:r>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ascii="黑体" w:hAnsi="黑体" w:eastAsia="黑体" w:cs="仿宋_GB2312"/>
          <w:sz w:val="32"/>
          <w:szCs w:val="32"/>
        </w:rPr>
      </w:pPr>
      <w:r>
        <w:rPr>
          <w:rFonts w:hint="eastAsia" w:ascii="仿宋_GB2312" w:hAnsi="黑体" w:eastAsia="仿宋_GB2312" w:cs="仿宋_GB2312"/>
          <w:sz w:val="32"/>
          <w:szCs w:val="32"/>
        </w:rPr>
        <w:t>儋州市市政管理处隶属儋州市城市管理局，属公益一类事业单位。其主要职责：负责城区路灯、路面、排水和桥梁等市政设施的维修养护工作</w:t>
      </w:r>
      <w:r>
        <w:rPr>
          <w:rFonts w:hint="eastAsia" w:ascii="仿宋_GB2312" w:hAnsi="黑体" w:eastAsia="仿宋_GB2312" w:cs="仿宋_GB2312"/>
          <w:sz w:val="32"/>
          <w:szCs w:val="32"/>
          <w:lang w:eastAsia="zh-CN"/>
        </w:rPr>
        <w:t>。</w:t>
      </w:r>
    </w:p>
    <w:p>
      <w:pPr>
        <w:numPr>
          <w:ilvl w:val="0"/>
          <w:numId w:val="5"/>
        </w:numPr>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儋州市市政管理处</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numPr>
          <w:ilvl w:val="0"/>
          <w:numId w:val="0"/>
        </w:num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numPr>
          <w:ilvl w:val="0"/>
          <w:numId w:val="0"/>
        </w:numPr>
        <w:ind w:left="8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6"/>
        <w:numPr>
          <w:ilvl w:val="0"/>
          <w:numId w:val="0"/>
        </w:numPr>
        <w:ind w:left="8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6"/>
        <w:numPr>
          <w:ilvl w:val="0"/>
          <w:numId w:val="0"/>
        </w:numPr>
        <w:ind w:left="8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6"/>
        <w:numPr>
          <w:ilvl w:val="0"/>
          <w:numId w:val="0"/>
        </w:numPr>
        <w:ind w:left="8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6"/>
        <w:numPr>
          <w:ilvl w:val="0"/>
          <w:numId w:val="0"/>
        </w:numPr>
        <w:ind w:left="8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6"/>
        <w:numPr>
          <w:ilvl w:val="0"/>
          <w:numId w:val="0"/>
        </w:numPr>
        <w:ind w:left="840" w:leftChars="0"/>
        <w:jc w:val="left"/>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0"/>
        </w:numPr>
        <w:ind w:left="840" w:leftChars="0"/>
        <w:jc w:val="left"/>
        <w:rPr>
          <w:rFonts w:ascii="黑体" w:hAnsi="黑体" w:eastAsia="黑体"/>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0"/>
        </w:numPr>
        <w:ind w:left="840" w:leftChars="0"/>
        <w:jc w:val="left"/>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0"/>
        </w:numPr>
        <w:ind w:left="840" w:left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ind w:firstLine="640" w:firstLineChars="20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儋州市市政管理处</w:t>
      </w:r>
      <w:r>
        <w:rPr>
          <w:rFonts w:hint="eastAsia" w:ascii="黑体" w:hAnsi="黑体" w:eastAsia="黑体"/>
          <w:sz w:val="32"/>
          <w:szCs w:val="32"/>
        </w:rPr>
        <w:t>（部门或单位）</w:t>
      </w:r>
      <w:r>
        <w:rPr>
          <w:rFonts w:hint="eastAsia" w:ascii="黑体" w:hAnsi="黑体" w:eastAsia="黑体"/>
          <w:sz w:val="32"/>
          <w:szCs w:val="32"/>
          <w:lang w:val="en-US" w:eastAsia="zh-CN"/>
        </w:rPr>
        <w:t>2022</w:t>
      </w:r>
      <w:r>
        <w:rPr>
          <w:rFonts w:hint="eastAsia" w:ascii="黑体" w:hAnsi="黑体" w:eastAsia="黑体"/>
          <w:sz w:val="32"/>
          <w:szCs w:val="32"/>
        </w:rPr>
        <w:t>年部门（单位）预算情况说明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儋州市市政管理处</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2701</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2701</w:t>
      </w:r>
      <w:r>
        <w:rPr>
          <w:rFonts w:hint="eastAsia" w:ascii="仿宋_GB2312" w:hAnsi="黑体" w:eastAsia="仿宋_GB2312"/>
          <w:sz w:val="32"/>
          <w:szCs w:val="32"/>
        </w:rPr>
        <w:t>万元，包括一般公共预算拨款本年收入</w:t>
      </w:r>
      <w:r>
        <w:rPr>
          <w:rFonts w:hint="eastAsia" w:ascii="仿宋_GB2312" w:hAnsi="黑体" w:eastAsia="仿宋_GB2312"/>
          <w:sz w:val="32"/>
          <w:szCs w:val="32"/>
          <w:lang w:val="en-US" w:eastAsia="zh-CN"/>
        </w:rPr>
        <w:t>965.2</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万元，政府性基金预算拨款本年收入</w:t>
      </w:r>
      <w:r>
        <w:rPr>
          <w:rFonts w:hint="eastAsia" w:ascii="仿宋_GB2312" w:hAnsi="黑体" w:eastAsia="仿宋_GB2312"/>
          <w:sz w:val="32"/>
          <w:szCs w:val="32"/>
          <w:lang w:val="en-US" w:eastAsia="zh-CN"/>
        </w:rPr>
        <w:t>1735.8</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2701</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6.38</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9.55</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2680.07</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4.99</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eastAsia="zh-CN"/>
        </w:rPr>
        <w:t>儋</w:t>
      </w:r>
      <w:r>
        <w:rPr>
          <w:rFonts w:hint="eastAsia" w:ascii="仿宋_GB2312" w:hAnsi="黑体" w:eastAsia="仿宋_GB2312" w:cs="仿宋_GB2312"/>
          <w:sz w:val="32"/>
          <w:szCs w:val="32"/>
        </w:rPr>
        <w:t>州市市政管理处</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965.2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104.48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6.38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9.55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支出（类）</w:t>
      </w:r>
      <w:r>
        <w:rPr>
          <w:rFonts w:hint="eastAsia" w:ascii="仿宋_GB2312" w:hAnsi="黑体" w:eastAsia="仿宋_GB2312"/>
          <w:sz w:val="32"/>
          <w:szCs w:val="32"/>
          <w:lang w:eastAsia="zh-CN"/>
        </w:rPr>
        <w:t>城乡社区</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944.27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97.8</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4.99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0.5</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0.97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和公务员</w:t>
      </w:r>
      <w:r>
        <w:rPr>
          <w:rFonts w:hint="eastAsia" w:ascii="仿宋_GB2312" w:hAnsi="黑体" w:eastAsia="仿宋_GB2312"/>
          <w:sz w:val="32"/>
          <w:szCs w:val="32"/>
          <w:lang w:eastAsia="zh-CN"/>
        </w:rPr>
        <w:t>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基本工资增加</w:t>
      </w:r>
      <w:r>
        <w:rPr>
          <w:rFonts w:hint="eastAsia" w:ascii="仿宋_GB2312" w:hAnsi="黑体" w:eastAsia="仿宋_GB2312"/>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城乡社区公共设施</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w:t>
      </w:r>
      <w:r>
        <w:rPr>
          <w:rFonts w:hint="eastAsia" w:ascii="仿宋_GB2312" w:hAnsi="黑体" w:eastAsia="仿宋_GB2312"/>
          <w:sz w:val="32"/>
          <w:szCs w:val="32"/>
          <w:lang w:eastAsia="zh-CN"/>
        </w:rPr>
        <w:t>城乡社区公共设施</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944.27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105.37</w:t>
      </w:r>
      <w:r>
        <w:rPr>
          <w:rFonts w:hint="eastAsia" w:ascii="仿宋_GB2312" w:hAnsi="黑体" w:eastAsia="仿宋_GB2312"/>
          <w:color w:val="auto"/>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增加项目支出</w:t>
      </w:r>
      <w:r>
        <w:rPr>
          <w:rFonts w:hint="eastAsia" w:ascii="仿宋_GB2312" w:hAnsi="黑体" w:eastAsia="仿宋_GB2312"/>
          <w:sz w:val="32"/>
          <w:szCs w:val="32"/>
          <w:lang w:val="en-US" w:eastAsia="zh-CN"/>
        </w:rPr>
        <w:t>.</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sz w:val="32"/>
          <w:szCs w:val="32"/>
        </w:rPr>
        <w:t>（类）</w:t>
      </w:r>
      <w:r>
        <w:rPr>
          <w:rFonts w:hint="eastAsia" w:ascii="仿宋_GB2312" w:hAnsi="黑体" w:eastAsia="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住房公积金</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lang w:val="en-US" w:eastAsia="zh-CN"/>
        </w:rPr>
        <w:t>.</w:t>
      </w:r>
    </w:p>
    <w:p>
      <w:pPr>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641.2</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618.33</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住房公积金</w:t>
      </w:r>
      <w:r>
        <w:rPr>
          <w:rFonts w:hint="eastAsia" w:ascii="仿宋_GB2312" w:hAnsi="黑体" w:eastAsia="仿宋_GB2312"/>
          <w:sz w:val="32"/>
          <w:szCs w:val="32"/>
        </w:rPr>
        <w:t>、</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22.86</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工会经费</w:t>
      </w:r>
      <w:r>
        <w:rPr>
          <w:rFonts w:hint="eastAsia" w:ascii="仿宋_GB2312" w:hAnsi="黑体" w:eastAsia="仿宋_GB2312"/>
          <w:sz w:val="32"/>
          <w:szCs w:val="32"/>
        </w:rPr>
        <w:t>、</w:t>
      </w:r>
      <w:r>
        <w:rPr>
          <w:rFonts w:hint="eastAsia" w:ascii="仿宋_GB2312" w:hAnsi="黑体" w:eastAsia="仿宋_GB2312"/>
          <w:sz w:val="32"/>
          <w:szCs w:val="32"/>
          <w:lang w:eastAsia="zh-CN"/>
        </w:rPr>
        <w:t>福利费</w:t>
      </w:r>
      <w:r>
        <w:rPr>
          <w:rFonts w:hint="eastAsia" w:ascii="仿宋_GB2312" w:hAnsi="黑体" w:eastAsia="仿宋_GB2312"/>
          <w:sz w:val="32"/>
          <w:szCs w:val="32"/>
        </w:rPr>
        <w:t>、</w:t>
      </w:r>
      <w:r>
        <w:rPr>
          <w:rFonts w:hint="eastAsia" w:ascii="仿宋_GB2312" w:hAnsi="黑体" w:eastAsia="仿宋_GB2312"/>
          <w:sz w:val="32"/>
          <w:szCs w:val="32"/>
          <w:lang w:eastAsia="zh-CN"/>
        </w:rPr>
        <w:t>公务用车运行维护</w:t>
      </w:r>
      <w:r>
        <w:rPr>
          <w:rFonts w:hint="eastAsia" w:ascii="仿宋_GB2312" w:hAnsi="黑体" w:eastAsia="仿宋_GB2312"/>
          <w:sz w:val="32"/>
          <w:szCs w:val="32"/>
          <w:lang w:val="en-US" w:eastAsia="zh-CN"/>
        </w:rPr>
        <w:t>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12.2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12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0.2</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0.2</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13</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13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1735.8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增加预算项目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1735.8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64.3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城市建设支出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1735.8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rPr>
        <w:t>。</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儋州市市政管理处</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拔款</w:t>
      </w:r>
      <w:r>
        <w:rPr>
          <w:rFonts w:hint="eastAsia" w:ascii="仿宋_GB2312" w:hAnsi="黑体" w:eastAsia="仿宋_GB2312" w:cs="仿宋_GB2312"/>
          <w:sz w:val="32"/>
          <w:szCs w:val="32"/>
        </w:rPr>
        <w:t>收入、政府性基金</w:t>
      </w:r>
      <w:r>
        <w:rPr>
          <w:rFonts w:hint="eastAsia" w:ascii="仿宋_GB2312" w:hAnsi="黑体" w:eastAsia="仿宋_GB2312" w:cs="仿宋_GB2312"/>
          <w:sz w:val="32"/>
          <w:szCs w:val="32"/>
          <w:lang w:eastAsia="zh-CN"/>
        </w:rPr>
        <w:t>基金预算拔款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支出包括：</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sz w:val="32"/>
          <w:szCs w:val="32"/>
        </w:rPr>
        <w:t>。</w:t>
      </w: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2701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2701</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955.2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35.7</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1735.8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64.3</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增加项目支出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儋州市市政管理处</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2701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641.2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23.74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2059.8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76.26</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236.71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增加预算项目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儋州市市政管理处</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136</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136</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儋州市市政管理处</w:t>
      </w:r>
      <w:r>
        <w:rPr>
          <w:rFonts w:hint="eastAsia" w:ascii="仿宋_GB2312" w:hAnsi="黑体" w:eastAsia="仿宋_GB2312" w:cs="仿宋_GB2312"/>
          <w:sz w:val="32"/>
          <w:szCs w:val="32"/>
        </w:rPr>
        <w:t>本单位共有车辆</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儋州市市政管理处</w:t>
      </w:r>
      <w:r>
        <w:rPr>
          <w:rFonts w:hint="eastAsia" w:ascii="仿宋_GB2312" w:hAnsi="黑体" w:eastAsia="仿宋_GB2312"/>
          <w:sz w:val="32"/>
          <w:szCs w:val="32"/>
          <w:lang w:val="en-US" w:eastAsia="zh-CN"/>
        </w:rPr>
        <w:t>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965.2</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1735.8</w:t>
      </w:r>
      <w:r>
        <w:rPr>
          <w:rFonts w:hint="eastAsia" w:ascii="仿宋_GB2312" w:hAnsi="黑体" w:eastAsia="仿宋_GB2312"/>
          <w:sz w:val="32"/>
          <w:szCs w:val="32"/>
        </w:rPr>
        <w:t>万元。</w:t>
      </w:r>
      <w:r>
        <w:rPr>
          <w:rFonts w:hint="eastAsia" w:ascii="仿宋_GB2312" w:hAnsi="黑体" w:eastAsia="仿宋_GB2312"/>
          <w:sz w:val="32"/>
          <w:szCs w:val="32"/>
          <w:lang w:eastAsia="zh-CN"/>
        </w:rPr>
        <w:t>每个项目都设置绩效目标</w:t>
      </w:r>
      <w:r>
        <w:rPr>
          <w:rFonts w:hint="eastAsia" w:ascii="仿宋_GB2312" w:hAnsi="黑体" w:eastAsia="仿宋_GB2312"/>
          <w:sz w:val="32"/>
          <w:szCs w:val="32"/>
          <w:lang w:val="en-US" w:eastAsia="zh-CN"/>
        </w:rPr>
        <w:t>,严格执行相关政策,确保工作正常运转,对项目进行绩效目标管理、事前评估，绩效目标与部门预算同步申报。</w:t>
      </w:r>
    </w:p>
    <w:p>
      <w:pPr>
        <w:jc w:val="center"/>
        <w:rPr>
          <w:rFonts w:ascii="黑体" w:hAnsi="黑体" w:eastAsia="黑体"/>
          <w:sz w:val="32"/>
          <w:szCs w:val="32"/>
        </w:rPr>
      </w:pPr>
    </w:p>
    <w:p>
      <w:pPr>
        <w:ind w:firstLine="640" w:firstLineChars="200"/>
        <w:rPr>
          <w:rFonts w:hint="eastAsia" w:ascii="黑体" w:hAnsi="黑体" w:eastAsia="黑体"/>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9578F"/>
    <w:multiLevelType w:val="singleLevel"/>
    <w:tmpl w:val="DB49578F"/>
    <w:lvl w:ilvl="0" w:tentative="0">
      <w:start w:val="2"/>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YTc3OWM5MjIzMDZlNzYyZDYxNTgwNzRkYjI5NGIifQ=="/>
  </w:docVars>
  <w:rsids>
    <w:rsidRoot w:val="00000000"/>
    <w:rsid w:val="12D86EF4"/>
    <w:rsid w:val="31DD78AC"/>
    <w:rsid w:val="3A9F1566"/>
    <w:rsid w:val="4B074E90"/>
    <w:rsid w:val="4D1753C0"/>
    <w:rsid w:val="58AE30B2"/>
    <w:rsid w:val="61F4286D"/>
    <w:rsid w:val="672C4F5F"/>
    <w:rsid w:val="716C55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3340</Words>
  <Characters>3661</Characters>
  <Lines>27</Lines>
  <Paragraphs>7</Paragraphs>
  <TotalTime>95</TotalTime>
  <ScaleCrop>false</ScaleCrop>
  <LinksUpToDate>false</LinksUpToDate>
  <CharactersWithSpaces>3689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2022-10-21T15:28:11Z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1B0C823D6BA14D72A574F71ED48EE2B1</vt:lpwstr>
  </property>
</Properties>
</file>