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FB" w:rsidRPr="00EB1EBF" w:rsidRDefault="00D77278" w:rsidP="007B45DF">
      <w:pPr>
        <w:spacing w:line="700" w:lineRule="exact"/>
        <w:jc w:val="center"/>
        <w:rPr>
          <w:rFonts w:ascii="黑体" w:eastAsia="黑体"/>
          <w:sz w:val="44"/>
          <w:szCs w:val="44"/>
        </w:rPr>
      </w:pPr>
      <w:r w:rsidRPr="00EB1EBF">
        <w:rPr>
          <w:rFonts w:ascii="黑体" w:eastAsia="黑体" w:hint="eastAsia"/>
          <w:sz w:val="44"/>
          <w:szCs w:val="44"/>
        </w:rPr>
        <w:t>“三公”经费部门决算情况及增减变化原因</w:t>
      </w:r>
    </w:p>
    <w:p w:rsidR="008211FB" w:rsidRPr="00EB1EBF" w:rsidRDefault="00D77278" w:rsidP="00A01D9E">
      <w:pPr>
        <w:spacing w:line="700" w:lineRule="exact"/>
        <w:rPr>
          <w:rFonts w:ascii="仿宋_GB2312" w:eastAsia="仿宋_GB2312"/>
          <w:sz w:val="32"/>
          <w:szCs w:val="32"/>
        </w:rPr>
      </w:pPr>
      <w:r>
        <w:rPr>
          <w:rFonts w:hint="eastAsia"/>
        </w:rPr>
        <w:t xml:space="preserve">       </w:t>
      </w:r>
      <w:r w:rsidRPr="00EB1EBF">
        <w:rPr>
          <w:rFonts w:ascii="仿宋_GB2312" w:eastAsia="仿宋_GB2312" w:hint="eastAsia"/>
          <w:sz w:val="32"/>
          <w:szCs w:val="32"/>
        </w:rPr>
        <w:t xml:space="preserve"> 2017年，全市行政事业单位“三公”经费公共预算财政拨款支出总计3</w:t>
      </w:r>
      <w:r w:rsidR="00843539">
        <w:rPr>
          <w:rFonts w:ascii="仿宋_GB2312" w:eastAsia="仿宋_GB2312" w:hint="eastAsia"/>
          <w:sz w:val="32"/>
          <w:szCs w:val="32"/>
        </w:rPr>
        <w:t>,</w:t>
      </w:r>
      <w:r w:rsidRPr="00EB1EBF">
        <w:rPr>
          <w:rFonts w:ascii="仿宋_GB2312" w:eastAsia="仿宋_GB2312" w:hint="eastAsia"/>
          <w:sz w:val="32"/>
          <w:szCs w:val="32"/>
        </w:rPr>
        <w:t>376.2万元，占总支出的0.29%，占比同比下降0.12个百分点，比上年增加93.3万元，增加2.84%。其中：因公出国（境）支出155.5万元，比上年增加76.13万元，增长95.87%；公务用车购置及运行维护费支出2</w:t>
      </w:r>
      <w:r w:rsidR="00843539">
        <w:rPr>
          <w:rFonts w:ascii="仿宋_GB2312" w:eastAsia="仿宋_GB2312" w:hint="eastAsia"/>
          <w:sz w:val="32"/>
          <w:szCs w:val="32"/>
        </w:rPr>
        <w:t>,</w:t>
      </w:r>
      <w:r w:rsidRPr="00EB1EBF">
        <w:rPr>
          <w:rFonts w:ascii="仿宋_GB2312" w:eastAsia="仿宋_GB2312" w:hint="eastAsia"/>
          <w:sz w:val="32"/>
          <w:szCs w:val="32"/>
        </w:rPr>
        <w:t>391.78万元，比上年减少562.22万元，下降19.03%（其中：公务用车购置支出0万元，比上年减少44万元，减少100%，公务用车运行维护费2,391.78万元，比上年减少517.92万元，下降17.8%）；公务接待费828.86万元，比上年增加578.96万元，增长231.67%。</w:t>
      </w:r>
    </w:p>
    <w:p w:rsidR="008211FB" w:rsidRDefault="00D77278">
      <w:pPr>
        <w:rPr>
          <w:rFonts w:ascii="仿宋_GB2312" w:eastAsia="仿宋_GB2312" w:hint="eastAsia"/>
          <w:sz w:val="32"/>
          <w:szCs w:val="32"/>
        </w:rPr>
      </w:pPr>
      <w:r w:rsidRPr="00EB1EBF">
        <w:rPr>
          <w:rFonts w:ascii="仿宋_GB2312" w:eastAsia="仿宋_GB2312" w:hint="eastAsia"/>
          <w:sz w:val="32"/>
          <w:szCs w:val="32"/>
        </w:rPr>
        <w:t xml:space="preserve">        因公出国（境）支出比上年有所增长。增长原因：2016年因公出国（境）单位有23个，因公出国（境）人数38人，支出为79.4万元，2017年因公出国（境）单位有23个，因公出国（境）人数83人支出为155.5万元，人数增加45个，金额增加76.13万元。公务接待费比上年有所增长。增长原因：2016年公务接待人次30</w:t>
      </w:r>
      <w:r w:rsidR="00843539">
        <w:rPr>
          <w:rFonts w:ascii="仿宋_GB2312" w:eastAsia="仿宋_GB2312" w:hint="eastAsia"/>
          <w:sz w:val="32"/>
          <w:szCs w:val="32"/>
        </w:rPr>
        <w:t>,</w:t>
      </w:r>
      <w:r w:rsidRPr="00EB1EBF">
        <w:rPr>
          <w:rFonts w:ascii="仿宋_GB2312" w:eastAsia="仿宋_GB2312" w:hint="eastAsia"/>
          <w:sz w:val="32"/>
          <w:szCs w:val="32"/>
        </w:rPr>
        <w:t>943人，金额249.9万元，2017年公务接待人次47</w:t>
      </w:r>
      <w:r w:rsidR="00843539">
        <w:rPr>
          <w:rFonts w:ascii="仿宋_GB2312" w:eastAsia="仿宋_GB2312" w:hint="eastAsia"/>
          <w:sz w:val="32"/>
          <w:szCs w:val="32"/>
        </w:rPr>
        <w:t>,</w:t>
      </w:r>
      <w:r w:rsidRPr="00EB1EBF">
        <w:rPr>
          <w:rFonts w:ascii="仿宋_GB2312" w:eastAsia="仿宋_GB2312" w:hint="eastAsia"/>
          <w:sz w:val="32"/>
          <w:szCs w:val="32"/>
        </w:rPr>
        <w:t>855人，金额828.86万元，比上年增加16</w:t>
      </w:r>
      <w:r w:rsidR="00843539">
        <w:rPr>
          <w:rFonts w:ascii="仿宋_GB2312" w:eastAsia="仿宋_GB2312" w:hint="eastAsia"/>
          <w:sz w:val="32"/>
          <w:szCs w:val="32"/>
        </w:rPr>
        <w:t>,</w:t>
      </w:r>
      <w:r w:rsidRPr="00EB1EBF">
        <w:rPr>
          <w:rFonts w:ascii="仿宋_GB2312" w:eastAsia="仿宋_GB2312" w:hint="eastAsia"/>
          <w:sz w:val="32"/>
          <w:szCs w:val="32"/>
        </w:rPr>
        <w:t>912人。</w:t>
      </w:r>
    </w:p>
    <w:p w:rsidR="0032447D" w:rsidRPr="007B45DF" w:rsidRDefault="007B45DF" w:rsidP="0032447D">
      <w:pPr>
        <w:spacing w:line="700" w:lineRule="exact"/>
        <w:jc w:val="center"/>
        <w:rPr>
          <w:rFonts w:ascii="黑体" w:eastAsia="黑体" w:hint="eastAsia"/>
          <w:sz w:val="44"/>
          <w:szCs w:val="44"/>
        </w:rPr>
      </w:pPr>
      <w:r w:rsidRPr="007B45DF">
        <w:rPr>
          <w:rFonts w:ascii="黑体" w:eastAsia="黑体" w:hint="eastAsia"/>
          <w:sz w:val="44"/>
          <w:szCs w:val="44"/>
        </w:rPr>
        <w:lastRenderedPageBreak/>
        <w:t>部门决算相关信息统计表</w:t>
      </w:r>
    </w:p>
    <w:tbl>
      <w:tblPr>
        <w:tblW w:w="15180" w:type="dxa"/>
        <w:tblInd w:w="93" w:type="dxa"/>
        <w:tblLook w:val="04A0" w:firstRow="1" w:lastRow="0" w:firstColumn="1" w:lastColumn="0" w:noHBand="0" w:noVBand="1"/>
      </w:tblPr>
      <w:tblGrid>
        <w:gridCol w:w="4517"/>
        <w:gridCol w:w="580"/>
        <w:gridCol w:w="1123"/>
        <w:gridCol w:w="1800"/>
        <w:gridCol w:w="4780"/>
        <w:gridCol w:w="580"/>
        <w:gridCol w:w="1800"/>
      </w:tblGrid>
      <w:tr w:rsidR="0032447D" w:rsidRPr="0032447D" w:rsidTr="0032447D">
        <w:trPr>
          <w:trHeight w:val="300"/>
        </w:trPr>
        <w:tc>
          <w:tcPr>
            <w:tcW w:w="6220" w:type="dxa"/>
            <w:gridSpan w:val="3"/>
            <w:tcBorders>
              <w:top w:val="nil"/>
              <w:left w:val="nil"/>
              <w:bottom w:val="nil"/>
              <w:right w:val="nil"/>
            </w:tcBorders>
            <w:shd w:val="clear" w:color="auto" w:fill="auto"/>
            <w:noWrap/>
            <w:vAlign w:val="bottom"/>
            <w:hideMark/>
          </w:tcPr>
          <w:p w:rsidR="0032447D" w:rsidRPr="0032447D" w:rsidRDefault="0032447D" w:rsidP="0032447D">
            <w:pPr>
              <w:widowControl/>
              <w:jc w:val="left"/>
              <w:rPr>
                <w:rFonts w:ascii="宋体" w:eastAsia="宋体" w:hAnsi="宋体" w:cs="Arial"/>
                <w:color w:val="000000"/>
                <w:kern w:val="0"/>
                <w:sz w:val="24"/>
              </w:rPr>
            </w:pPr>
            <w:r w:rsidRPr="0032447D">
              <w:rPr>
                <w:rFonts w:ascii="宋体" w:eastAsia="宋体" w:hAnsi="宋体" w:cs="Arial" w:hint="eastAsia"/>
                <w:color w:val="000000"/>
                <w:kern w:val="0"/>
                <w:sz w:val="24"/>
              </w:rPr>
              <w:t>编制单位：海南省儋州市2017年度部门决算汇总</w:t>
            </w:r>
          </w:p>
        </w:tc>
        <w:tc>
          <w:tcPr>
            <w:tcW w:w="1800" w:type="dxa"/>
            <w:tcBorders>
              <w:top w:val="nil"/>
              <w:left w:val="nil"/>
              <w:bottom w:val="nil"/>
              <w:right w:val="nil"/>
            </w:tcBorders>
            <w:shd w:val="clear" w:color="auto" w:fill="auto"/>
            <w:noWrap/>
            <w:vAlign w:val="bottom"/>
            <w:hideMark/>
          </w:tcPr>
          <w:p w:rsidR="0032447D" w:rsidRPr="0032447D" w:rsidRDefault="0032447D" w:rsidP="0032447D">
            <w:pPr>
              <w:widowControl/>
              <w:jc w:val="center"/>
              <w:rPr>
                <w:rFonts w:ascii="宋体" w:eastAsia="宋体" w:hAnsi="宋体" w:cs="Arial"/>
                <w:color w:val="000000"/>
                <w:kern w:val="0"/>
                <w:sz w:val="24"/>
              </w:rPr>
            </w:pPr>
            <w:r w:rsidRPr="0032447D">
              <w:rPr>
                <w:rFonts w:ascii="宋体" w:eastAsia="宋体" w:hAnsi="宋体" w:cs="Arial" w:hint="eastAsia"/>
                <w:color w:val="000000"/>
                <w:kern w:val="0"/>
                <w:sz w:val="24"/>
              </w:rPr>
              <w:t>2017年度</w:t>
            </w:r>
          </w:p>
        </w:tc>
        <w:tc>
          <w:tcPr>
            <w:tcW w:w="4780" w:type="dxa"/>
            <w:tcBorders>
              <w:top w:val="nil"/>
              <w:left w:val="nil"/>
              <w:bottom w:val="nil"/>
              <w:right w:val="nil"/>
            </w:tcBorders>
            <w:shd w:val="clear" w:color="auto" w:fill="auto"/>
            <w:noWrap/>
            <w:vAlign w:val="bottom"/>
            <w:hideMark/>
          </w:tcPr>
          <w:p w:rsidR="0032447D" w:rsidRPr="0032447D" w:rsidRDefault="0032447D" w:rsidP="0032447D">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32447D" w:rsidRPr="0032447D" w:rsidRDefault="0032447D" w:rsidP="0032447D">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32447D" w:rsidRPr="0032447D" w:rsidRDefault="0032447D" w:rsidP="0032447D">
            <w:pPr>
              <w:widowControl/>
              <w:jc w:val="right"/>
              <w:rPr>
                <w:rFonts w:ascii="宋体" w:eastAsia="宋体" w:hAnsi="宋体" w:cs="Arial"/>
                <w:color w:val="000000"/>
                <w:kern w:val="0"/>
                <w:sz w:val="24"/>
              </w:rPr>
            </w:pPr>
            <w:r w:rsidRPr="0032447D">
              <w:rPr>
                <w:rFonts w:ascii="宋体" w:eastAsia="宋体" w:hAnsi="宋体" w:cs="Arial" w:hint="eastAsia"/>
                <w:color w:val="000000"/>
                <w:kern w:val="0"/>
                <w:sz w:val="24"/>
              </w:rPr>
              <w:t>金额单位：万元</w:t>
            </w:r>
          </w:p>
        </w:tc>
      </w:tr>
      <w:tr w:rsidR="0032447D" w:rsidRPr="0032447D" w:rsidTr="0032447D">
        <w:trPr>
          <w:trHeight w:val="308"/>
        </w:trPr>
        <w:tc>
          <w:tcPr>
            <w:tcW w:w="4517"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项  目</w:t>
            </w:r>
          </w:p>
        </w:tc>
        <w:tc>
          <w:tcPr>
            <w:tcW w:w="58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行次</w:t>
            </w:r>
          </w:p>
        </w:tc>
        <w:tc>
          <w:tcPr>
            <w:tcW w:w="1123" w:type="dxa"/>
            <w:tcBorders>
              <w:top w:val="single" w:sz="4" w:space="0" w:color="000000"/>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预算数</w:t>
            </w:r>
          </w:p>
        </w:tc>
        <w:tc>
          <w:tcPr>
            <w:tcW w:w="1800" w:type="dxa"/>
            <w:tcBorders>
              <w:top w:val="single" w:sz="4" w:space="0" w:color="000000"/>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统计数</w:t>
            </w:r>
          </w:p>
        </w:tc>
        <w:tc>
          <w:tcPr>
            <w:tcW w:w="4780" w:type="dxa"/>
            <w:tcBorders>
              <w:top w:val="single" w:sz="4" w:space="0" w:color="000000"/>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项  目</w:t>
            </w:r>
          </w:p>
        </w:tc>
        <w:tc>
          <w:tcPr>
            <w:tcW w:w="58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行次</w:t>
            </w:r>
          </w:p>
        </w:tc>
        <w:tc>
          <w:tcPr>
            <w:tcW w:w="1800" w:type="dxa"/>
            <w:tcBorders>
              <w:top w:val="single" w:sz="4" w:space="0" w:color="000000"/>
              <w:left w:val="nil"/>
              <w:bottom w:val="single" w:sz="4" w:space="0" w:color="000000"/>
              <w:right w:val="single" w:sz="8"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统计数</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栏  次</w:t>
            </w:r>
          </w:p>
        </w:tc>
        <w:tc>
          <w:tcPr>
            <w:tcW w:w="580" w:type="dxa"/>
            <w:vMerge/>
            <w:tcBorders>
              <w:top w:val="single" w:sz="4" w:space="0" w:color="000000"/>
              <w:left w:val="nil"/>
              <w:bottom w:val="single" w:sz="4" w:space="0" w:color="000000"/>
              <w:right w:val="single" w:sz="4" w:space="0" w:color="000000"/>
            </w:tcBorders>
            <w:vAlign w:val="center"/>
            <w:hideMark/>
          </w:tcPr>
          <w:p w:rsidR="0032447D" w:rsidRPr="0032447D" w:rsidRDefault="0032447D" w:rsidP="0032447D">
            <w:pPr>
              <w:widowControl/>
              <w:jc w:val="left"/>
              <w:rPr>
                <w:rFonts w:ascii="宋体" w:eastAsia="宋体" w:hAnsi="宋体" w:cs="Arial"/>
                <w:color w:val="000000"/>
                <w:kern w:val="0"/>
                <w:sz w:val="22"/>
                <w:szCs w:val="22"/>
              </w:rPr>
            </w:pPr>
          </w:p>
        </w:tc>
        <w:tc>
          <w:tcPr>
            <w:tcW w:w="1123"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w:t>
            </w:r>
          </w:p>
        </w:tc>
        <w:tc>
          <w:tcPr>
            <w:tcW w:w="180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栏  次</w:t>
            </w:r>
          </w:p>
        </w:tc>
        <w:tc>
          <w:tcPr>
            <w:tcW w:w="580" w:type="dxa"/>
            <w:vMerge/>
            <w:tcBorders>
              <w:top w:val="single" w:sz="4" w:space="0" w:color="000000"/>
              <w:left w:val="nil"/>
              <w:bottom w:val="single" w:sz="4" w:space="0" w:color="000000"/>
              <w:right w:val="single" w:sz="4" w:space="0" w:color="000000"/>
            </w:tcBorders>
            <w:vAlign w:val="center"/>
            <w:hideMark/>
          </w:tcPr>
          <w:p w:rsidR="0032447D" w:rsidRPr="0032447D" w:rsidRDefault="0032447D" w:rsidP="0032447D">
            <w:pPr>
              <w:widowControl/>
              <w:jc w:val="left"/>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一、“三公”经费支出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二、机关运行经费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22</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22,381.02</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（一）支出合计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3,907.01</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3,376.20</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（一）行政单位</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23</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21,336.92</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1．因公出国（境）费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188.60</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155.55</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（二）参照公务员法管理事业单位</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24</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1,044.10</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2．公务用车购置及运行维护费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4</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2,726.54</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2,391.78</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25</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（1）公务用车购置费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5</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0.00</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三、国有资产占用情况</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26</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（2）公务用车运行维护费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6</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2,726.54</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2,391.78</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（一）车辆数合计（辆）</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27</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1,277</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3．公务接待费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7</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991.86</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828.86</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1．部级领导干部用车</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28</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（1）国内接待费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8</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991.86</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828.86</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2．一般公务用车</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29</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256</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其中：外事接待费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9</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15.00</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8.81</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3．一般执法执勤用车</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30</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299</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（2）国（境）外接待费</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10</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0.00</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4．特种专业技术用车</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31</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50</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（二）相关统计数</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11</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5．其他用车</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32</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672</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1．因公出国（境）团组数（</w:t>
            </w:r>
            <w:proofErr w:type="gramStart"/>
            <w:r w:rsidRPr="0032447D">
              <w:rPr>
                <w:rFonts w:ascii="宋体" w:eastAsia="宋体" w:hAnsi="宋体" w:cs="Arial" w:hint="eastAsia"/>
                <w:color w:val="000000"/>
                <w:kern w:val="0"/>
                <w:sz w:val="22"/>
                <w:szCs w:val="22"/>
              </w:rPr>
              <w:t>个</w:t>
            </w:r>
            <w:proofErr w:type="gramEnd"/>
            <w:r w:rsidRPr="0032447D">
              <w:rPr>
                <w:rFonts w:ascii="宋体" w:eastAsia="宋体" w:hAnsi="宋体" w:cs="Arial" w:hint="eastAsia"/>
                <w:color w:val="000000"/>
                <w:kern w:val="0"/>
                <w:sz w:val="22"/>
                <w:szCs w:val="22"/>
              </w:rPr>
              <w:t>）</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12</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30</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（二）单价50万元以上通用设备（台，套）</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33</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79</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2．因公出国（境）人次数（人）</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13</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83</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（三）单价100万元以上专用设备（台，套）</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34</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73</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3．公务用车购置数（辆）</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14</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35</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4．公务用车保有量（辆）</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15</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493</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36</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5．国内公务接待批次（</w:t>
            </w:r>
            <w:proofErr w:type="gramStart"/>
            <w:r w:rsidRPr="0032447D">
              <w:rPr>
                <w:rFonts w:ascii="宋体" w:eastAsia="宋体" w:hAnsi="宋体" w:cs="Arial" w:hint="eastAsia"/>
                <w:color w:val="000000"/>
                <w:kern w:val="0"/>
                <w:sz w:val="22"/>
                <w:szCs w:val="22"/>
              </w:rPr>
              <w:t>个</w:t>
            </w:r>
            <w:proofErr w:type="gramEnd"/>
            <w:r w:rsidRPr="0032447D">
              <w:rPr>
                <w:rFonts w:ascii="宋体" w:eastAsia="宋体" w:hAnsi="宋体" w:cs="Arial" w:hint="eastAsia"/>
                <w:color w:val="000000"/>
                <w:kern w:val="0"/>
                <w:sz w:val="22"/>
                <w:szCs w:val="22"/>
              </w:rPr>
              <w:t>）</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16</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5,226</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37</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其中：外事接待批次（</w:t>
            </w:r>
            <w:proofErr w:type="gramStart"/>
            <w:r w:rsidRPr="0032447D">
              <w:rPr>
                <w:rFonts w:ascii="宋体" w:eastAsia="宋体" w:hAnsi="宋体" w:cs="Arial" w:hint="eastAsia"/>
                <w:color w:val="000000"/>
                <w:kern w:val="0"/>
                <w:sz w:val="22"/>
                <w:szCs w:val="22"/>
              </w:rPr>
              <w:t>个</w:t>
            </w:r>
            <w:proofErr w:type="gramEnd"/>
            <w:r w:rsidRPr="0032447D">
              <w:rPr>
                <w:rFonts w:ascii="宋体" w:eastAsia="宋体" w:hAnsi="宋体" w:cs="Arial" w:hint="eastAsia"/>
                <w:color w:val="000000"/>
                <w:kern w:val="0"/>
                <w:sz w:val="22"/>
                <w:szCs w:val="22"/>
              </w:rPr>
              <w:t>）</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17</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13</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38</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6．国内公务接待人次（人）</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18</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47,855</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39</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其中：外事接待人次（人）</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19</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264</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40</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7．国（境）外公务接待批次（</w:t>
            </w:r>
            <w:proofErr w:type="gramStart"/>
            <w:r w:rsidRPr="0032447D">
              <w:rPr>
                <w:rFonts w:ascii="宋体" w:eastAsia="宋体" w:hAnsi="宋体" w:cs="Arial" w:hint="eastAsia"/>
                <w:color w:val="000000"/>
                <w:kern w:val="0"/>
                <w:sz w:val="22"/>
                <w:szCs w:val="22"/>
              </w:rPr>
              <w:t>个</w:t>
            </w:r>
            <w:proofErr w:type="gramEnd"/>
            <w:r w:rsidRPr="0032447D">
              <w:rPr>
                <w:rFonts w:ascii="宋体" w:eastAsia="宋体" w:hAnsi="宋体" w:cs="Arial" w:hint="eastAsia"/>
                <w:color w:val="000000"/>
                <w:kern w:val="0"/>
                <w:sz w:val="22"/>
                <w:szCs w:val="22"/>
              </w:rPr>
              <w:t>）</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20</w:t>
            </w:r>
          </w:p>
        </w:tc>
        <w:tc>
          <w:tcPr>
            <w:tcW w:w="1123"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4"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w:t>
            </w:r>
          </w:p>
        </w:tc>
        <w:tc>
          <w:tcPr>
            <w:tcW w:w="47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41</w:t>
            </w:r>
          </w:p>
        </w:tc>
        <w:tc>
          <w:tcPr>
            <w:tcW w:w="1800" w:type="dxa"/>
            <w:tcBorders>
              <w:top w:val="nil"/>
              <w:left w:val="nil"/>
              <w:bottom w:val="single" w:sz="4"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4517" w:type="dxa"/>
            <w:tcBorders>
              <w:top w:val="nil"/>
              <w:left w:val="single" w:sz="4" w:space="0" w:color="000000"/>
              <w:bottom w:val="single" w:sz="8"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lastRenderedPageBreak/>
              <w:t xml:space="preserve">  8．国（境）外公务接待人次（人）</w:t>
            </w:r>
          </w:p>
        </w:tc>
        <w:tc>
          <w:tcPr>
            <w:tcW w:w="580" w:type="dxa"/>
            <w:tcBorders>
              <w:top w:val="nil"/>
              <w:left w:val="nil"/>
              <w:bottom w:val="single" w:sz="8"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21</w:t>
            </w:r>
          </w:p>
        </w:tc>
        <w:tc>
          <w:tcPr>
            <w:tcW w:w="1123" w:type="dxa"/>
            <w:tcBorders>
              <w:top w:val="nil"/>
              <w:left w:val="nil"/>
              <w:bottom w:val="single" w:sz="8" w:space="0" w:color="000000"/>
              <w:right w:val="single" w:sz="4" w:space="0" w:color="000000"/>
            </w:tcBorders>
            <w:shd w:val="clear" w:color="auto" w:fill="auto"/>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w:t>
            </w:r>
          </w:p>
        </w:tc>
        <w:tc>
          <w:tcPr>
            <w:tcW w:w="1800" w:type="dxa"/>
            <w:tcBorders>
              <w:top w:val="nil"/>
              <w:left w:val="nil"/>
              <w:bottom w:val="single" w:sz="8" w:space="0" w:color="000000"/>
              <w:right w:val="single" w:sz="4" w:space="0" w:color="000000"/>
            </w:tcBorders>
            <w:shd w:val="clear" w:color="auto" w:fill="auto"/>
            <w:noWrap/>
            <w:vAlign w:val="center"/>
            <w:hideMark/>
          </w:tcPr>
          <w:p w:rsidR="0032447D" w:rsidRPr="0032447D" w:rsidRDefault="0032447D" w:rsidP="0032447D">
            <w:pPr>
              <w:widowControl/>
              <w:jc w:val="righ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0</w:t>
            </w:r>
          </w:p>
        </w:tc>
        <w:tc>
          <w:tcPr>
            <w:tcW w:w="4780" w:type="dxa"/>
            <w:tcBorders>
              <w:top w:val="nil"/>
              <w:left w:val="nil"/>
              <w:bottom w:val="single" w:sz="8" w:space="0" w:color="000000"/>
              <w:right w:val="single" w:sz="4" w:space="0" w:color="000000"/>
            </w:tcBorders>
            <w:shd w:val="clear" w:color="FFFFFF" w:fill="C0C0C0"/>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c>
          <w:tcPr>
            <w:tcW w:w="580" w:type="dxa"/>
            <w:tcBorders>
              <w:top w:val="nil"/>
              <w:left w:val="nil"/>
              <w:bottom w:val="single" w:sz="8" w:space="0" w:color="000000"/>
              <w:right w:val="single" w:sz="4" w:space="0" w:color="000000"/>
            </w:tcBorders>
            <w:shd w:val="clear" w:color="FFFFFF" w:fill="C0C0C0"/>
            <w:noWrap/>
            <w:vAlign w:val="center"/>
            <w:hideMark/>
          </w:tcPr>
          <w:p w:rsidR="0032447D" w:rsidRPr="0032447D" w:rsidRDefault="0032447D" w:rsidP="0032447D">
            <w:pPr>
              <w:widowControl/>
              <w:jc w:val="center"/>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42</w:t>
            </w:r>
          </w:p>
        </w:tc>
        <w:tc>
          <w:tcPr>
            <w:tcW w:w="1800" w:type="dxa"/>
            <w:tcBorders>
              <w:top w:val="nil"/>
              <w:left w:val="nil"/>
              <w:bottom w:val="single" w:sz="8" w:space="0" w:color="000000"/>
              <w:right w:val="single" w:sz="8" w:space="0" w:color="000000"/>
            </w:tcBorders>
            <w:shd w:val="clear" w:color="auto" w:fill="auto"/>
            <w:noWrap/>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w:t>
            </w:r>
          </w:p>
        </w:tc>
      </w:tr>
      <w:tr w:rsidR="0032447D" w:rsidRPr="0032447D" w:rsidTr="0032447D">
        <w:trPr>
          <w:trHeight w:val="308"/>
        </w:trPr>
        <w:tc>
          <w:tcPr>
            <w:tcW w:w="15180" w:type="dxa"/>
            <w:gridSpan w:val="7"/>
            <w:tcBorders>
              <w:top w:val="nil"/>
              <w:left w:val="nil"/>
              <w:bottom w:val="nil"/>
              <w:right w:val="nil"/>
            </w:tcBorders>
            <w:shd w:val="clear" w:color="auto" w:fill="auto"/>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注：1．本表反映部门决算中"三公"经费、机关运行经费和国有资产占用情况等相关统计指标。</w:t>
            </w:r>
          </w:p>
        </w:tc>
      </w:tr>
      <w:tr w:rsidR="0032447D" w:rsidRPr="0032447D" w:rsidTr="0032447D">
        <w:trPr>
          <w:trHeight w:val="923"/>
        </w:trPr>
        <w:tc>
          <w:tcPr>
            <w:tcW w:w="15180" w:type="dxa"/>
            <w:gridSpan w:val="7"/>
            <w:tcBorders>
              <w:top w:val="nil"/>
              <w:left w:val="nil"/>
              <w:bottom w:val="nil"/>
              <w:right w:val="nil"/>
            </w:tcBorders>
            <w:shd w:val="clear" w:color="auto" w:fill="auto"/>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2．“三公”经费填列单位使用一般公共预算财政拨款安排的支出，其中：中央单位不包括教学科研人员因公出国（境）费及相关团组和人次，地方单位按照本级部门预算口径填报。预算数填列年初预算数，支出统计数应</w:t>
            </w:r>
            <w:proofErr w:type="gramStart"/>
            <w:r w:rsidRPr="0032447D">
              <w:rPr>
                <w:rFonts w:ascii="宋体" w:eastAsia="宋体" w:hAnsi="宋体" w:cs="Arial" w:hint="eastAsia"/>
                <w:color w:val="000000"/>
                <w:kern w:val="0"/>
                <w:sz w:val="22"/>
                <w:szCs w:val="22"/>
              </w:rPr>
              <w:t>与财决</w:t>
            </w:r>
            <w:proofErr w:type="gramEnd"/>
            <w:r w:rsidRPr="0032447D">
              <w:rPr>
                <w:rFonts w:ascii="宋体" w:eastAsia="宋体" w:hAnsi="宋体" w:cs="Arial" w:hint="eastAsia"/>
                <w:color w:val="000000"/>
                <w:kern w:val="0"/>
                <w:sz w:val="22"/>
                <w:szCs w:val="22"/>
              </w:rPr>
              <w:t>08表保持衔接。“三公”经费相关统计数是指使用一般公共预算财政拨款负担费用的相关批次、人次及车辆情况。</w:t>
            </w:r>
          </w:p>
        </w:tc>
      </w:tr>
      <w:tr w:rsidR="0032447D" w:rsidRPr="0032447D" w:rsidTr="0032447D">
        <w:trPr>
          <w:trHeight w:val="615"/>
        </w:trPr>
        <w:tc>
          <w:tcPr>
            <w:tcW w:w="15180" w:type="dxa"/>
            <w:gridSpan w:val="7"/>
            <w:tcBorders>
              <w:top w:val="nil"/>
              <w:left w:val="nil"/>
              <w:bottom w:val="nil"/>
              <w:right w:val="nil"/>
            </w:tcBorders>
            <w:shd w:val="clear" w:color="auto" w:fill="auto"/>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3．“机关运行经费”填</w:t>
            </w:r>
            <w:proofErr w:type="gramStart"/>
            <w:r w:rsidRPr="0032447D">
              <w:rPr>
                <w:rFonts w:ascii="宋体" w:eastAsia="宋体" w:hAnsi="宋体" w:cs="Arial" w:hint="eastAsia"/>
                <w:color w:val="000000"/>
                <w:kern w:val="0"/>
                <w:sz w:val="22"/>
                <w:szCs w:val="22"/>
              </w:rPr>
              <w:t>列行</w:t>
            </w:r>
            <w:proofErr w:type="gramEnd"/>
            <w:r w:rsidRPr="0032447D">
              <w:rPr>
                <w:rFonts w:ascii="宋体" w:eastAsia="宋体" w:hAnsi="宋体" w:cs="Arial" w:hint="eastAsia"/>
                <w:color w:val="000000"/>
                <w:kern w:val="0"/>
                <w:sz w:val="22"/>
                <w:szCs w:val="22"/>
              </w:rPr>
              <w:t>政单位和参照公务员法管理的事业单位使用一般公共预算财政拨款安排的基本支出中的日常公用经费支出，相关数据应</w:t>
            </w:r>
            <w:proofErr w:type="gramStart"/>
            <w:r w:rsidRPr="0032447D">
              <w:rPr>
                <w:rFonts w:ascii="宋体" w:eastAsia="宋体" w:hAnsi="宋体" w:cs="Arial" w:hint="eastAsia"/>
                <w:color w:val="000000"/>
                <w:kern w:val="0"/>
                <w:sz w:val="22"/>
                <w:szCs w:val="22"/>
              </w:rPr>
              <w:t>与财决</w:t>
            </w:r>
            <w:proofErr w:type="gramEnd"/>
            <w:r w:rsidRPr="0032447D">
              <w:rPr>
                <w:rFonts w:ascii="宋体" w:eastAsia="宋体" w:hAnsi="宋体" w:cs="Arial" w:hint="eastAsia"/>
                <w:color w:val="000000"/>
                <w:kern w:val="0"/>
                <w:sz w:val="22"/>
                <w:szCs w:val="22"/>
              </w:rPr>
              <w:t>07表保持一致。</w:t>
            </w:r>
          </w:p>
        </w:tc>
      </w:tr>
      <w:tr w:rsidR="0032447D" w:rsidRPr="0032447D" w:rsidTr="0032447D">
        <w:trPr>
          <w:trHeight w:val="308"/>
        </w:trPr>
        <w:tc>
          <w:tcPr>
            <w:tcW w:w="15180" w:type="dxa"/>
            <w:gridSpan w:val="7"/>
            <w:tcBorders>
              <w:top w:val="nil"/>
              <w:left w:val="nil"/>
              <w:bottom w:val="nil"/>
              <w:right w:val="nil"/>
            </w:tcBorders>
            <w:shd w:val="clear" w:color="auto" w:fill="auto"/>
            <w:vAlign w:val="center"/>
            <w:hideMark/>
          </w:tcPr>
          <w:p w:rsidR="0032447D" w:rsidRPr="0032447D" w:rsidRDefault="0032447D" w:rsidP="0032447D">
            <w:pPr>
              <w:widowControl/>
              <w:jc w:val="left"/>
              <w:rPr>
                <w:rFonts w:ascii="宋体" w:eastAsia="宋体" w:hAnsi="宋体" w:cs="Arial"/>
                <w:color w:val="000000"/>
                <w:kern w:val="0"/>
                <w:sz w:val="22"/>
                <w:szCs w:val="22"/>
              </w:rPr>
            </w:pPr>
            <w:r w:rsidRPr="0032447D">
              <w:rPr>
                <w:rFonts w:ascii="宋体" w:eastAsia="宋体" w:hAnsi="宋体" w:cs="Arial" w:hint="eastAsia"/>
                <w:color w:val="000000"/>
                <w:kern w:val="0"/>
                <w:sz w:val="22"/>
                <w:szCs w:val="22"/>
              </w:rPr>
              <w:t xml:space="preserve">    4．“国有资产占用情况”填列单位用各类资金购置的车辆、设备等固定资产数量情况，相关数据应与</w:t>
            </w:r>
            <w:proofErr w:type="gramStart"/>
            <w:r w:rsidRPr="0032447D">
              <w:rPr>
                <w:rFonts w:ascii="宋体" w:eastAsia="宋体" w:hAnsi="宋体" w:cs="Arial" w:hint="eastAsia"/>
                <w:color w:val="000000"/>
                <w:kern w:val="0"/>
                <w:sz w:val="22"/>
                <w:szCs w:val="22"/>
              </w:rPr>
              <w:t>财决附</w:t>
            </w:r>
            <w:proofErr w:type="gramEnd"/>
            <w:r w:rsidRPr="0032447D">
              <w:rPr>
                <w:rFonts w:ascii="宋体" w:eastAsia="宋体" w:hAnsi="宋体" w:cs="Arial" w:hint="eastAsia"/>
                <w:color w:val="000000"/>
                <w:kern w:val="0"/>
                <w:sz w:val="22"/>
                <w:szCs w:val="22"/>
              </w:rPr>
              <w:t>01表保持一致。</w:t>
            </w:r>
          </w:p>
        </w:tc>
      </w:tr>
    </w:tbl>
    <w:p w:rsidR="007B45DF" w:rsidRPr="0032447D" w:rsidRDefault="007B45DF">
      <w:pPr>
        <w:rPr>
          <w:rFonts w:ascii="仿宋_GB2312" w:eastAsia="仿宋_GB2312" w:hint="eastAsia"/>
          <w:sz w:val="32"/>
          <w:szCs w:val="32"/>
        </w:rPr>
      </w:pPr>
      <w:bookmarkStart w:id="0" w:name="_GoBack"/>
      <w:bookmarkEnd w:id="0"/>
    </w:p>
    <w:p w:rsidR="007B45DF" w:rsidRPr="007B45DF" w:rsidRDefault="007B45DF">
      <w:pPr>
        <w:rPr>
          <w:rFonts w:ascii="仿宋_GB2312" w:eastAsia="仿宋_GB2312"/>
          <w:sz w:val="32"/>
          <w:szCs w:val="32"/>
        </w:rPr>
      </w:pPr>
    </w:p>
    <w:sectPr w:rsidR="007B45DF" w:rsidRPr="007B45DF" w:rsidSect="007B45DF">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3B" w:rsidRDefault="005E7E3B" w:rsidP="00EB1EBF">
      <w:r>
        <w:separator/>
      </w:r>
    </w:p>
  </w:endnote>
  <w:endnote w:type="continuationSeparator" w:id="0">
    <w:p w:rsidR="005E7E3B" w:rsidRDefault="005E7E3B" w:rsidP="00EB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BF" w:rsidRDefault="00EB1E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BF" w:rsidRDefault="00EB1E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BF" w:rsidRDefault="00EB1E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3B" w:rsidRDefault="005E7E3B" w:rsidP="00EB1EBF">
      <w:r>
        <w:separator/>
      </w:r>
    </w:p>
  </w:footnote>
  <w:footnote w:type="continuationSeparator" w:id="0">
    <w:p w:rsidR="005E7E3B" w:rsidRDefault="005E7E3B" w:rsidP="00EB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BF" w:rsidRDefault="00EB1E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BF" w:rsidRDefault="00EB1EBF" w:rsidP="007B45D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BF" w:rsidRDefault="00EB1E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74D54"/>
    <w:rsid w:val="0024284E"/>
    <w:rsid w:val="0032447D"/>
    <w:rsid w:val="005E7E3B"/>
    <w:rsid w:val="007B45DF"/>
    <w:rsid w:val="008211FB"/>
    <w:rsid w:val="00843539"/>
    <w:rsid w:val="00A01D9E"/>
    <w:rsid w:val="00B01FC6"/>
    <w:rsid w:val="00D77278"/>
    <w:rsid w:val="00EB1EBF"/>
    <w:rsid w:val="0C57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1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1EBF"/>
    <w:rPr>
      <w:kern w:val="2"/>
      <w:sz w:val="18"/>
      <w:szCs w:val="18"/>
    </w:rPr>
  </w:style>
  <w:style w:type="paragraph" w:styleId="a4">
    <w:name w:val="footer"/>
    <w:basedOn w:val="a"/>
    <w:link w:val="Char0"/>
    <w:rsid w:val="00EB1EBF"/>
    <w:pPr>
      <w:tabs>
        <w:tab w:val="center" w:pos="4153"/>
        <w:tab w:val="right" w:pos="8306"/>
      </w:tabs>
      <w:snapToGrid w:val="0"/>
      <w:jc w:val="left"/>
    </w:pPr>
    <w:rPr>
      <w:sz w:val="18"/>
      <w:szCs w:val="18"/>
    </w:rPr>
  </w:style>
  <w:style w:type="character" w:customStyle="1" w:styleId="Char0">
    <w:name w:val="页脚 Char"/>
    <w:basedOn w:val="a0"/>
    <w:link w:val="a4"/>
    <w:rsid w:val="00EB1EB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1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1EBF"/>
    <w:rPr>
      <w:kern w:val="2"/>
      <w:sz w:val="18"/>
      <w:szCs w:val="18"/>
    </w:rPr>
  </w:style>
  <w:style w:type="paragraph" w:styleId="a4">
    <w:name w:val="footer"/>
    <w:basedOn w:val="a"/>
    <w:link w:val="Char0"/>
    <w:rsid w:val="00EB1EBF"/>
    <w:pPr>
      <w:tabs>
        <w:tab w:val="center" w:pos="4153"/>
        <w:tab w:val="right" w:pos="8306"/>
      </w:tabs>
      <w:snapToGrid w:val="0"/>
      <w:jc w:val="left"/>
    </w:pPr>
    <w:rPr>
      <w:sz w:val="18"/>
      <w:szCs w:val="18"/>
    </w:rPr>
  </w:style>
  <w:style w:type="character" w:customStyle="1" w:styleId="Char0">
    <w:name w:val="页脚 Char"/>
    <w:basedOn w:val="a0"/>
    <w:link w:val="a4"/>
    <w:rsid w:val="00EB1E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22703">
      <w:bodyDiv w:val="1"/>
      <w:marLeft w:val="0"/>
      <w:marRight w:val="0"/>
      <w:marTop w:val="0"/>
      <w:marBottom w:val="0"/>
      <w:divBdr>
        <w:top w:val="none" w:sz="0" w:space="0" w:color="auto"/>
        <w:left w:val="none" w:sz="0" w:space="0" w:color="auto"/>
        <w:bottom w:val="none" w:sz="0" w:space="0" w:color="auto"/>
        <w:right w:val="none" w:sz="0" w:space="0" w:color="auto"/>
      </w:divBdr>
    </w:div>
    <w:div w:id="2135827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283</Words>
  <Characters>1614</Characters>
  <Application>Microsoft Office Word</Application>
  <DocSecurity>0</DocSecurity>
  <Lines>13</Lines>
  <Paragraphs>3</Paragraphs>
  <ScaleCrop>false</ScaleCrop>
  <Company>儋州市党政机关单位</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“三公”经费部门决算情况及增减变化原因</dc:title>
  <dc:creator>HXN</dc:creator>
  <cp:lastModifiedBy>微软用户</cp:lastModifiedBy>
  <cp:revision>7</cp:revision>
  <dcterms:created xsi:type="dcterms:W3CDTF">2018-08-09T02:58:00Z</dcterms:created>
  <dcterms:modified xsi:type="dcterms:W3CDTF">2018-08-15T01:13:00Z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