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</w:rPr>
        <w:t>四、绩效评价结论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(一)绩效评价得分</w:t>
      </w:r>
    </w:p>
    <w:tbl>
      <w:tblPr>
        <w:tblStyle w:val="3"/>
        <w:tblW w:w="76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3"/>
        <w:gridCol w:w="2415"/>
        <w:gridCol w:w="20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分值(分)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绩效得分(分)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一、投入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1.职责明确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2.活动合规性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3.活动合理性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4.部门绩效自评项目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5.在职人员控制率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二、过程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1.预算完成率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2.预算调整率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3.支付进度率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4.结转结余率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5.公用经费控制率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6.政府采购执行率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7.资金使用合规性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8.预决算信息公开性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9.基础信息完善性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10.资产管理完整性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11.固定资产利用率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三、产出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1.项目实际完成率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2.项目质量达标率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3.活动关键指标达标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四、效果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1.部门预算绩效管理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2.社会公众满意度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78.21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E17DA"/>
    <w:rsid w:val="349E17DA"/>
    <w:rsid w:val="5FB4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华南总部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2021-06-08T07:29:00Z</dcterms:created>
  <dc:creator>Administrator</dc:creator>
  <cp:lastModifiedBy>Administrator</cp:lastModifiedBy>
  <dcterms:modified xsi:type="dcterms:W3CDTF">2021-06-08T07:37:01Z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