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line="420" w:lineRule="atLeast"/>
        <w:ind w:left="0" w:firstLine="180"/>
        <w:jc w:val="center"/>
        <w:rPr>
          <w:rFonts w:hint="eastAsia" w:ascii="方正小标宋简体" w:hAnsi="方正小标宋简体" w:eastAsia="方正小标宋简体" w:cs="方正小标宋简体"/>
          <w:sz w:val="44"/>
          <w:szCs w:val="44"/>
        </w:rPr>
      </w:pPr>
      <w:r>
        <w:rPr>
          <w:rStyle w:val="5"/>
          <w:rFonts w:hint="eastAsia" w:ascii="方正小标宋简体" w:hAnsi="方正小标宋简体" w:eastAsia="方正小标宋简体" w:cs="方正小标宋简体"/>
          <w:sz w:val="44"/>
          <w:szCs w:val="44"/>
          <w:lang w:val="en-US" w:eastAsia="zh-CN"/>
        </w:rPr>
        <w:t>2025年儋州市财政局（</w:t>
      </w:r>
      <w:r>
        <w:rPr>
          <w:rFonts w:hint="eastAsia" w:ascii="方正小标宋简体" w:hAnsi="方正小标宋简体" w:eastAsia="方正小标宋简体" w:cs="方正小标宋简体"/>
          <w:sz w:val="44"/>
          <w:szCs w:val="44"/>
          <w:lang w:eastAsia="zh-CN"/>
        </w:rPr>
        <w:t>国有企业管理工作</w:t>
      </w:r>
      <w:r>
        <w:rPr>
          <w:rStyle w:val="5"/>
          <w:rFonts w:hint="eastAsia" w:ascii="方正小标宋简体" w:hAnsi="方正小标宋简体" w:eastAsia="方正小标宋简体" w:cs="方正小标宋简体"/>
          <w:sz w:val="44"/>
          <w:szCs w:val="44"/>
          <w:lang w:val="en-US" w:eastAsia="zh-CN"/>
        </w:rPr>
        <w:t>）</w:t>
      </w:r>
      <w:r>
        <w:rPr>
          <w:rStyle w:val="5"/>
          <w:rFonts w:hint="eastAsia" w:ascii="方正小标宋简体" w:hAnsi="方正小标宋简体" w:eastAsia="方正小标宋简体" w:cs="方正小标宋简体"/>
          <w:sz w:val="44"/>
          <w:szCs w:val="44"/>
        </w:rPr>
        <w:t xml:space="preserve">项目支出绩效自评报告 </w:t>
      </w:r>
    </w:p>
    <w:p>
      <w:pPr>
        <w:pStyle w:val="2"/>
        <w:keepNext w:val="0"/>
        <w:keepLines w:val="0"/>
        <w:widowControl/>
        <w:suppressLineNumbers w:val="0"/>
        <w:spacing w:line="420" w:lineRule="atLeast"/>
        <w:ind w:left="0" w:firstLine="132"/>
        <w:jc w:val="center"/>
      </w:pPr>
    </w:p>
    <w:p>
      <w:pPr>
        <w:pStyle w:val="2"/>
        <w:keepNext w:val="0"/>
        <w:keepLines w:val="0"/>
        <w:pageBreakBefore w:val="0"/>
        <w:widowControl/>
        <w:suppressLineNumbers w:val="0"/>
        <w:kinsoku/>
        <w:wordWrap/>
        <w:overflowPunct/>
        <w:topLinePunct w:val="0"/>
        <w:autoSpaceDE/>
        <w:autoSpaceDN/>
        <w:bidi w:val="0"/>
        <w:adjustRightInd/>
        <w:snapToGrid/>
        <w:spacing w:line="360" w:lineRule="auto"/>
        <w:ind w:left="0" w:firstLine="444"/>
        <w:textAlignment w:val="auto"/>
      </w:pPr>
      <w:r>
        <w:rPr>
          <w:rFonts w:ascii="仿宋_GB2312" w:eastAsia="仿宋_GB2312" w:cs="仿宋_GB2312"/>
          <w:sz w:val="25"/>
          <w:szCs w:val="25"/>
        </w:rPr>
        <w:t> </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textAlignment w:val="auto"/>
        <w:rPr>
          <w:rFonts w:hint="eastAsia" w:ascii="仿宋_GB2312" w:hAnsi="仿宋_GB2312" w:eastAsia="仿宋_GB2312" w:cs="仿宋_GB2312"/>
          <w:sz w:val="32"/>
          <w:szCs w:val="32"/>
          <w:lang w:eastAsia="zh-CN"/>
        </w:rPr>
      </w:pPr>
      <w:r>
        <w:rPr>
          <w:rFonts w:hint="eastAsia" w:ascii="黑体" w:hAnsi="黑体" w:eastAsia="黑体" w:cs="黑体"/>
          <w:sz w:val="32"/>
          <w:szCs w:val="32"/>
          <w:lang w:eastAsia="zh-CN"/>
        </w:rPr>
        <w:t>一、项目基本情况</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firstLine="620" w:firstLineChars="200"/>
        <w:textAlignment w:val="auto"/>
        <w:rPr>
          <w:rFonts w:hint="eastAsia" w:ascii="仿宋_GB2312" w:hAnsi="仿宋_GB2312" w:eastAsia="仿宋_GB2312" w:cs="仿宋_GB2312"/>
          <w:sz w:val="32"/>
          <w:szCs w:val="32"/>
          <w:lang w:eastAsia="zh-CN"/>
        </w:rPr>
      </w:pPr>
      <w:r>
        <w:rPr>
          <w:rFonts w:hint="eastAsia" w:ascii="仿宋_GB2312" w:hAnsi="宋体" w:eastAsia="仿宋_GB2312" w:cs="仿宋_GB2312"/>
          <w:kern w:val="0"/>
          <w:sz w:val="31"/>
          <w:szCs w:val="31"/>
        </w:rPr>
        <w:t>国</w:t>
      </w:r>
      <w:r>
        <w:rPr>
          <w:rFonts w:hint="eastAsia" w:ascii="仿宋_GB2312" w:eastAsia="仿宋_GB2312" w:cs="仿宋_GB2312"/>
          <w:kern w:val="0"/>
          <w:sz w:val="31"/>
          <w:szCs w:val="31"/>
          <w:lang w:eastAsia="zh-CN"/>
        </w:rPr>
        <w:t>有企业管理工作</w:t>
      </w:r>
      <w:r>
        <w:rPr>
          <w:rFonts w:hint="eastAsia" w:ascii="仿宋_GB2312" w:hAnsi="宋体" w:eastAsia="仿宋_GB2312" w:cs="仿宋_GB2312"/>
          <w:kern w:val="0"/>
          <w:sz w:val="31"/>
          <w:szCs w:val="31"/>
        </w:rPr>
        <w:t>属于经常类项目，系儋州市财政局实施的202</w:t>
      </w:r>
      <w:r>
        <w:rPr>
          <w:rFonts w:hint="eastAsia" w:ascii="仿宋_GB2312" w:eastAsia="仿宋_GB2312" w:cs="仿宋_GB2312"/>
          <w:kern w:val="0"/>
          <w:sz w:val="31"/>
          <w:szCs w:val="31"/>
          <w:lang w:val="en-US" w:eastAsia="zh-CN"/>
        </w:rPr>
        <w:t>5</w:t>
      </w:r>
      <w:r>
        <w:rPr>
          <w:rFonts w:hint="eastAsia" w:ascii="仿宋_GB2312" w:hAnsi="宋体" w:eastAsia="仿宋_GB2312" w:cs="仿宋_GB2312"/>
          <w:kern w:val="0"/>
          <w:sz w:val="31"/>
          <w:szCs w:val="31"/>
        </w:rPr>
        <w:t>年预算项目，具体实施内容是做好</w:t>
      </w:r>
      <w:r>
        <w:rPr>
          <w:rFonts w:hint="eastAsia" w:ascii="仿宋_GB2312" w:eastAsia="仿宋_GB2312" w:cs="仿宋_GB2312"/>
          <w:kern w:val="0"/>
          <w:sz w:val="31"/>
          <w:szCs w:val="31"/>
          <w:lang w:eastAsia="zh-CN"/>
        </w:rPr>
        <w:t>国有企业日常运营费</w:t>
      </w:r>
      <w:r>
        <w:rPr>
          <w:rFonts w:hint="eastAsia" w:ascii="仿宋_GB2312" w:hAnsi="宋体" w:eastAsia="仿宋_GB2312" w:cs="仿宋_GB2312"/>
          <w:kern w:val="0"/>
          <w:sz w:val="31"/>
          <w:szCs w:val="31"/>
        </w:rPr>
        <w:t>及企业改制关闭工作经费及资产评估费工作</w:t>
      </w:r>
      <w:r>
        <w:rPr>
          <w:rFonts w:hint="eastAsia" w:ascii="仿宋_GB2312" w:eastAsia="仿宋_GB2312" w:cs="仿宋_GB2312"/>
          <w:kern w:val="0"/>
          <w:sz w:val="31"/>
          <w:szCs w:val="31"/>
          <w:lang w:eastAsia="zh-CN"/>
        </w:rPr>
        <w:t>等工作</w:t>
      </w:r>
      <w:r>
        <w:rPr>
          <w:rFonts w:hint="eastAsia" w:ascii="仿宋_GB2312" w:hAnsi="宋体" w:eastAsia="仿宋_GB2312" w:cs="仿宋_GB2312"/>
          <w:kern w:val="0"/>
          <w:sz w:val="31"/>
          <w:szCs w:val="31"/>
        </w:rPr>
        <w:t>，如实反映国有资产的价值量及其变动，推动国有资产的合理流动，优化配置和有效、节约使用。</w:t>
      </w:r>
    </w:p>
    <w:p>
      <w:pPr>
        <w:pStyle w:val="2"/>
        <w:keepNext w:val="0"/>
        <w:keepLines w:val="0"/>
        <w:pageBreakBefore w:val="0"/>
        <w:widowControl/>
        <w:numPr>
          <w:ilvl w:val="0"/>
          <w:numId w:val="1"/>
        </w:numPr>
        <w:suppressLineNumbers w:val="0"/>
        <w:kinsoku/>
        <w:wordWrap/>
        <w:overflowPunct/>
        <w:topLinePunct w:val="0"/>
        <w:autoSpaceDE/>
        <w:autoSpaceDN/>
        <w:bidi w:val="0"/>
        <w:adjustRightInd/>
        <w:snapToGrid/>
        <w:spacing w:line="360" w:lineRule="auto"/>
        <w:ind w:right="0" w:rightChars="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项目决策与资金使用管理情况</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（一）项目决策依据</w:t>
      </w:r>
    </w:p>
    <w:p>
      <w:pPr>
        <w:pStyle w:val="6"/>
        <w:keepNext w:val="0"/>
        <w:keepLines w:val="0"/>
        <w:pageBreakBefore w:val="0"/>
        <w:widowControl/>
        <w:suppressLineNumbers w:val="0"/>
        <w:kinsoku/>
        <w:wordWrap/>
        <w:overflowPunct/>
        <w:topLinePunct w:val="0"/>
        <w:autoSpaceDE/>
        <w:autoSpaceDN/>
        <w:bidi w:val="0"/>
        <w:adjustRightInd/>
        <w:snapToGrid/>
        <w:spacing w:line="360" w:lineRule="auto"/>
        <w:ind w:left="0" w:firstLine="645"/>
        <w:jc w:val="left"/>
        <w:textAlignment w:val="auto"/>
        <w:rPr>
          <w:rFonts w:hint="eastAsia" w:ascii="仿宋_GB2312" w:hAnsi="宋体" w:eastAsia="仿宋_GB2312" w:cs="仿宋_GB2312"/>
          <w:kern w:val="0"/>
          <w:sz w:val="31"/>
          <w:szCs w:val="31"/>
        </w:rPr>
      </w:pPr>
      <w:r>
        <w:rPr>
          <w:rFonts w:hint="eastAsia" w:ascii="仿宋_GB2312" w:hAnsi="宋体" w:eastAsia="仿宋_GB2312" w:cs="仿宋_GB2312"/>
          <w:kern w:val="0"/>
          <w:sz w:val="31"/>
          <w:szCs w:val="31"/>
        </w:rPr>
        <w:t>根据《海南省省属国有企业改革资金管理暂行办法》、《海南省国有产权转让管理若干规定》（海南省人民政府令177号）等文件精神，结合我市实际情况申请本项目预算，符合本单位202</w:t>
      </w:r>
      <w:r>
        <w:rPr>
          <w:rFonts w:hint="eastAsia" w:ascii="仿宋_GB2312" w:eastAsia="仿宋_GB2312" w:cs="仿宋_GB2312"/>
          <w:kern w:val="0"/>
          <w:sz w:val="31"/>
          <w:szCs w:val="31"/>
          <w:lang w:val="en-US" w:eastAsia="zh-CN"/>
        </w:rPr>
        <w:t>5</w:t>
      </w:r>
      <w:r>
        <w:rPr>
          <w:rFonts w:hint="eastAsia" w:ascii="仿宋_GB2312" w:hAnsi="宋体" w:eastAsia="仿宋_GB2312" w:cs="仿宋_GB2312"/>
          <w:kern w:val="0"/>
          <w:sz w:val="31"/>
          <w:szCs w:val="31"/>
        </w:rPr>
        <w:t>年度工作计划，项目立项经本单位党委研究讨论通过，立项材料齐全，经人大批复后实施，符合立项审批流程，项目手续齐全。</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320" w:leftChars="0" w:right="0" w:rightChars="0" w:firstLine="1280" w:firstLineChars="400"/>
        <w:textAlignment w:val="auto"/>
        <w:rPr>
          <w:rFonts w:hint="eastAsia" w:ascii="黑体" w:hAnsi="黑体" w:eastAsia="黑体" w:cs="黑体"/>
          <w:sz w:val="32"/>
          <w:szCs w:val="32"/>
          <w:lang w:eastAsia="zh-CN"/>
        </w:rPr>
      </w:pPr>
      <w:r>
        <w:rPr>
          <w:rFonts w:hint="eastAsia" w:ascii="仿宋_GB2312" w:hAnsi="仿宋_GB2312" w:eastAsia="仿宋_GB2312" w:cs="仿宋_GB2312"/>
          <w:sz w:val="32"/>
          <w:szCs w:val="32"/>
          <w:lang w:val="en-US" w:eastAsia="zh-CN"/>
        </w:rPr>
        <w:t xml:space="preserve">   （二）</w:t>
      </w:r>
      <w:r>
        <w:rPr>
          <w:rFonts w:hint="eastAsia" w:ascii="仿宋_GB2312" w:hAnsi="仿宋_GB2312" w:eastAsia="仿宋_GB2312" w:cs="仿宋_GB2312"/>
          <w:sz w:val="32"/>
          <w:szCs w:val="32"/>
          <w:lang w:eastAsia="zh-CN"/>
        </w:rPr>
        <w:t>项目资金到位情况</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　　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年12月31日，国有企业管理工作项目年度预算安排资金</w:t>
      </w:r>
      <w:r>
        <w:rPr>
          <w:rFonts w:hint="eastAsia" w:ascii="仿宋_GB2312" w:hAnsi="仿宋_GB2312" w:eastAsia="仿宋_GB2312" w:cs="仿宋_GB2312"/>
          <w:sz w:val="32"/>
          <w:szCs w:val="32"/>
          <w:lang w:val="en-US" w:eastAsia="zh-CN"/>
        </w:rPr>
        <w:t>2139.07万元</w:t>
      </w:r>
      <w:r>
        <w:rPr>
          <w:rFonts w:hint="eastAsia" w:ascii="仿宋_GB2312" w:hAnsi="仿宋_GB2312" w:eastAsia="仿宋_GB2312" w:cs="仿宋_GB2312"/>
          <w:sz w:val="32"/>
          <w:szCs w:val="32"/>
          <w:lang w:eastAsia="zh-CN"/>
        </w:rPr>
        <w:t>，实际到位资金同样为</w:t>
      </w:r>
      <w:r>
        <w:rPr>
          <w:rFonts w:hint="eastAsia" w:ascii="仿宋_GB2312" w:hAnsi="仿宋_GB2312" w:eastAsia="仿宋_GB2312" w:cs="仿宋_GB2312"/>
          <w:sz w:val="32"/>
          <w:szCs w:val="32"/>
          <w:lang w:val="en-US" w:eastAsia="zh-CN"/>
        </w:rPr>
        <w:t>2139.07万元</w:t>
      </w:r>
      <w:r>
        <w:rPr>
          <w:rFonts w:hint="eastAsia" w:ascii="仿宋_GB2312" w:hAnsi="仿宋_GB2312" w:eastAsia="仿宋_GB2312" w:cs="仿宋_GB2312"/>
          <w:sz w:val="32"/>
          <w:szCs w:val="32"/>
          <w:lang w:eastAsia="zh-CN"/>
        </w:rPr>
        <w:t>，资金到位率实现了100% ，为项目的顺利推进提供了坚实的资金保障。</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（三）项目资金支出进度</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　　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年12月31日，该项目累计下达财政资金</w:t>
      </w:r>
      <w:r>
        <w:rPr>
          <w:rFonts w:hint="eastAsia" w:ascii="仿宋_GB2312" w:hAnsi="仿宋_GB2312" w:eastAsia="仿宋_GB2312" w:cs="仿宋_GB2312"/>
          <w:sz w:val="32"/>
          <w:szCs w:val="32"/>
          <w:lang w:val="en-US" w:eastAsia="zh-CN"/>
        </w:rPr>
        <w:t>2139.07万元</w:t>
      </w:r>
      <w:r>
        <w:rPr>
          <w:rFonts w:hint="eastAsia" w:ascii="仿宋_GB2312" w:hAnsi="仿宋_GB2312" w:eastAsia="仿宋_GB2312" w:cs="仿宋_GB2312"/>
          <w:sz w:val="32"/>
          <w:szCs w:val="32"/>
          <w:lang w:eastAsia="zh-CN"/>
        </w:rPr>
        <w:t>，累计支出</w:t>
      </w:r>
      <w:r>
        <w:rPr>
          <w:rFonts w:hint="eastAsia" w:ascii="仿宋_GB2312" w:hAnsi="仿宋_GB2312" w:eastAsia="仿宋_GB2312" w:cs="仿宋_GB2312"/>
          <w:sz w:val="32"/>
          <w:szCs w:val="32"/>
          <w:lang w:val="en-US" w:eastAsia="zh-CN"/>
        </w:rPr>
        <w:t>1603.08万元</w:t>
      </w:r>
      <w:r>
        <w:rPr>
          <w:rFonts w:hint="eastAsia" w:ascii="仿宋_GB2312" w:hAnsi="仿宋_GB2312" w:eastAsia="仿宋_GB2312" w:cs="仿宋_GB2312"/>
          <w:sz w:val="32"/>
          <w:szCs w:val="32"/>
          <w:lang w:eastAsia="zh-CN"/>
        </w:rPr>
        <w:t>，资金执行率达到</w:t>
      </w:r>
      <w:r>
        <w:rPr>
          <w:rFonts w:hint="eastAsia" w:ascii="仿宋_GB2312" w:hAnsi="仿宋_GB2312" w:eastAsia="仿宋_GB2312" w:cs="仿宋_GB2312"/>
          <w:sz w:val="32"/>
          <w:szCs w:val="32"/>
          <w:lang w:val="en-US" w:eastAsia="zh-CN"/>
        </w:rPr>
        <w:t>74.94</w:t>
      </w:r>
      <w:r>
        <w:rPr>
          <w:rFonts w:hint="eastAsia" w:ascii="仿宋_GB2312" w:hAnsi="仿宋_GB2312" w:eastAsia="仿宋_GB2312" w:cs="仿宋_GB2312"/>
          <w:sz w:val="32"/>
          <w:szCs w:val="32"/>
          <w:lang w:eastAsia="zh-CN"/>
        </w:rPr>
        <w:t>%，整体支出进度处于合理可控范围。</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（四）项目资金管理规范</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　　在资金管理方面，本项目预算资金的相关票据完整无缺，严格符合相关财务管理制度以及资金管理办法的规定。整个资金使用过程中，不存在支出依据不规范、虚列项目支出等违规行为，也未出现截留、挤占、挪用项目资金以及超标准开支的现象，确保了资金使用的安全与合规。</w:t>
      </w:r>
      <w:r>
        <w:rPr>
          <w:rFonts w:hint="eastAsia" w:ascii="仿宋_GB2312" w:hAnsi="仿宋_GB2312" w:eastAsia="仿宋_GB2312" w:cs="仿宋_GB2312"/>
          <w:sz w:val="32"/>
          <w:szCs w:val="32"/>
          <w:lang w:eastAsia="zh-CN"/>
        </w:rPr>
        <w:br w:type="textWrapping"/>
      </w:r>
      <w:r>
        <w:rPr>
          <w:rFonts w:hint="eastAsia" w:ascii="黑体" w:hAnsi="黑体" w:eastAsia="黑体" w:cs="黑体"/>
          <w:sz w:val="32"/>
          <w:szCs w:val="32"/>
          <w:lang w:eastAsia="zh-CN"/>
        </w:rPr>
        <w:t>三、项目组织实施情况</w:t>
      </w:r>
      <w:r>
        <w:rPr>
          <w:rFonts w:hint="eastAsia" w:ascii="黑体" w:hAnsi="黑体" w:eastAsia="黑体" w:cs="黑体"/>
          <w:sz w:val="32"/>
          <w:szCs w:val="32"/>
          <w:lang w:eastAsia="zh-CN"/>
        </w:rPr>
        <w:br w:type="textWrapping"/>
      </w:r>
      <w:r>
        <w:rPr>
          <w:rFonts w:hint="eastAsia" w:ascii="黑体" w:hAnsi="黑体" w:eastAsia="黑体" w:cs="黑体"/>
          <w:sz w:val="32"/>
          <w:szCs w:val="32"/>
          <w:lang w:eastAsia="zh-CN"/>
        </w:rPr>
        <w:t>　　</w:t>
      </w:r>
      <w:r>
        <w:rPr>
          <w:rFonts w:hint="eastAsia" w:ascii="仿宋_GB2312" w:hAnsi="仿宋_GB2312" w:eastAsia="仿宋_GB2312" w:cs="仿宋_GB2312"/>
          <w:sz w:val="32"/>
          <w:szCs w:val="32"/>
          <w:lang w:eastAsia="zh-CN"/>
        </w:rPr>
        <w:t>在项目实施进程中，儋州市财政局严格遵循内控管理等相关制度要求，全面贯彻行政事业单位管理制度与政府采购法。对于大额经费支出，均需通过局党委会决议，只有在获得批准后才予以支出，以此确保每一笔资金的使用都公开透明、合理合规。</w:t>
      </w:r>
      <w:r>
        <w:rPr>
          <w:rFonts w:hint="eastAsia" w:ascii="仿宋_GB2312" w:hAnsi="仿宋_GB2312" w:eastAsia="仿宋_GB2312" w:cs="仿宋_GB2312"/>
          <w:sz w:val="32"/>
          <w:szCs w:val="32"/>
          <w:lang w:eastAsia="zh-CN"/>
        </w:rPr>
        <w:br w:type="textWrapping"/>
      </w:r>
      <w:r>
        <w:rPr>
          <w:rFonts w:hint="eastAsia" w:ascii="黑体" w:hAnsi="黑体" w:eastAsia="黑体" w:cs="黑体"/>
          <w:sz w:val="32"/>
          <w:szCs w:val="32"/>
          <w:lang w:eastAsia="zh-CN"/>
        </w:rPr>
        <w:t>四、项目绩效情况</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（一）年初绩效目标设定</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　　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年年初，本项目设定的总体绩效目标为：计划做好其他国资管理相关工作，确保工作顺利开展。</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（二）年度绩效目标完成情况</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　　经费管控成效：项目经费严格依据项目内容科学确定，并明确了具体完成时间。通过强化开支管理，有效杜绝了重复开支与乱开支现象。项目总开支</w:t>
      </w:r>
      <w:r>
        <w:rPr>
          <w:rFonts w:hint="eastAsia" w:ascii="仿宋_GB2312" w:hAnsi="仿宋_GB2312" w:eastAsia="仿宋_GB2312" w:cs="仿宋_GB2312"/>
          <w:sz w:val="32"/>
          <w:szCs w:val="32"/>
          <w:lang w:val="en-US" w:eastAsia="zh-CN"/>
        </w:rPr>
        <w:t>1603.08万元</w:t>
      </w:r>
      <w:r>
        <w:rPr>
          <w:rFonts w:hint="eastAsia" w:ascii="仿宋_GB2312" w:hAnsi="仿宋_GB2312" w:eastAsia="仿宋_GB2312" w:cs="仿宋_GB2312"/>
          <w:sz w:val="32"/>
          <w:szCs w:val="32"/>
          <w:lang w:eastAsia="zh-CN"/>
        </w:rPr>
        <w:t>，完全符合项目管理规定，未出现任何挪用资金的情况。</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320" w:leftChars="0"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项目任务达成：已完成国资管理相关工作顺利开展，</w:t>
      </w:r>
      <w:r>
        <w:rPr>
          <w:rFonts w:hint="eastAsia" w:ascii="仿宋_GB2312" w:hAnsi="仿宋_GB2312" w:eastAsia="仿宋_GB2312" w:cs="仿宋_GB2312"/>
          <w:sz w:val="32"/>
          <w:szCs w:val="32"/>
          <w:lang w:val="en-US" w:eastAsia="zh-CN"/>
        </w:rPr>
        <w:t>7家企业</w:t>
      </w:r>
      <w:r>
        <w:rPr>
          <w:rFonts w:hint="eastAsia" w:ascii="仿宋_GB2312" w:hAnsi="仿宋_GB2312" w:eastAsia="仿宋_GB2312" w:cs="仿宋_GB2312"/>
          <w:sz w:val="32"/>
          <w:szCs w:val="32"/>
          <w:lang w:eastAsia="zh-CN"/>
        </w:rPr>
        <w:t>运营经费累计拨付</w:t>
      </w:r>
      <w:r>
        <w:rPr>
          <w:rFonts w:hint="eastAsia" w:ascii="仿宋_GB2312" w:hAnsi="仿宋_GB2312" w:eastAsia="仿宋_GB2312" w:cs="仿宋_GB2312"/>
          <w:sz w:val="32"/>
          <w:szCs w:val="32"/>
          <w:lang w:val="en-US" w:eastAsia="zh-CN"/>
        </w:rPr>
        <w:t>45.72</w:t>
      </w:r>
      <w:r>
        <w:rPr>
          <w:rFonts w:hint="eastAsia" w:ascii="仿宋_GB2312" w:hAnsi="仿宋_GB2312" w:eastAsia="仿宋_GB2312" w:cs="仿宋_GB2312"/>
          <w:sz w:val="32"/>
          <w:szCs w:val="32"/>
          <w:lang w:eastAsia="zh-CN"/>
        </w:rPr>
        <w:t>万元，国资公司管理经费累计拨付</w:t>
      </w:r>
      <w:r>
        <w:rPr>
          <w:rFonts w:hint="eastAsia" w:ascii="仿宋_GB2312" w:hAnsi="仿宋_GB2312" w:eastAsia="仿宋_GB2312" w:cs="仿宋_GB2312"/>
          <w:sz w:val="32"/>
          <w:szCs w:val="32"/>
          <w:lang w:val="en-US" w:eastAsia="zh-CN"/>
        </w:rPr>
        <w:t>128.52</w:t>
      </w:r>
      <w:r>
        <w:rPr>
          <w:rFonts w:hint="eastAsia" w:ascii="仿宋_GB2312" w:hAnsi="仿宋_GB2312" w:eastAsia="仿宋_GB2312" w:cs="仿宋_GB2312"/>
          <w:sz w:val="32"/>
          <w:szCs w:val="32"/>
          <w:lang w:eastAsia="zh-CN"/>
        </w:rPr>
        <w:t>万元，惠民食品厂棚户区改造项目拨付</w:t>
      </w:r>
      <w:r>
        <w:rPr>
          <w:rFonts w:hint="eastAsia" w:ascii="仿宋_GB2312" w:hAnsi="仿宋_GB2312" w:eastAsia="仿宋_GB2312" w:cs="仿宋_GB2312"/>
          <w:sz w:val="32"/>
          <w:szCs w:val="32"/>
          <w:lang w:val="en-US" w:eastAsia="zh-CN"/>
        </w:rPr>
        <w:t>1126.2万元，</w:t>
      </w:r>
      <w:r>
        <w:rPr>
          <w:rFonts w:hint="eastAsia" w:ascii="仿宋_GB2312" w:hAnsi="仿宋_GB2312" w:eastAsia="仿宋_GB2312" w:cs="仿宋_GB2312"/>
          <w:sz w:val="32"/>
          <w:szCs w:val="32"/>
          <w:lang w:eastAsia="zh-CN"/>
        </w:rPr>
        <w:t>企业审计费</w:t>
      </w:r>
      <w:r>
        <w:rPr>
          <w:rFonts w:hint="eastAsia" w:ascii="仿宋_GB2312" w:hAnsi="仿宋_GB2312" w:eastAsia="仿宋_GB2312" w:cs="仿宋_GB2312"/>
          <w:sz w:val="32"/>
          <w:szCs w:val="32"/>
          <w:lang w:val="en-US" w:eastAsia="zh-CN"/>
        </w:rPr>
        <w:t>82.93</w:t>
      </w:r>
      <w:r>
        <w:rPr>
          <w:rFonts w:hint="eastAsia" w:ascii="仿宋_GB2312" w:hAnsi="仿宋_GB2312" w:eastAsia="仿宋_GB2312" w:cs="仿宋_GB2312"/>
          <w:sz w:val="32"/>
          <w:szCs w:val="32"/>
          <w:lang w:eastAsia="zh-CN"/>
        </w:rPr>
        <w:t>万元等核心工作任务，有力推动了各企业各项工作的顺利开展。</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ind w:left="320" w:leftChars="0" w:right="0" w:righ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项目效益彰显：项目始终以年度预算为依托，切实保障部门财政事务工作的高效运转。秉持厉行节约、量入为出的基本原则，严格把控项目成本，实现了财政资金使用效益的最大化，圆满达成了既定的绩效目标。</w:t>
      </w:r>
    </w:p>
    <w:p>
      <w:pPr>
        <w:pStyle w:val="2"/>
        <w:keepNext w:val="0"/>
        <w:keepLines w:val="0"/>
        <w:pageBreakBefore w:val="0"/>
        <w:widowControl/>
        <w:suppressLineNumbers w:val="0"/>
        <w:kinsoku/>
        <w:wordWrap/>
        <w:overflowPunct/>
        <w:topLinePunct w:val="0"/>
        <w:autoSpaceDE/>
        <w:autoSpaceDN/>
        <w:bidi w:val="0"/>
        <w:adjustRightInd/>
        <w:snapToGrid/>
        <w:spacing w:before="100" w:beforeAutospacing="1" w:after="100" w:afterAutospacing="1" w:line="360" w:lineRule="auto"/>
        <w:ind w:right="0" w:rightChars="0" w:firstLine="640" w:firstLineChars="200"/>
        <w:jc w:val="left"/>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（三）项目绩效目标未完成情况及原因分析</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　　经全面评估与梳理，本项目绩效目标均已顺利达成，不存在未完成的情况。</w:t>
      </w:r>
      <w:r>
        <w:rPr>
          <w:rFonts w:hint="eastAsia" w:ascii="仿宋_GB2312" w:hAnsi="仿宋_GB2312" w:eastAsia="仿宋_GB2312" w:cs="仿宋_GB2312"/>
          <w:sz w:val="32"/>
          <w:szCs w:val="32"/>
          <w:lang w:eastAsia="zh-CN"/>
        </w:rPr>
        <w:br w:type="textWrapping"/>
      </w:r>
      <w:r>
        <w:rPr>
          <w:rFonts w:hint="eastAsia" w:ascii="黑体" w:hAnsi="黑体" w:eastAsia="黑体" w:cs="黑体"/>
          <w:sz w:val="32"/>
          <w:szCs w:val="32"/>
          <w:lang w:eastAsia="zh-CN"/>
        </w:rPr>
        <w:t>五、其他重要事项说明</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（一）主要经验与实践做法</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通过精心组织科室骨干人员对项目实施的各个环节进行全方位监督管理，严格执行支出及报账流程，显著加强了202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年度的国有企业管理工作管理</w:t>
      </w:r>
      <w:bookmarkStart w:id="0" w:name="_GoBack"/>
      <w:bookmarkEnd w:id="0"/>
      <w:r>
        <w:rPr>
          <w:rFonts w:hint="eastAsia" w:ascii="仿宋_GB2312" w:hAnsi="仿宋_GB2312" w:eastAsia="仿宋_GB2312" w:cs="仿宋_GB2312"/>
          <w:sz w:val="32"/>
          <w:szCs w:val="32"/>
          <w:lang w:eastAsia="zh-CN"/>
        </w:rPr>
        <w:t>水平，确保了项目经费支出的合法合规性。</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（二）现存问题与改进建议</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　　当前，绩效目标设置的科学性仍存在提升空间。部分绩效指标存在评价标准难以量化、指标值获取困难、指标设置不够全面且代表性不足等问题。针对这些问题，建议在今后工作中，持续加强对绩效目标设置的研究与学习，着力提高预算编制的准确性。</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t>（三）后续改进优化举措</w:t>
      </w:r>
      <w:r>
        <w:rPr>
          <w:rFonts w:hint="eastAsia" w:ascii="仿宋_GB2312" w:hAnsi="仿宋_GB2312" w:eastAsia="仿宋_GB2312" w:cs="仿宋_GB2312"/>
          <w:sz w:val="32"/>
          <w:szCs w:val="32"/>
          <w:lang w:eastAsia="zh-CN"/>
        </w:rPr>
        <w:br w:type="textWrapping"/>
      </w:r>
      <w:r>
        <w:rPr>
          <w:rFonts w:hint="eastAsia" w:ascii="仿宋_GB2312" w:hAnsi="仿宋_GB2312" w:eastAsia="仿宋_GB2312" w:cs="仿宋_GB2312"/>
          <w:sz w:val="32"/>
          <w:szCs w:val="32"/>
          <w:lang w:eastAsia="zh-CN"/>
        </w:rPr>
        <w:t>　　一方面，加大学习力度，不断提升工作人员对预算编制的理解与把握能力，进而提高预算编制的精准度；另一方面，大力推进绩效指标体系建设，紧密结合自身项目特点，深入梳理具有强代表性、高可操作性的绩效指标，构建一套完善且契合本单位项目支出管理需求的绩效指标体系。</w:t>
      </w:r>
    </w:p>
    <w:p>
      <w:pPr>
        <w:keepNext w:val="0"/>
        <w:keepLines w:val="0"/>
        <w:pageBreakBefore w:val="0"/>
        <w:widowControl/>
        <w:kinsoku/>
        <w:wordWrap/>
        <w:overflowPunct/>
        <w:topLinePunct w:val="0"/>
        <w:autoSpaceDE/>
        <w:autoSpaceDN/>
        <w:bidi w:val="0"/>
        <w:adjustRightInd/>
        <w:snapToGrid/>
        <w:spacing w:line="360" w:lineRule="auto"/>
        <w:textAlignment w:val="auto"/>
      </w:pPr>
    </w:p>
    <w:sectPr>
      <w:pgSz w:w="11906" w:h="16839"/>
      <w:pgMar w:top="1440" w:right="1800" w:bottom="1440" w:left="1800" w:header="851"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6176C"/>
    <w:multiLevelType w:val="singleLevel"/>
    <w:tmpl w:val="3E56176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A21868"/>
    <w:rsid w:val="061F39DD"/>
    <w:rsid w:val="0B671F34"/>
    <w:rsid w:val="23EB2F26"/>
    <w:rsid w:val="6DA21868"/>
    <w:rsid w:val="7AB90E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宋体" w:hAnsi="宋体" w:eastAsia="宋体" w:cs="宋体"/>
      <w:kern w:val="0"/>
      <w:sz w:val="24"/>
      <w:szCs w:val="24"/>
      <w:lang w:val="en-US" w:eastAsia="zh-CN" w:bidi="ar"/>
    </w:rPr>
  </w:style>
  <w:style w:type="character" w:default="1" w:styleId="4">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5">
    <w:name w:val="Strong"/>
    <w:basedOn w:val="4"/>
    <w:qFormat/>
    <w:uiPriority w:val="0"/>
    <w:rPr>
      <w:b/>
    </w:rPr>
  </w:style>
  <w:style w:type="paragraph" w:customStyle="1" w:styleId="6">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那大镇</Company>
  <Pages>1</Pages>
  <Words>0</Words>
  <Characters>0</Characters>
  <Lines>0</Lines>
  <Paragraphs>0</Paragraphs>
  <TotalTime>39</TotalTime>
  <ScaleCrop>false</ScaleCrop>
  <LinksUpToDate>false</LinksUpToDate>
  <CharactersWithSpaces>0</CharactersWithSpaces>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2026-04-08T03:08:00Z</dcterms:created>
  <dc:creator>Administrator</dc:creator>
  <cp:lastModifiedBy>Administrator</cp:lastModifiedBy>
  <dcterms:modified xsi:type="dcterms:W3CDTF">2026-04-08T09:05:56Z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