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356A">
      <w:pPr>
        <w:spacing w:line="578" w:lineRule="exact"/>
        <w:jc w:val="center"/>
        <w:rPr>
          <w:rFonts w:hint="eastAsia" w:asciiTheme="majorEastAsia" w:hAnsiTheme="majorEastAsia" w:eastAsiaTheme="majorEastAsia" w:cstheme="majorEastAsia"/>
          <w:b/>
          <w:bCs/>
          <w:color w:val="auto"/>
          <w:sz w:val="44"/>
          <w:szCs w:val="44"/>
        </w:rPr>
      </w:pPr>
      <w:bookmarkStart w:id="119" w:name="_GoBack"/>
      <w:r>
        <w:rPr>
          <w:rFonts w:hint="eastAsia" w:asciiTheme="majorEastAsia" w:hAnsiTheme="majorEastAsia" w:eastAsiaTheme="majorEastAsia" w:cstheme="majorEastAsia"/>
          <w:b/>
          <w:bCs/>
          <w:color w:val="auto"/>
          <w:sz w:val="44"/>
          <w:szCs w:val="44"/>
        </w:rPr>
        <w:t>儋州市思源实验学校2024年度部门决算公开报告</w:t>
      </w:r>
    </w:p>
    <w:p w14:paraId="6C2B2D3A">
      <w:pPr>
        <w:spacing w:line="578" w:lineRule="exact"/>
        <w:jc w:val="center"/>
        <w:rPr>
          <w:rFonts w:hint="eastAsia" w:ascii="黑体" w:hAnsi="ˎ̥" w:eastAsia="黑体"/>
          <w:b/>
          <w:color w:val="auto"/>
          <w:sz w:val="32"/>
          <w:szCs w:val="32"/>
        </w:rPr>
      </w:pPr>
    </w:p>
    <w:p w14:paraId="6A8F1018">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14:paraId="6A2F743B">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14:paraId="29CBFE79">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09089809">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14:paraId="3B013F23">
      <w:pPr>
        <w:pStyle w:val="15"/>
        <w:tabs>
          <w:tab w:val="right" w:leader="dot" w:pos="8306"/>
        </w:tabs>
        <w:spacing w:line="578" w:lineRule="exact"/>
        <w:rPr>
          <w:rFonts w:hint="eastAsia" w:eastAsia="宋体"/>
          <w:color w:val="auto"/>
          <w:sz w:val="32"/>
          <w:szCs w:val="32"/>
          <w:lang w:eastAsia="zh-CN"/>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lang w:val="en-US" w:eastAsia="zh-CN"/>
        </w:rPr>
        <w:t>3</w:t>
      </w:r>
    </w:p>
    <w:p w14:paraId="6E57563D">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14:paraId="65C40179">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14:paraId="4BD7D57F">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0C54764D">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51FC70A3">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14:paraId="7A0C8420">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14:paraId="0F3513AE">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14:paraId="14C271AC">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14:paraId="341B0484">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14:paraId="4A5010BD">
      <w:pPr>
        <w:pStyle w:val="16"/>
        <w:tabs>
          <w:tab w:val="right" w:leader="dot" w:pos="8306"/>
        </w:tabs>
        <w:spacing w:line="578" w:lineRule="exact"/>
        <w:ind w:leftChars="0"/>
        <w:rPr>
          <w:rFonts w:hint="eastAsia" w:ascii="仿宋" w:hAnsi="仿宋" w:eastAsia="仿宋" w:cs="仿宋"/>
          <w:color w:val="auto"/>
          <w:sz w:val="32"/>
          <w:szCs w:val="32"/>
          <w:lang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8</w:t>
      </w:r>
    </w:p>
    <w:p w14:paraId="23F091F4">
      <w:pPr>
        <w:pStyle w:val="16"/>
        <w:tabs>
          <w:tab w:val="right" w:leader="dot" w:pos="8306"/>
        </w:tabs>
        <w:spacing w:line="578" w:lineRule="exact"/>
        <w:ind w:leftChars="0"/>
        <w:rPr>
          <w:rFonts w:hint="eastAsia" w:ascii="仿宋" w:hAnsi="仿宋" w:eastAsia="仿宋" w:cs="仿宋"/>
          <w:color w:val="auto"/>
          <w:sz w:val="32"/>
          <w:szCs w:val="32"/>
          <w:lang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9</w:t>
      </w:r>
    </w:p>
    <w:p w14:paraId="11226842">
      <w:pPr>
        <w:pStyle w:val="16"/>
        <w:tabs>
          <w:tab w:val="right" w:leader="dot" w:pos="8306"/>
        </w:tabs>
        <w:spacing w:line="578" w:lineRule="exact"/>
        <w:ind w:leftChars="0"/>
        <w:rPr>
          <w:rFonts w:hint="eastAsia" w:ascii="仿宋" w:hAnsi="仿宋" w:eastAsia="仿宋" w:cs="仿宋"/>
          <w:color w:val="auto"/>
          <w:sz w:val="32"/>
          <w:szCs w:val="32"/>
          <w:lang w:eastAsia="zh-CN"/>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9</w:t>
      </w:r>
    </w:p>
    <w:p w14:paraId="1704E608">
      <w:pPr>
        <w:pStyle w:val="15"/>
        <w:tabs>
          <w:tab w:val="right" w:leader="dot" w:pos="8306"/>
        </w:tabs>
        <w:spacing w:line="578" w:lineRule="exact"/>
        <w:rPr>
          <w:rFonts w:hint="eastAsia" w:ascii="黑体" w:hAnsi="ˎ̥" w:eastAsia="宋体"/>
          <w:b/>
          <w:color w:val="auto"/>
          <w:sz w:val="32"/>
          <w:szCs w:val="32"/>
          <w:lang w:val="en-US" w:eastAsia="zh-CN"/>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lang w:val="en-US" w:eastAsia="zh-CN"/>
        </w:rPr>
        <w:t>0</w:t>
      </w:r>
    </w:p>
    <w:p w14:paraId="4EC8D6DA">
      <w:pPr>
        <w:spacing w:line="578" w:lineRule="exact"/>
        <w:jc w:val="both"/>
        <w:rPr>
          <w:rFonts w:hint="eastAsia" w:ascii="黑体" w:hAnsi="ˎ̥" w:eastAsia="黑体"/>
          <w:color w:val="auto"/>
          <w:sz w:val="32"/>
          <w:szCs w:val="32"/>
        </w:rPr>
      </w:pPr>
      <w:bookmarkStart w:id="2" w:name="_Toc1704_WPSOffice_Level1"/>
      <w:bookmarkStart w:id="3" w:name="_Toc10049_WPSOffice_Level1"/>
      <w:bookmarkStart w:id="4" w:name="_Toc22941_WPSOffice_Level1"/>
      <w:bookmarkStart w:id="5" w:name="_Toc23465_WPSOffice_Level1"/>
      <w:bookmarkStart w:id="6" w:name="_Toc10720_WPSOffice_Level1"/>
      <w:bookmarkStart w:id="7" w:name="_Toc32433_WPSOffice_Level1"/>
      <w:bookmarkStart w:id="8" w:name="_Toc24238_WPSOffice_Level2"/>
      <w:bookmarkStart w:id="9" w:name="_Toc20274_WPSOffice_Level2"/>
      <w:bookmarkStart w:id="10" w:name="_Toc14159_WPSOffice_Level2"/>
      <w:bookmarkStart w:id="11" w:name="_Toc32622_WPSOffice_Level2"/>
      <w:bookmarkStart w:id="12" w:name="_Toc26580_WPSOffice_Level2"/>
      <w:bookmarkStart w:id="13" w:name="_Toc20205_WPSOffice_Level2"/>
    </w:p>
    <w:p w14:paraId="13495E08">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14:paraId="59DE4DDD">
      <w:pPr>
        <w:spacing w:line="578" w:lineRule="exact"/>
        <w:ind w:firstLine="640" w:firstLineChars="200"/>
        <w:rPr>
          <w:rFonts w:hint="eastAsia" w:ascii="楷体" w:hAnsi="楷体" w:eastAsia="楷体" w:cs="楷体"/>
          <w:color w:val="auto"/>
          <w:sz w:val="32"/>
          <w:szCs w:val="32"/>
        </w:rPr>
      </w:pPr>
    </w:p>
    <w:bookmarkEnd w:id="8"/>
    <w:p w14:paraId="4A3D8885">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儋州市思源实验学校</w:t>
      </w:r>
      <w:r>
        <w:rPr>
          <w:rFonts w:hint="eastAsia" w:ascii="黑体" w:hAnsi="黑体" w:eastAsia="黑体" w:cs="黑体"/>
          <w:color w:val="auto"/>
          <w:sz w:val="32"/>
          <w:szCs w:val="32"/>
        </w:rPr>
        <w:t>职责</w:t>
      </w:r>
      <w:bookmarkEnd w:id="9"/>
      <w:bookmarkEnd w:id="10"/>
      <w:bookmarkEnd w:id="11"/>
      <w:bookmarkEnd w:id="12"/>
      <w:bookmarkEnd w:id="13"/>
    </w:p>
    <w:p w14:paraId="72731731">
      <w:pPr>
        <w:pStyle w:val="18"/>
        <w:keepNext w:val="0"/>
        <w:keepLines w:val="0"/>
        <w:widowControl/>
        <w:suppressLineNumbers w:val="0"/>
        <w:spacing w:line="240" w:lineRule="atLeast"/>
        <w:ind w:left="0" w:firstLine="640" w:firstLineChars="200"/>
        <w:rPr>
          <w:rFonts w:hint="default" w:ascii="仿宋_GB2312" w:hAnsi="ˎ̥" w:eastAsia="仿宋_GB2312" w:cs="Times New Roman"/>
          <w:color w:val="auto"/>
          <w:kern w:val="2"/>
          <w:sz w:val="32"/>
          <w:szCs w:val="32"/>
          <w:lang w:val="en-US" w:eastAsia="zh-CN" w:bidi="ar-SA"/>
        </w:rPr>
      </w:pPr>
      <w:r>
        <w:rPr>
          <w:rFonts w:hint="default" w:ascii="仿宋_GB2312" w:hAnsi="ˎ̥" w:eastAsia="仿宋_GB2312" w:cs="Times New Roman"/>
          <w:color w:val="auto"/>
          <w:kern w:val="2"/>
          <w:sz w:val="32"/>
          <w:szCs w:val="32"/>
          <w:lang w:val="en-US" w:eastAsia="zh-CN" w:bidi="ar-SA"/>
        </w:rPr>
        <w:t>（一）贯彻执行国家和省市地方有关法规和财务规章制度；坚持勤俭办学的方针；正确处理学校的发展需要和资金供给的关系、社会效益和经济效益的关系。</w:t>
      </w:r>
    </w:p>
    <w:p w14:paraId="62B8874D">
      <w:pPr>
        <w:pStyle w:val="18"/>
        <w:keepNext w:val="0"/>
        <w:keepLines w:val="0"/>
        <w:widowControl/>
        <w:suppressLineNumbers w:val="0"/>
        <w:spacing w:line="240" w:lineRule="atLeast"/>
        <w:ind w:left="0" w:firstLine="640" w:firstLineChars="200"/>
        <w:rPr>
          <w:rFonts w:hint="default" w:ascii="仿宋_GB2312" w:hAnsi="ˎ̥" w:eastAsia="仿宋_GB2312" w:cs="Times New Roman"/>
          <w:color w:val="auto"/>
          <w:kern w:val="2"/>
          <w:sz w:val="32"/>
          <w:szCs w:val="32"/>
          <w:lang w:val="en-US" w:eastAsia="zh-CN" w:bidi="ar-SA"/>
        </w:rPr>
      </w:pPr>
      <w:r>
        <w:rPr>
          <w:rFonts w:hint="default" w:ascii="仿宋_GB2312" w:hAnsi="ˎ̥" w:eastAsia="仿宋_GB2312" w:cs="Times New Roman"/>
          <w:color w:val="auto"/>
          <w:kern w:val="2"/>
          <w:sz w:val="32"/>
          <w:szCs w:val="32"/>
          <w:lang w:val="en-US" w:eastAsia="zh-CN" w:bidi="ar-SA"/>
        </w:rPr>
        <w:t>（二）规范学校的财务行为，加强财务管理，提高资金使用效益，促进学校教学业务的发展。</w:t>
      </w:r>
    </w:p>
    <w:p w14:paraId="484DEF41">
      <w:pPr>
        <w:pStyle w:val="18"/>
        <w:keepNext w:val="0"/>
        <w:keepLines w:val="0"/>
        <w:widowControl/>
        <w:suppressLineNumbers w:val="0"/>
        <w:spacing w:line="240" w:lineRule="atLeast"/>
        <w:rPr>
          <w:rFonts w:hint="default" w:ascii="仿宋_GB2312" w:hAnsi="ˎ̥" w:eastAsia="仿宋_GB2312" w:cs="Times New Roman"/>
          <w:color w:val="auto"/>
          <w:kern w:val="2"/>
          <w:sz w:val="32"/>
          <w:szCs w:val="32"/>
          <w:lang w:val="en-US" w:eastAsia="zh-CN" w:bidi="ar-SA"/>
        </w:rPr>
      </w:pPr>
      <w:r>
        <w:rPr>
          <w:rFonts w:hint="default" w:ascii="仿宋_GB2312" w:hAnsi="ˎ̥" w:eastAsia="仿宋_GB2312" w:cs="Times New Roman"/>
          <w:color w:val="auto"/>
          <w:kern w:val="2"/>
          <w:sz w:val="32"/>
          <w:szCs w:val="32"/>
          <w:lang w:val="en-US" w:eastAsia="zh-CN" w:bidi="ar-SA"/>
        </w:rPr>
        <w:t xml:space="preserve">   （三）合理编制学校预算；依法多渠道筹集办学资金；加强核算，提高资金使用效益；加强资产管理，防止资产闲置、流失；建立</w:t>
      </w:r>
      <w:r>
        <w:rPr>
          <w:rFonts w:hint="eastAsia" w:ascii="仿宋_GB2312" w:hAnsi="ˎ̥" w:eastAsia="仿宋_GB2312" w:cs="Times New Roman"/>
          <w:color w:val="auto"/>
          <w:kern w:val="2"/>
          <w:sz w:val="32"/>
          <w:szCs w:val="32"/>
          <w:lang w:val="en-US" w:eastAsia="zh-CN" w:bidi="ar-SA"/>
        </w:rPr>
        <w:t>健</w:t>
      </w:r>
      <w:r>
        <w:rPr>
          <w:rFonts w:hint="default" w:ascii="仿宋_GB2312" w:hAnsi="ˎ̥" w:eastAsia="仿宋_GB2312" w:cs="Times New Roman"/>
          <w:color w:val="auto"/>
          <w:kern w:val="2"/>
          <w:sz w:val="32"/>
          <w:szCs w:val="32"/>
          <w:lang w:val="en-US" w:eastAsia="zh-CN" w:bidi="ar-SA"/>
        </w:rPr>
        <w:t>全财务规章制度；对学校经济活动进行财务控制和监督；定期进行财务分析，如实反映学校财务状况。</w:t>
      </w:r>
    </w:p>
    <w:p w14:paraId="48ED8D90">
      <w:pPr>
        <w:pStyle w:val="18"/>
        <w:keepNext w:val="0"/>
        <w:keepLines w:val="0"/>
        <w:widowControl/>
        <w:suppressLineNumbers w:val="0"/>
        <w:spacing w:line="240" w:lineRule="atLeast"/>
        <w:rPr>
          <w:rFonts w:hint="eastAsia" w:ascii="黑体" w:hAnsi="黑体" w:eastAsia="黑体" w:cs="黑体"/>
          <w:color w:val="auto"/>
          <w:sz w:val="32"/>
          <w:szCs w:val="32"/>
        </w:rPr>
      </w:pPr>
      <w:r>
        <w:rPr>
          <w:rFonts w:hint="default" w:ascii="仿宋_GB2312" w:hAnsi="ˎ̥" w:eastAsia="仿宋_GB2312" w:cs="Times New Roman"/>
          <w:color w:val="auto"/>
          <w:kern w:val="2"/>
          <w:sz w:val="32"/>
          <w:szCs w:val="32"/>
          <w:lang w:val="en-US" w:eastAsia="zh-CN" w:bidi="ar-SA"/>
        </w:rPr>
        <w:t xml:space="preserve">   （四）根据市教育局关于学校财务会计管理规定，结合学校章程，采用市财政局委派会计核算。</w:t>
      </w:r>
    </w:p>
    <w:p w14:paraId="0680DACE">
      <w:pPr>
        <w:spacing w:line="578" w:lineRule="exact"/>
        <w:ind w:firstLine="640" w:firstLineChars="200"/>
        <w:rPr>
          <w:rFonts w:hint="eastAsia" w:ascii="黑体" w:hAnsi="黑体" w:eastAsia="黑体" w:cs="黑体"/>
          <w:color w:val="auto"/>
          <w:sz w:val="32"/>
          <w:szCs w:val="32"/>
        </w:rPr>
      </w:pPr>
      <w:bookmarkStart w:id="14" w:name="_Toc17796_WPSOffice_Level2"/>
      <w:bookmarkStart w:id="15" w:name="_Toc6572_WPSOffice_Level2"/>
      <w:bookmarkStart w:id="16" w:name="_Toc4833_WPSOffice_Level2"/>
      <w:bookmarkStart w:id="17" w:name="_Toc24059_WPSOffice_Level2"/>
      <w:bookmarkStart w:id="18" w:name="_Toc24474_WPSOffice_Level2"/>
      <w:r>
        <w:rPr>
          <w:rFonts w:hint="eastAsia" w:ascii="黑体" w:hAnsi="黑体" w:eastAsia="黑体" w:cs="黑体"/>
          <w:color w:val="auto"/>
          <w:sz w:val="32"/>
          <w:szCs w:val="32"/>
        </w:rPr>
        <w:t>二、机构设置</w:t>
      </w:r>
      <w:bookmarkEnd w:id="14"/>
      <w:bookmarkEnd w:id="15"/>
      <w:bookmarkEnd w:id="16"/>
      <w:bookmarkEnd w:id="17"/>
      <w:bookmarkEnd w:id="18"/>
    </w:p>
    <w:p w14:paraId="5E0A5FBF">
      <w:pPr>
        <w:spacing w:line="578" w:lineRule="exact"/>
        <w:ind w:firstLine="640" w:firstLineChars="200"/>
        <w:rPr>
          <w:rFonts w:hint="default" w:ascii="仿宋_GB2312" w:hAnsi="ˎ̥" w:eastAsia="仿宋_GB2312"/>
          <w:color w:val="auto"/>
          <w:sz w:val="32"/>
          <w:szCs w:val="32"/>
        </w:rPr>
      </w:pPr>
      <w:bookmarkStart w:id="19" w:name="_Toc28253_WPSOffice_Level1"/>
      <w:bookmarkStart w:id="20" w:name="_Toc6234_WPSOffice_Level1"/>
      <w:bookmarkStart w:id="21" w:name="_Toc8164_WPSOffice_Level1"/>
      <w:bookmarkStart w:id="22" w:name="_Toc15521_WPSOffice_Level1"/>
      <w:bookmarkStart w:id="23" w:name="_Toc30451_WPSOffice_Level1"/>
      <w:bookmarkStart w:id="24" w:name="_Toc30690_WPSOffice_Level1"/>
      <w:bookmarkStart w:id="25" w:name="_Toc6211_WPSOffice_Level2"/>
      <w:bookmarkStart w:id="26" w:name="_Toc4029_WPSOffice_Level2"/>
      <w:bookmarkStart w:id="27" w:name="_Toc32695_WPSOffice_Level2"/>
      <w:bookmarkStart w:id="28" w:name="_Toc32472_WPSOffice_Level2"/>
      <w:bookmarkStart w:id="29" w:name="_Toc11518_WPSOffice_Level2"/>
      <w:bookmarkStart w:id="30" w:name="_Toc8867_WPSOffice_Level2"/>
      <w:r>
        <w:rPr>
          <w:rFonts w:hint="default" w:ascii="仿宋_GB2312" w:hAnsi="ˎ̥" w:eastAsia="仿宋_GB2312"/>
          <w:color w:val="auto"/>
          <w:sz w:val="32"/>
          <w:szCs w:val="32"/>
        </w:rPr>
        <w:t>党支部、行政办公室、教学部、德育部、总务室、体卫艺室、团委、工会、财务室</w:t>
      </w:r>
    </w:p>
    <w:p w14:paraId="6B8791B9">
      <w:pPr>
        <w:spacing w:line="578" w:lineRule="exact"/>
        <w:jc w:val="center"/>
        <w:rPr>
          <w:rFonts w:hint="eastAsia" w:ascii="黑体" w:hAnsi="ˎ̥" w:eastAsia="黑体"/>
          <w:color w:val="auto"/>
          <w:sz w:val="32"/>
          <w:szCs w:val="32"/>
        </w:rPr>
      </w:pPr>
    </w:p>
    <w:p w14:paraId="5ABA64D5">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14:paraId="1A7D1292">
      <w:pPr>
        <w:spacing w:line="578" w:lineRule="exact"/>
        <w:ind w:firstLine="645"/>
        <w:rPr>
          <w:rFonts w:hint="eastAsia" w:ascii="黑体" w:hAnsi="黑体" w:eastAsia="黑体" w:cs="黑体"/>
          <w:color w:val="auto"/>
          <w:sz w:val="32"/>
          <w:szCs w:val="32"/>
        </w:rPr>
      </w:pPr>
    </w:p>
    <w:p w14:paraId="4609FEC3">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14:paraId="646AEC68">
      <w:pPr>
        <w:spacing w:line="578" w:lineRule="exact"/>
        <w:ind w:firstLine="645"/>
        <w:rPr>
          <w:rFonts w:hint="eastAsia" w:ascii="黑体" w:hAnsi="黑体" w:eastAsia="黑体" w:cs="黑体"/>
          <w:color w:val="auto"/>
          <w:sz w:val="32"/>
          <w:szCs w:val="32"/>
        </w:rPr>
      </w:pPr>
      <w:bookmarkStart w:id="31" w:name="_Toc30334_WPSOffice_Level2"/>
      <w:bookmarkStart w:id="32" w:name="_Toc14349_WPSOffice_Level2"/>
      <w:bookmarkStart w:id="33" w:name="_Toc28622_WPSOffice_Level2"/>
      <w:bookmarkStart w:id="34" w:name="_Toc23139_WPSOffice_Level2"/>
      <w:bookmarkStart w:id="35" w:name="_Toc25608_WPSOffice_Level2"/>
      <w:bookmarkStart w:id="36" w:name="_Toc26621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3262_WPSOffice_Level2"/>
      <w:bookmarkStart w:id="38" w:name="_Toc13854_WPSOffice_Level2"/>
      <w:bookmarkStart w:id="39" w:name="_Toc14658_WPSOffice_Level2"/>
      <w:bookmarkStart w:id="40" w:name="_Toc17858_WPSOffice_Level2"/>
      <w:bookmarkStart w:id="41" w:name="_Toc5489_WPSOffice_Level2"/>
      <w:bookmarkStart w:id="42" w:name="_Toc17626_WPSOffice_Level2"/>
    </w:p>
    <w:p w14:paraId="2D43FEAF">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7988_WPSOffice_Level2"/>
      <w:bookmarkStart w:id="44" w:name="_Toc21415_WPSOffice_Level2"/>
      <w:bookmarkStart w:id="45" w:name="_Toc13701_WPSOffice_Level2"/>
      <w:bookmarkStart w:id="46" w:name="_Toc4265_WPSOffice_Level2"/>
      <w:bookmarkStart w:id="47" w:name="_Toc23493_WPSOffice_Level2"/>
      <w:bookmarkStart w:id="48" w:name="_Toc23591_WPSOffice_Level2"/>
    </w:p>
    <w:p w14:paraId="466CE0B2">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14:paraId="1CA1AAB7">
      <w:pPr>
        <w:spacing w:line="578" w:lineRule="exact"/>
        <w:ind w:firstLine="645"/>
        <w:rPr>
          <w:rFonts w:hint="eastAsia" w:ascii="黑体" w:hAnsi="黑体" w:eastAsia="黑体" w:cs="黑体"/>
          <w:color w:val="auto"/>
          <w:sz w:val="32"/>
          <w:szCs w:val="32"/>
        </w:rPr>
      </w:pPr>
      <w:bookmarkStart w:id="49" w:name="_Toc23829_WPSOffice_Level2"/>
      <w:bookmarkStart w:id="50" w:name="_Toc22783_WPSOffice_Level2"/>
      <w:bookmarkStart w:id="51" w:name="_Toc25166_WPSOffice_Level2"/>
      <w:bookmarkStart w:id="52" w:name="_Toc7879_WPSOffice_Level2"/>
      <w:bookmarkStart w:id="53" w:name="_Toc2158_WPSOffice_Level2"/>
      <w:bookmarkStart w:id="54" w:name="_Toc13516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8373_WPSOffice_Level2"/>
      <w:bookmarkStart w:id="56" w:name="_Toc17283_WPSOffice_Level2"/>
      <w:bookmarkStart w:id="57" w:name="_Toc5343_WPSOffice_Level2"/>
      <w:bookmarkStart w:id="58" w:name="_Toc2632_WPSOffice_Level2"/>
      <w:bookmarkStart w:id="59" w:name="_Toc17833_WPSOffice_Level2"/>
      <w:bookmarkStart w:id="60" w:name="_Toc25362_WPSOffice_Level2"/>
    </w:p>
    <w:p w14:paraId="163493D2">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14:paraId="11250B0D">
      <w:pPr>
        <w:spacing w:line="578" w:lineRule="exact"/>
        <w:ind w:left="1118" w:leftChars="304" w:hanging="480" w:hangingChars="150"/>
        <w:rPr>
          <w:rFonts w:hint="eastAsia" w:ascii="黑体" w:hAnsi="黑体" w:eastAsia="黑体" w:cs="黑体"/>
          <w:color w:val="auto"/>
          <w:sz w:val="32"/>
          <w:szCs w:val="32"/>
        </w:rPr>
      </w:pPr>
      <w:bookmarkStart w:id="61" w:name="_Toc1533_WPSOffice_Level2"/>
      <w:bookmarkStart w:id="62" w:name="_Toc11799_WPSOffice_Level2"/>
      <w:bookmarkStart w:id="63" w:name="_Toc21310_WPSOffice_Level2"/>
      <w:bookmarkStart w:id="64" w:name="_Toc5594_WPSOffice_Level2"/>
      <w:bookmarkStart w:id="65" w:name="_Toc6020_WPSOffice_Level2"/>
      <w:bookmarkStart w:id="66" w:name="_Toc13345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14:paraId="33B6C1DC">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14:paraId="6225979D">
      <w:pPr>
        <w:spacing w:line="578" w:lineRule="exact"/>
        <w:ind w:firstLine="640"/>
        <w:rPr>
          <w:rFonts w:hint="eastAsia" w:ascii="黑体" w:hAnsi="黑体" w:eastAsia="黑体" w:cs="黑体"/>
          <w:color w:val="auto"/>
          <w:sz w:val="32"/>
          <w:szCs w:val="32"/>
        </w:rPr>
      </w:pPr>
      <w:bookmarkStart w:id="67" w:name="_Toc19961_WPSOffice_Level2"/>
      <w:bookmarkStart w:id="68" w:name="_Toc9377_WPSOffice_Level2"/>
      <w:bookmarkStart w:id="69" w:name="_Toc1820_WPSOffice_Level2"/>
      <w:bookmarkStart w:id="70" w:name="_Toc29886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14:paraId="752E8721">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14:paraId="5B482E07">
      <w:pPr>
        <w:spacing w:line="578" w:lineRule="exact"/>
        <w:rPr>
          <w:rFonts w:hint="eastAsia" w:ascii="黑体" w:hAnsi="黑体" w:eastAsia="黑体" w:cs="黑体"/>
          <w:color w:val="auto"/>
          <w:sz w:val="32"/>
          <w:szCs w:val="32"/>
        </w:rPr>
      </w:pPr>
    </w:p>
    <w:p w14:paraId="31BF6332">
      <w:pPr>
        <w:spacing w:line="578" w:lineRule="exact"/>
        <w:jc w:val="center"/>
        <w:rPr>
          <w:rFonts w:hint="eastAsia" w:ascii="黑体" w:hAnsi="ˎ̥" w:eastAsia="黑体"/>
          <w:color w:val="auto"/>
          <w:sz w:val="32"/>
          <w:szCs w:val="32"/>
        </w:rPr>
      </w:pPr>
      <w:bookmarkStart w:id="71" w:name="_Toc29683_WPSOffice_Level1"/>
      <w:bookmarkStart w:id="72" w:name="_Toc28629_WPSOffice_Level1"/>
      <w:bookmarkStart w:id="73" w:name="_Toc27590_WPSOffice_Level1"/>
      <w:bookmarkStart w:id="74" w:name="_Toc4402_WPSOffice_Level1"/>
      <w:bookmarkStart w:id="75" w:name="_Toc16686_WPSOffice_Level1"/>
      <w:bookmarkStart w:id="76" w:name="_Toc31264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14:paraId="0108672B">
      <w:pPr>
        <w:spacing w:line="578" w:lineRule="exact"/>
        <w:jc w:val="center"/>
        <w:rPr>
          <w:rFonts w:hint="eastAsia" w:ascii="黑体" w:hAnsi="ˎ̥" w:eastAsia="黑体"/>
          <w:color w:val="auto"/>
          <w:sz w:val="32"/>
          <w:szCs w:val="32"/>
        </w:rPr>
      </w:pPr>
    </w:p>
    <w:p w14:paraId="1051B5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3,987.79</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3,987.79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年度相比，收入、支出总计增加</w:t>
      </w:r>
      <w:r>
        <w:rPr>
          <w:rFonts w:hint="eastAsia" w:ascii="仿宋_GB2312" w:hAnsi="ˎ̥" w:eastAsia="仿宋_GB2312"/>
          <w:color w:val="auto"/>
          <w:sz w:val="32"/>
          <w:szCs w:val="32"/>
          <w:lang w:val="en-US" w:eastAsia="zh-CN"/>
        </w:rPr>
        <w:t>162.15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4.1</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人员增加工资发放、社保、公积金缴纳增多</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二是社保、公积金基数增加，缴费增多。</w:t>
      </w:r>
    </w:p>
    <w:p w14:paraId="05B8AF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3,864.30</w:t>
      </w:r>
      <w:r>
        <w:rPr>
          <w:rFonts w:hint="eastAsia" w:ascii="仿宋_GB2312" w:hAnsi="ˎ̥" w:eastAsia="仿宋_GB2312"/>
          <w:color w:val="auto"/>
          <w:sz w:val="32"/>
          <w:szCs w:val="32"/>
        </w:rPr>
        <w:t>万元。</w:t>
      </w:r>
    </w:p>
    <w:p w14:paraId="3AB6C1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4.45</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4.36</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14:paraId="5B2819E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119.04</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课后服务费</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58.07</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95.24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highlight w:val="none"/>
          <w:lang w:eastAsia="zh-CN"/>
        </w:rPr>
        <w:t>课后服务费没有来得及发放</w:t>
      </w:r>
      <w:r>
        <w:rPr>
          <w:rFonts w:hint="eastAsia" w:ascii="仿宋_GB2312" w:hAnsi="ˎ̥" w:eastAsia="仿宋_GB2312"/>
          <w:color w:val="auto"/>
          <w:sz w:val="32"/>
          <w:szCs w:val="32"/>
        </w:rPr>
        <w:t>。</w:t>
      </w:r>
    </w:p>
    <w:p w14:paraId="74FADF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14:paraId="788E8B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3,879.48</w:t>
      </w:r>
      <w:r>
        <w:rPr>
          <w:rFonts w:hint="eastAsia" w:ascii="仿宋_GB2312" w:hAnsi="ˎ̥" w:eastAsia="仿宋_GB2312"/>
          <w:color w:val="auto"/>
          <w:sz w:val="32"/>
          <w:szCs w:val="32"/>
        </w:rPr>
        <w:t>万元。</w:t>
      </w:r>
    </w:p>
    <w:p w14:paraId="382684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14:paraId="33C8A0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108.30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课后服务费</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10.74</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减少</w:t>
      </w:r>
      <w:r>
        <w:rPr>
          <w:rFonts w:hint="eastAsia" w:ascii="仿宋_GB2312" w:hAnsi="ˎ̥" w:eastAsia="仿宋_GB2312"/>
          <w:color w:val="auto"/>
          <w:sz w:val="32"/>
          <w:szCs w:val="32"/>
          <w:lang w:val="en-US" w:eastAsia="zh-CN"/>
        </w:rPr>
        <w:t>9</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用于购买开展课后服务器材等教具增多</w:t>
      </w:r>
      <w:r>
        <w:rPr>
          <w:rFonts w:hint="eastAsia" w:ascii="仿宋_GB2312" w:hAnsi="ˎ̥" w:eastAsia="仿宋_GB2312"/>
          <w:color w:val="auto"/>
          <w:sz w:val="32"/>
          <w:szCs w:val="32"/>
        </w:rPr>
        <w:t>。</w:t>
      </w:r>
    </w:p>
    <w:p w14:paraId="5ABFB0D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p>
    <w:p w14:paraId="0F317C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3,864.30</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3,707.44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95.94</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156.86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4.06</w:t>
      </w:r>
      <w:r>
        <w:rPr>
          <w:rFonts w:hint="eastAsia" w:ascii="仿宋_GB2312" w:hAnsi="ˎ̥" w:eastAsia="仿宋_GB2312"/>
          <w:color w:val="auto"/>
          <w:sz w:val="32"/>
          <w:szCs w:val="32"/>
        </w:rPr>
        <w:t>%。</w:t>
      </w:r>
    </w:p>
    <w:p w14:paraId="3B02073F">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14:paraId="294101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3,879.48</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3,182.12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82.02</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697.37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17.98</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6EA146FC">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14:paraId="070EB5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3,707.44</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3,707.44</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25.36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0.69</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人员增加工资发放增多</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25.36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0.69</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人员增加工资、社保、公积金发放增多。</w:t>
      </w:r>
    </w:p>
    <w:p w14:paraId="2F2814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604B14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9989_WPSOffice_Level2"/>
      <w:bookmarkStart w:id="78" w:name="_Toc19665_WPSOffice_Level2"/>
      <w:bookmarkStart w:id="79" w:name="_Toc13694_WPSOffice_Level2"/>
      <w:bookmarkStart w:id="80" w:name="_Toc21737_WPSOffice_Level2"/>
      <w:bookmarkStart w:id="81" w:name="_Toc23005_WPSOffice_Level2"/>
      <w:bookmarkStart w:id="82" w:name="_Toc17398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14:paraId="341291B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3,707.44</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25.36</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0.69</w:t>
      </w:r>
      <w:r>
        <w:rPr>
          <w:rFonts w:hint="eastAsia" w:ascii="仿宋_GB2312" w:hAnsi="ˎ̥" w:eastAsia="仿宋_GB2312"/>
          <w:color w:val="auto"/>
          <w:sz w:val="32"/>
          <w:szCs w:val="32"/>
        </w:rPr>
        <w:t>%，主要原因是</w:t>
      </w:r>
      <w:bookmarkStart w:id="83" w:name="_Toc19535_WPSOffice_Level2"/>
      <w:bookmarkStart w:id="84" w:name="_Toc18793_WPSOffice_Level2"/>
      <w:bookmarkStart w:id="85" w:name="_Toc19075_WPSOffice_Level2"/>
      <w:bookmarkStart w:id="86" w:name="_Toc23864_WPSOffice_Level2"/>
      <w:bookmarkStart w:id="87" w:name="_Toc2711_WPSOffice_Level2"/>
      <w:bookmarkStart w:id="88" w:name="_Toc27767_WPSOffice_Level2"/>
      <w:r>
        <w:rPr>
          <w:rFonts w:hint="eastAsia" w:ascii="仿宋_GB2312" w:hAnsi="ˎ̥" w:eastAsia="仿宋_GB2312"/>
          <w:color w:val="auto"/>
          <w:sz w:val="32"/>
          <w:szCs w:val="32"/>
          <w:lang w:val="en-US" w:eastAsia="zh-CN"/>
        </w:rPr>
        <w:t>人员增加工资、社保、公积金发放增多。</w:t>
      </w:r>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14:paraId="1BE464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3,707.44</w:t>
      </w:r>
      <w:r>
        <w:rPr>
          <w:rFonts w:hint="eastAsia" w:ascii="仿宋_GB2312" w:hAnsi="ˎ̥" w:eastAsia="仿宋_GB2312"/>
          <w:color w:val="auto"/>
          <w:sz w:val="32"/>
          <w:szCs w:val="32"/>
        </w:rPr>
        <w:t>万元，主要用于以下方面：教育支出2,732.11</w:t>
      </w:r>
      <w:r>
        <w:rPr>
          <w:rFonts w:hint="eastAsia" w:ascii="仿宋_GB2312" w:hAnsi="ˎ̥" w:eastAsia="仿宋_GB2312"/>
          <w:color w:val="auto"/>
          <w:sz w:val="32"/>
          <w:szCs w:val="32"/>
          <w:lang w:val="en-US" w:eastAsia="zh-CN"/>
        </w:rPr>
        <w:t>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73.69</w:t>
      </w:r>
      <w:r>
        <w:rPr>
          <w:rFonts w:hint="eastAsia" w:ascii="仿宋_GB2312" w:hAnsi="ˎ̥" w:eastAsia="仿宋_GB2312"/>
          <w:color w:val="auto"/>
          <w:sz w:val="32"/>
          <w:szCs w:val="32"/>
        </w:rPr>
        <w:t>%；社会保障和就业支出474.99</w:t>
      </w:r>
      <w:r>
        <w:rPr>
          <w:rFonts w:hint="eastAsia" w:ascii="仿宋_GB2312" w:hAnsi="ˎ̥" w:eastAsia="仿宋_GB2312"/>
          <w:color w:val="auto"/>
          <w:sz w:val="32"/>
          <w:szCs w:val="32"/>
          <w:lang w:val="en-US" w:eastAsia="zh-CN"/>
        </w:rPr>
        <w:t>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12.81</w:t>
      </w:r>
      <w:r>
        <w:rPr>
          <w:rFonts w:hint="eastAsia" w:ascii="仿宋_GB2312" w:hAnsi="ˎ̥" w:eastAsia="仿宋_GB2312"/>
          <w:color w:val="auto"/>
          <w:sz w:val="32"/>
          <w:szCs w:val="32"/>
        </w:rPr>
        <w:t>%；卫生健康支出</w:t>
      </w:r>
      <w:r>
        <w:rPr>
          <w:rFonts w:hint="eastAsia" w:ascii="仿宋_GB2312" w:hAnsi="ˎ̥" w:eastAsia="仿宋_GB2312"/>
          <w:color w:val="auto"/>
          <w:sz w:val="32"/>
          <w:szCs w:val="32"/>
          <w:lang w:val="en-US" w:eastAsia="zh-CN"/>
        </w:rPr>
        <w:t>290.87万元，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7.85</w:t>
      </w:r>
      <w:r>
        <w:rPr>
          <w:rFonts w:hint="eastAsia" w:ascii="仿宋_GB2312" w:hAnsi="ˎ̥" w:eastAsia="仿宋_GB2312"/>
          <w:color w:val="auto"/>
          <w:sz w:val="32"/>
          <w:szCs w:val="32"/>
        </w:rPr>
        <w:t>%；住房保障支出</w:t>
      </w:r>
      <w:r>
        <w:rPr>
          <w:rFonts w:hint="eastAsia" w:ascii="仿宋_GB2312" w:hAnsi="ˎ̥" w:eastAsia="仿宋_GB2312"/>
          <w:color w:val="auto"/>
          <w:sz w:val="32"/>
          <w:szCs w:val="32"/>
          <w:lang w:val="en-US" w:eastAsia="zh-CN"/>
        </w:rPr>
        <w:t>209.47万元，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5.65</w:t>
      </w:r>
      <w:r>
        <w:rPr>
          <w:rFonts w:hint="eastAsia" w:ascii="仿宋_GB2312" w:hAnsi="ˎ̥" w:eastAsia="仿宋_GB2312"/>
          <w:color w:val="auto"/>
          <w:sz w:val="32"/>
          <w:szCs w:val="32"/>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22318_WPSOffice_Level2"/>
      <w:bookmarkStart w:id="90" w:name="_Toc9502_WPSOffice_Level2"/>
      <w:bookmarkStart w:id="91" w:name="_Toc29364_WPSOffice_Level2"/>
      <w:bookmarkStart w:id="92" w:name="_Toc25136_WPSOffice_Level2"/>
      <w:bookmarkStart w:id="93" w:name="_Toc15415_WPSOffice_Level2"/>
      <w:bookmarkStart w:id="94" w:name="_Toc21701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14:paraId="04217A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 w:hAnsi="仿宋" w:eastAsia="仿宋" w:cs="仿宋"/>
          <w:color w:val="auto"/>
          <w:sz w:val="32"/>
          <w:szCs w:val="32"/>
          <w:highlight w:val="none"/>
        </w:rPr>
        <w:t>3,524.14</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3,707.44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105.2</w:t>
      </w:r>
      <w:r>
        <w:rPr>
          <w:rFonts w:hint="eastAsia" w:ascii="仿宋_GB2312" w:hAnsi="ˎ̥" w:eastAsia="仿宋_GB2312"/>
          <w:color w:val="auto"/>
          <w:sz w:val="32"/>
          <w:szCs w:val="32"/>
        </w:rPr>
        <w:t>%。其中：</w:t>
      </w:r>
    </w:p>
    <w:p w14:paraId="065E4808">
      <w:pPr>
        <w:keepNext w:val="0"/>
        <w:keepLines w:val="0"/>
        <w:widowControl/>
        <w:suppressLineNumbers w:val="0"/>
        <w:spacing w:before="0" w:beforeAutospacing="0" w:after="100" w:afterAutospacing="1"/>
        <w:ind w:left="0" w:right="0" w:firstLine="640" w:firstLineChars="200"/>
        <w:jc w:val="left"/>
        <w:rPr>
          <w:rFonts w:hint="eastAsia" w:ascii="仿宋_GB2312" w:hAnsi="ˎ̥" w:eastAsia="仿宋_GB2312" w:cs="仿宋_GB2312"/>
          <w:b w:val="0"/>
          <w:bCs w:val="0"/>
          <w:color w:val="auto"/>
          <w:kern w:val="0"/>
          <w:sz w:val="32"/>
          <w:szCs w:val="32"/>
          <w:shd w:val="clear" w:color="auto" w:fill="FFFFFF"/>
          <w:lang w:val="en-US" w:eastAsia="zh-CN"/>
        </w:rPr>
      </w:pPr>
      <w:r>
        <w:rPr>
          <w:rFonts w:hint="default" w:ascii="仿宋_GB2312" w:hAnsi="ˎ̥" w:eastAsia="仿宋_GB2312" w:cs="仿宋_GB2312"/>
          <w:b w:val="0"/>
          <w:bCs w:val="0"/>
          <w:color w:val="auto"/>
          <w:kern w:val="0"/>
          <w:sz w:val="32"/>
          <w:szCs w:val="32"/>
          <w:shd w:val="clear" w:color="auto" w:fill="FFFFFF"/>
        </w:rPr>
        <w:t>1.教育支出（类）</w:t>
      </w:r>
      <w:r>
        <w:rPr>
          <w:rFonts w:hint="eastAsia" w:ascii="仿宋_GB2312" w:hAnsi="ˎ̥" w:eastAsia="仿宋_GB2312" w:cs="仿宋_GB2312"/>
          <w:b w:val="0"/>
          <w:bCs w:val="0"/>
          <w:color w:val="auto"/>
          <w:kern w:val="0"/>
          <w:sz w:val="32"/>
          <w:szCs w:val="32"/>
          <w:shd w:val="clear" w:color="auto" w:fill="FFFFFF"/>
          <w:lang w:eastAsia="zh-CN"/>
        </w:rPr>
        <w:t>2,202.34万元，项目支出529.77万元。</w:t>
      </w:r>
    </w:p>
    <w:p w14:paraId="1560F631">
      <w:pPr>
        <w:keepNext w:val="0"/>
        <w:keepLines w:val="0"/>
        <w:widowControl/>
        <w:suppressLineNumbers w:val="0"/>
        <w:spacing w:before="0" w:beforeAutospacing="0" w:after="100" w:afterAutospacing="1"/>
        <w:ind w:left="0" w:right="0" w:firstLine="640" w:firstLineChars="200"/>
        <w:jc w:val="left"/>
        <w:rPr>
          <w:rFonts w:hint="eastAsia" w:ascii="仿宋_GB2312" w:hAnsi="ˎ̥" w:eastAsia="仿宋_GB2312" w:cs="仿宋_GB2312"/>
          <w:b w:val="0"/>
          <w:bCs w:val="0"/>
          <w:color w:val="auto"/>
          <w:kern w:val="0"/>
          <w:sz w:val="32"/>
          <w:szCs w:val="32"/>
          <w:shd w:val="clear" w:color="auto" w:fill="FFFFFF"/>
          <w:lang w:eastAsia="zh-CN"/>
        </w:rPr>
      </w:pPr>
      <w:r>
        <w:rPr>
          <w:rFonts w:hint="eastAsia" w:ascii="仿宋_GB2312" w:hAnsi="ˎ̥" w:eastAsia="仿宋_GB2312" w:cs="仿宋_GB2312"/>
          <w:b w:val="0"/>
          <w:bCs w:val="0"/>
          <w:color w:val="auto"/>
          <w:kern w:val="0"/>
          <w:sz w:val="32"/>
          <w:szCs w:val="32"/>
          <w:shd w:val="clear" w:color="auto" w:fill="FFFFFF"/>
          <w:lang w:val="en-US" w:eastAsia="zh-CN"/>
        </w:rPr>
        <w:t>2</w:t>
      </w:r>
      <w:r>
        <w:rPr>
          <w:rFonts w:hint="default" w:ascii="仿宋_GB2312" w:hAnsi="ˎ̥" w:eastAsia="仿宋_GB2312" w:cs="仿宋_GB2312"/>
          <w:b w:val="0"/>
          <w:bCs w:val="0"/>
          <w:color w:val="auto"/>
          <w:kern w:val="0"/>
          <w:sz w:val="32"/>
          <w:szCs w:val="32"/>
          <w:shd w:val="clear" w:color="auto" w:fill="FFFFFF"/>
        </w:rPr>
        <w:t>.社会保障和就业（类）支出474.99万元</w:t>
      </w:r>
      <w:r>
        <w:rPr>
          <w:rFonts w:hint="eastAsia" w:ascii="仿宋_GB2312" w:hAnsi="ˎ̥" w:eastAsia="仿宋_GB2312" w:cs="仿宋_GB2312"/>
          <w:b w:val="0"/>
          <w:bCs w:val="0"/>
          <w:color w:val="auto"/>
          <w:kern w:val="0"/>
          <w:sz w:val="32"/>
          <w:szCs w:val="32"/>
          <w:shd w:val="clear" w:color="auto" w:fill="FFFFFF"/>
          <w:lang w:eastAsia="zh-CN"/>
        </w:rPr>
        <w:t>。</w:t>
      </w:r>
    </w:p>
    <w:p w14:paraId="16575F5E">
      <w:pPr>
        <w:keepNext w:val="0"/>
        <w:keepLines w:val="0"/>
        <w:widowControl/>
        <w:suppressLineNumbers w:val="0"/>
        <w:spacing w:before="0" w:beforeAutospacing="0" w:after="100" w:afterAutospacing="1"/>
        <w:ind w:left="0" w:right="0" w:firstLine="640" w:firstLineChars="200"/>
        <w:jc w:val="left"/>
        <w:rPr>
          <w:rFonts w:hint="eastAsia" w:ascii="仿宋_GB2312" w:hAnsi="ˎ̥" w:eastAsia="仿宋_GB2312" w:cs="仿宋_GB2312"/>
          <w:b w:val="0"/>
          <w:bCs w:val="0"/>
          <w:color w:val="auto"/>
          <w:kern w:val="0"/>
          <w:sz w:val="32"/>
          <w:szCs w:val="32"/>
          <w:shd w:val="clear" w:color="auto" w:fill="FFFFFF"/>
          <w:lang w:eastAsia="zh-CN"/>
        </w:rPr>
      </w:pPr>
      <w:r>
        <w:rPr>
          <w:rFonts w:hint="eastAsia" w:ascii="仿宋_GB2312" w:hAnsi="ˎ̥" w:eastAsia="仿宋_GB2312" w:cs="仿宋_GB2312"/>
          <w:b w:val="0"/>
          <w:bCs w:val="0"/>
          <w:color w:val="auto"/>
          <w:kern w:val="0"/>
          <w:sz w:val="32"/>
          <w:szCs w:val="32"/>
          <w:shd w:val="clear" w:color="auto" w:fill="FFFFFF"/>
          <w:lang w:val="en-US" w:eastAsia="zh-CN"/>
        </w:rPr>
        <w:t>3</w:t>
      </w:r>
      <w:r>
        <w:rPr>
          <w:rFonts w:hint="default" w:ascii="仿宋_GB2312" w:hAnsi="ˎ̥" w:eastAsia="仿宋_GB2312" w:cs="仿宋_GB2312"/>
          <w:b w:val="0"/>
          <w:bCs w:val="0"/>
          <w:color w:val="auto"/>
          <w:kern w:val="0"/>
          <w:sz w:val="32"/>
          <w:szCs w:val="32"/>
          <w:shd w:val="clear" w:color="auto" w:fill="FFFFFF"/>
        </w:rPr>
        <w:t>.卫生健康支出（类）290.87万元</w:t>
      </w:r>
    </w:p>
    <w:p w14:paraId="3B59F0E7">
      <w:pPr>
        <w:keepNext w:val="0"/>
        <w:keepLines w:val="0"/>
        <w:widowControl/>
        <w:suppressLineNumbers w:val="0"/>
        <w:spacing w:before="0" w:beforeAutospacing="0" w:after="100" w:afterAutospacing="1"/>
        <w:ind w:left="0" w:right="0" w:firstLine="640" w:firstLineChars="200"/>
        <w:jc w:val="left"/>
        <w:rPr>
          <w:rFonts w:hint="default" w:ascii="仿宋_GB2312" w:hAnsi="ˎ̥" w:eastAsia="仿宋_GB2312" w:cs="仿宋_GB2312"/>
          <w:b w:val="0"/>
          <w:bCs w:val="0"/>
          <w:color w:val="auto"/>
          <w:kern w:val="0"/>
          <w:sz w:val="32"/>
          <w:szCs w:val="32"/>
          <w:shd w:val="clear" w:color="auto" w:fill="FFFFFF"/>
        </w:rPr>
      </w:pPr>
      <w:r>
        <w:rPr>
          <w:rFonts w:hint="default" w:ascii="仿宋_GB2312" w:hAnsi="ˎ̥" w:eastAsia="仿宋_GB2312" w:cs="仿宋_GB2312"/>
          <w:b w:val="0"/>
          <w:bCs w:val="0"/>
          <w:color w:val="auto"/>
          <w:kern w:val="0"/>
          <w:sz w:val="32"/>
          <w:szCs w:val="32"/>
          <w:shd w:val="clear" w:color="auto" w:fill="FFFFFF"/>
        </w:rPr>
        <w:t>4.住房保障支出（类）209.47</w:t>
      </w:r>
      <w:r>
        <w:rPr>
          <w:rFonts w:hint="eastAsia" w:ascii="仿宋_GB2312" w:hAnsi="ˎ̥" w:eastAsia="仿宋_GB2312" w:cs="仿宋_GB2312"/>
          <w:b w:val="0"/>
          <w:bCs w:val="0"/>
          <w:color w:val="auto"/>
          <w:kern w:val="0"/>
          <w:sz w:val="32"/>
          <w:szCs w:val="32"/>
          <w:shd w:val="clear" w:color="auto" w:fill="FFFFFF"/>
          <w:lang w:val="en-US" w:eastAsia="zh-CN"/>
        </w:rPr>
        <w:t>万</w:t>
      </w:r>
      <w:r>
        <w:rPr>
          <w:rFonts w:hint="default" w:ascii="仿宋_GB2312" w:hAnsi="ˎ̥" w:eastAsia="仿宋_GB2312" w:cs="仿宋_GB2312"/>
          <w:b w:val="0"/>
          <w:bCs w:val="0"/>
          <w:color w:val="auto"/>
          <w:kern w:val="0"/>
          <w:sz w:val="32"/>
          <w:szCs w:val="32"/>
          <w:shd w:val="clear" w:color="auto" w:fill="FFFFFF"/>
        </w:rPr>
        <w:t>元</w:t>
      </w:r>
    </w:p>
    <w:p w14:paraId="64687570">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 w:hAnsi="仿宋" w:eastAsia="仿宋" w:cs="仿宋"/>
          <w:color w:val="auto"/>
          <w:sz w:val="32"/>
          <w:szCs w:val="32"/>
          <w:highlight w:val="none"/>
        </w:rPr>
        <w:t>3,524.14</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3,707.44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105.2</w:t>
      </w:r>
      <w:r>
        <w:rPr>
          <w:rFonts w:hint="eastAsia" w:ascii="仿宋_GB2312" w:hAnsi="ˎ̥" w:eastAsia="仿宋_GB2312"/>
          <w:color w:val="auto"/>
          <w:sz w:val="32"/>
          <w:szCs w:val="32"/>
        </w:rPr>
        <w:t>%。决算数大于预算数的主要原因：一是</w:t>
      </w:r>
      <w:r>
        <w:rPr>
          <w:rFonts w:hint="eastAsia" w:ascii="仿宋_GB2312" w:hAnsi="ˎ̥" w:eastAsia="仿宋_GB2312"/>
          <w:color w:val="auto"/>
          <w:sz w:val="32"/>
          <w:szCs w:val="32"/>
          <w:lang w:val="en-US" w:eastAsia="zh-CN"/>
        </w:rPr>
        <w:t>课后服务发放</w:t>
      </w:r>
      <w:r>
        <w:rPr>
          <w:rFonts w:hint="eastAsia" w:ascii="仿宋_GB2312" w:hAnsi="ˎ̥" w:eastAsia="仿宋_GB2312"/>
          <w:color w:val="auto"/>
          <w:sz w:val="32"/>
          <w:szCs w:val="32"/>
        </w:rPr>
        <w:t>。</w:t>
      </w:r>
    </w:p>
    <w:p w14:paraId="6C2E261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p>
    <w:p w14:paraId="6EAB98C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14:paraId="588683DF">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3,177.67</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3,130.20</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47.47</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7241B08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14:paraId="643B85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14:paraId="0E502A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06BD9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14:paraId="384D17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2AA579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14:paraId="184DD0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101E92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14:paraId="160090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14:paraId="5E6A22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7F0C56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14:paraId="2CDBB1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6DA2D6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14:paraId="1B28ACB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14:paraId="1367A270">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0787B19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14:paraId="732BBD5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2A2F45B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w:t>
      </w:r>
    </w:p>
    <w:p w14:paraId="5E052DF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p>
    <w:p w14:paraId="74B955E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p>
    <w:p w14:paraId="3B818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14:paraId="16F958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14:paraId="72E0C74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w:t>
      </w:r>
      <w:r>
        <w:rPr>
          <w:rFonts w:hint="default" w:ascii="仿宋_GB2312" w:hAnsi="ˎ̥" w:eastAsia="仿宋_GB2312" w:cs="仿宋_GB2312"/>
          <w:color w:val="auto"/>
          <w:kern w:val="0"/>
          <w:sz w:val="32"/>
          <w:szCs w:val="32"/>
        </w:rPr>
        <w:t>儋州市思源实验学校</w:t>
      </w:r>
      <w:r>
        <w:rPr>
          <w:rFonts w:hint="eastAsia" w:ascii="仿宋_GB2312" w:eastAsia="仿宋_GB2312"/>
          <w:color w:val="auto"/>
          <w:sz w:val="32"/>
          <w:szCs w:val="32"/>
        </w:rPr>
        <w:t>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w:t>
      </w:r>
      <w:r>
        <w:rPr>
          <w:rFonts w:hint="eastAsia" w:ascii="仿宋_GB2312" w:eastAsia="仿宋_GB2312"/>
          <w:color w:val="auto"/>
          <w:sz w:val="32"/>
          <w:szCs w:val="32"/>
          <w:lang w:val="en-US" w:eastAsia="zh-CN"/>
        </w:rPr>
        <w:t>538.47</w:t>
      </w:r>
      <w:r>
        <w:rPr>
          <w:rFonts w:hint="eastAsia" w:ascii="仿宋_GB2312" w:eastAsia="仿宋_GB2312"/>
          <w:color w:val="auto"/>
          <w:sz w:val="32"/>
          <w:szCs w:val="32"/>
          <w:lang w:val="en-US" w:eastAsia="zh-CN"/>
        </w:rPr>
        <w:t>万元，占一般公共预算项目支出总额的</w:t>
      </w:r>
      <w:r>
        <w:rPr>
          <w:rFonts w:hint="eastAsia" w:ascii="仿宋_GB2312" w:eastAsia="仿宋_GB2312"/>
          <w:color w:val="auto"/>
          <w:sz w:val="32"/>
          <w:szCs w:val="32"/>
          <w:lang w:val="en-US" w:eastAsia="zh-CN"/>
        </w:rPr>
        <w:t>14.52</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w:t>
      </w:r>
    </w:p>
    <w:p w14:paraId="63E77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教育合作与交流、公办中小学空调配置</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rPr>
        <w:t>538.47</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p>
    <w:p w14:paraId="7738EAB3">
      <w:pPr>
        <w:keepNext w:val="0"/>
        <w:keepLines w:val="0"/>
        <w:widowControl/>
        <w:suppressLineNumbers w:val="0"/>
        <w:spacing w:before="0" w:beforeAutospacing="0" w:after="100" w:afterAutospacing="1" w:line="578" w:lineRule="exact"/>
        <w:ind w:left="0" w:right="0" w:firstLine="640" w:firstLineChars="200"/>
        <w:jc w:val="left"/>
        <w:rPr>
          <w:rFonts w:hint="default" w:ascii="仿宋_GB2312" w:hAnsi="宋体" w:eastAsia="仿宋_GB2312" w:cs="仿宋_GB2312"/>
          <w:color w:val="auto"/>
          <w:kern w:val="0"/>
          <w:sz w:val="32"/>
          <w:szCs w:val="32"/>
          <w:shd w:val="clear" w:color="auto" w:fill="FFFFFF"/>
        </w:rPr>
      </w:pPr>
      <w:r>
        <w:rPr>
          <w:rFonts w:hint="default" w:ascii="仿宋_GB2312" w:hAnsi="宋体" w:eastAsia="仿宋_GB2312" w:cs="仿宋_GB2312"/>
          <w:color w:val="auto"/>
          <w:kern w:val="0"/>
          <w:sz w:val="32"/>
          <w:szCs w:val="32"/>
          <w:shd w:val="clear" w:color="auto" w:fill="FFFFFF"/>
        </w:rPr>
        <w:t>共组织对“</w:t>
      </w:r>
      <w:r>
        <w:rPr>
          <w:rFonts w:hint="eastAsia" w:ascii="仿宋_GB2312" w:eastAsia="仿宋_GB2312"/>
          <w:color w:val="auto"/>
          <w:sz w:val="32"/>
          <w:szCs w:val="32"/>
          <w:lang w:val="en-US" w:eastAsia="zh-CN"/>
        </w:rPr>
        <w:t>教育合作与交流、公办中小学空调配置</w:t>
      </w:r>
      <w:r>
        <w:rPr>
          <w:rFonts w:hint="default" w:ascii="仿宋_GB2312" w:hAnsi="宋体" w:eastAsia="仿宋_GB2312" w:cs="仿宋_GB2312"/>
          <w:color w:val="auto"/>
          <w:kern w:val="0"/>
          <w:sz w:val="32"/>
          <w:szCs w:val="32"/>
          <w:shd w:val="clear" w:color="auto" w:fill="FFFFFF"/>
        </w:rPr>
        <w:t>”等</w:t>
      </w:r>
      <w:r>
        <w:rPr>
          <w:rFonts w:hint="eastAsia" w:ascii="仿宋_GB2312" w:hAnsi="宋体" w:eastAsia="仿宋_GB2312" w:cs="仿宋_GB2312"/>
          <w:color w:val="auto"/>
          <w:kern w:val="0"/>
          <w:sz w:val="32"/>
          <w:szCs w:val="32"/>
          <w:shd w:val="clear" w:color="auto" w:fill="FFFFFF"/>
          <w:lang w:val="en-US" w:eastAsia="zh-CN"/>
        </w:rPr>
        <w:t>12</w:t>
      </w:r>
      <w:r>
        <w:rPr>
          <w:rFonts w:hint="default" w:ascii="仿宋_GB2312" w:hAnsi="宋体" w:eastAsia="仿宋_GB2312" w:cs="仿宋_GB2312"/>
          <w:color w:val="auto"/>
          <w:kern w:val="0"/>
          <w:sz w:val="32"/>
          <w:szCs w:val="32"/>
          <w:shd w:val="clear" w:color="auto" w:fill="FFFFFF"/>
        </w:rPr>
        <w:t>个项目开展了部门评价，涉及资金</w:t>
      </w:r>
      <w:r>
        <w:rPr>
          <w:rFonts w:hint="eastAsia" w:ascii="仿宋_GB2312" w:eastAsia="仿宋_GB2312"/>
          <w:color w:val="auto"/>
          <w:sz w:val="32"/>
          <w:szCs w:val="32"/>
          <w:lang w:val="en-US" w:eastAsia="zh-CN"/>
        </w:rPr>
        <w:t>538.47</w:t>
      </w:r>
      <w:r>
        <w:rPr>
          <w:rFonts w:hint="default" w:ascii="仿宋_GB2312" w:hAnsi="宋体" w:eastAsia="仿宋_GB2312" w:cs="仿宋_GB2312"/>
          <w:color w:val="auto"/>
          <w:kern w:val="0"/>
          <w:sz w:val="32"/>
          <w:szCs w:val="32"/>
          <w:shd w:val="clear" w:color="auto" w:fill="FFFFFF"/>
        </w:rPr>
        <w:t>万元。从评价情况来看，能按预算、按进度完成。</w:t>
      </w:r>
    </w:p>
    <w:p w14:paraId="7FDC3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14:paraId="42D67D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15565_WPSOffice_Level2"/>
      <w:bookmarkStart w:id="96" w:name="_Toc18325_WPSOffice_Level2"/>
      <w:bookmarkStart w:id="97" w:name="_Toc23598_WPSOffice_Level2"/>
      <w:bookmarkStart w:id="98" w:name="_Toc15262_WPSOffice_Level2"/>
      <w:bookmarkStart w:id="99" w:name="_Toc32639_WPSOffice_Level2"/>
      <w:bookmarkStart w:id="100" w:name="_Toc5978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14:paraId="3938F2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default" w:ascii="仿宋_GB2312" w:hAnsi="ˎ̥" w:eastAsia="仿宋_GB2312" w:cs="仿宋_GB2312"/>
          <w:color w:val="auto"/>
          <w:kern w:val="0"/>
          <w:sz w:val="32"/>
          <w:szCs w:val="32"/>
        </w:rPr>
        <w:t>儋州市思源实验学校</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14:paraId="32FB8A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3131_WPSOffice_Level2"/>
      <w:bookmarkStart w:id="102" w:name="_Toc23966_WPSOffice_Level2"/>
      <w:bookmarkStart w:id="103" w:name="_Toc25333_WPSOffice_Level2"/>
      <w:bookmarkStart w:id="104" w:name="_Toc32689_WPSOffice_Level2"/>
      <w:bookmarkStart w:id="105" w:name="_Toc13084_WPSOffice_Level2"/>
      <w:bookmarkStart w:id="106" w:name="_Toc30383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14:paraId="5D7FFA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default" w:ascii="仿宋_GB2312" w:hAnsi="ˎ̥" w:eastAsia="仿宋_GB2312" w:cs="仿宋_GB2312"/>
          <w:color w:val="auto"/>
          <w:kern w:val="0"/>
          <w:sz w:val="32"/>
          <w:szCs w:val="32"/>
        </w:rPr>
        <w:t>儋州市思源实验学校</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14:paraId="3061DC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19989_WPSOffice_Level2"/>
      <w:bookmarkStart w:id="108" w:name="_Toc527_WPSOffice_Level2"/>
      <w:bookmarkStart w:id="109" w:name="_Toc15129_WPSOffice_Level2"/>
      <w:bookmarkStart w:id="110" w:name="_Toc6016_WPSOffice_Level2"/>
      <w:bookmarkStart w:id="111" w:name="_Toc10902_WPSOffice_Level2"/>
      <w:bookmarkStart w:id="112" w:name="_Toc29584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14:paraId="4FC4F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default" w:ascii="仿宋_GB2312" w:hAnsi="ˎ̥" w:eastAsia="仿宋_GB2312"/>
          <w:color w:val="auto"/>
          <w:sz w:val="32"/>
          <w:szCs w:val="32"/>
          <w:lang w:val="en-US"/>
        </w:rPr>
        <w:t>21143.4</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14:paraId="38D1008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ˎ̥" w:eastAsia="黑体"/>
          <w:color w:val="auto"/>
          <w:sz w:val="32"/>
          <w:szCs w:val="32"/>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bookmarkStart w:id="113" w:name="_Toc4398_WPSOffice_Level1"/>
      <w:bookmarkStart w:id="114" w:name="_Toc15425_WPSOffice_Level1"/>
      <w:bookmarkStart w:id="115" w:name="_Toc11039_WPSOffice_Level1"/>
      <w:bookmarkStart w:id="116" w:name="_Toc8874_WPSOffice_Level1"/>
      <w:bookmarkStart w:id="117" w:name="_Toc17580_WPSOffice_Level1"/>
      <w:bookmarkStart w:id="118" w:name="_Toc8808_WPSOffice_Level1"/>
    </w:p>
    <w:p w14:paraId="7D7EA2A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14:paraId="20DF719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14:paraId="70B2D6DD">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14:paraId="7CB011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14:paraId="615F44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14:paraId="2DDD1A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14:paraId="1C1D4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14:paraId="2FC801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14:paraId="742CA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14:paraId="532391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14:paraId="63B3F8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14:paraId="72D514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14:paraId="7314EB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14:paraId="1ACBFE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419A08C7">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bookmarkEnd w:id="119"/>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1BD1ED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7FD91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DC411C35"/>
    <w:multiLevelType w:val="singleLevel"/>
    <w:tmpl w:val="DC411C35"/>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390BCC"/>
    <w:rsid w:val="031211A1"/>
    <w:rsid w:val="03125B78"/>
    <w:rsid w:val="049E06BA"/>
    <w:rsid w:val="088C1F29"/>
    <w:rsid w:val="0911125B"/>
    <w:rsid w:val="09201287"/>
    <w:rsid w:val="09383E5F"/>
    <w:rsid w:val="0B5E6278"/>
    <w:rsid w:val="0B666A61"/>
    <w:rsid w:val="0B7C479D"/>
    <w:rsid w:val="0D274559"/>
    <w:rsid w:val="0DC67C8B"/>
    <w:rsid w:val="0E792F4F"/>
    <w:rsid w:val="0FC80124"/>
    <w:rsid w:val="0FCD3553"/>
    <w:rsid w:val="11AE2F10"/>
    <w:rsid w:val="12006B07"/>
    <w:rsid w:val="13201BEB"/>
    <w:rsid w:val="136F98C7"/>
    <w:rsid w:val="1568787A"/>
    <w:rsid w:val="156C736A"/>
    <w:rsid w:val="16DC407B"/>
    <w:rsid w:val="17427E68"/>
    <w:rsid w:val="1755065F"/>
    <w:rsid w:val="199F0177"/>
    <w:rsid w:val="19BE3F0C"/>
    <w:rsid w:val="1A26202C"/>
    <w:rsid w:val="1AFC29C9"/>
    <w:rsid w:val="1B187BD3"/>
    <w:rsid w:val="1CA52F2E"/>
    <w:rsid w:val="1D0A6CE0"/>
    <w:rsid w:val="1D5801D4"/>
    <w:rsid w:val="1DAF24EA"/>
    <w:rsid w:val="1E2F362A"/>
    <w:rsid w:val="1E3630B9"/>
    <w:rsid w:val="1FBE6A14"/>
    <w:rsid w:val="20340A84"/>
    <w:rsid w:val="20A56E64"/>
    <w:rsid w:val="213C2E87"/>
    <w:rsid w:val="22106A67"/>
    <w:rsid w:val="22573150"/>
    <w:rsid w:val="230E380E"/>
    <w:rsid w:val="23D11B74"/>
    <w:rsid w:val="240469B8"/>
    <w:rsid w:val="25C32FD6"/>
    <w:rsid w:val="26B7240F"/>
    <w:rsid w:val="26EEC2B5"/>
    <w:rsid w:val="27930786"/>
    <w:rsid w:val="27BF5A1F"/>
    <w:rsid w:val="28B766F6"/>
    <w:rsid w:val="28FB2A87"/>
    <w:rsid w:val="29472309"/>
    <w:rsid w:val="2A014ED6"/>
    <w:rsid w:val="2A7412A2"/>
    <w:rsid w:val="2B02634F"/>
    <w:rsid w:val="2B0C003B"/>
    <w:rsid w:val="2B406E77"/>
    <w:rsid w:val="2C2A0C43"/>
    <w:rsid w:val="2CD55F05"/>
    <w:rsid w:val="2D1E73A5"/>
    <w:rsid w:val="300814FC"/>
    <w:rsid w:val="3100742C"/>
    <w:rsid w:val="3166515D"/>
    <w:rsid w:val="31F938DC"/>
    <w:rsid w:val="32717154"/>
    <w:rsid w:val="32CD58C4"/>
    <w:rsid w:val="32E7407C"/>
    <w:rsid w:val="33136C1F"/>
    <w:rsid w:val="33BF20F1"/>
    <w:rsid w:val="34414DE6"/>
    <w:rsid w:val="34727975"/>
    <w:rsid w:val="34B63260"/>
    <w:rsid w:val="3529144F"/>
    <w:rsid w:val="37873738"/>
    <w:rsid w:val="37FDA7E2"/>
    <w:rsid w:val="38033706"/>
    <w:rsid w:val="391F631E"/>
    <w:rsid w:val="39A25466"/>
    <w:rsid w:val="39C173D5"/>
    <w:rsid w:val="39D32C64"/>
    <w:rsid w:val="3A314D88"/>
    <w:rsid w:val="3A746883"/>
    <w:rsid w:val="3BE850ED"/>
    <w:rsid w:val="3C4816E7"/>
    <w:rsid w:val="3CA15DE9"/>
    <w:rsid w:val="3DA9265A"/>
    <w:rsid w:val="3E774506"/>
    <w:rsid w:val="3EF618CF"/>
    <w:rsid w:val="3F4544CE"/>
    <w:rsid w:val="3FE61EE5"/>
    <w:rsid w:val="40352E69"/>
    <w:rsid w:val="406508EE"/>
    <w:rsid w:val="408D6263"/>
    <w:rsid w:val="41B40CEE"/>
    <w:rsid w:val="41B63597"/>
    <w:rsid w:val="432E02B3"/>
    <w:rsid w:val="45A831F7"/>
    <w:rsid w:val="460166A3"/>
    <w:rsid w:val="48317291"/>
    <w:rsid w:val="485F7024"/>
    <w:rsid w:val="48E70666"/>
    <w:rsid w:val="49530DF3"/>
    <w:rsid w:val="4AAD305D"/>
    <w:rsid w:val="4B1B26BD"/>
    <w:rsid w:val="4B221C9D"/>
    <w:rsid w:val="4C6877E5"/>
    <w:rsid w:val="4D094EC3"/>
    <w:rsid w:val="4D6A468D"/>
    <w:rsid w:val="4D6C4E58"/>
    <w:rsid w:val="4D9549A9"/>
    <w:rsid w:val="4DC5749E"/>
    <w:rsid w:val="4E04568A"/>
    <w:rsid w:val="4EA86137"/>
    <w:rsid w:val="4EC2357B"/>
    <w:rsid w:val="4ECC61A8"/>
    <w:rsid w:val="4F3B6779"/>
    <w:rsid w:val="4F8B6063"/>
    <w:rsid w:val="50267B3A"/>
    <w:rsid w:val="509B0528"/>
    <w:rsid w:val="521A722A"/>
    <w:rsid w:val="5587107B"/>
    <w:rsid w:val="569C6DA8"/>
    <w:rsid w:val="56CA7FD0"/>
    <w:rsid w:val="57FA38D1"/>
    <w:rsid w:val="59143827"/>
    <w:rsid w:val="598F49A2"/>
    <w:rsid w:val="5A3E6243"/>
    <w:rsid w:val="5BAC183B"/>
    <w:rsid w:val="5BEA4111"/>
    <w:rsid w:val="5E435D5B"/>
    <w:rsid w:val="5E453881"/>
    <w:rsid w:val="5E541D16"/>
    <w:rsid w:val="5E897C12"/>
    <w:rsid w:val="5F7D3333"/>
    <w:rsid w:val="5F9C3975"/>
    <w:rsid w:val="601D33A8"/>
    <w:rsid w:val="61385890"/>
    <w:rsid w:val="616E410C"/>
    <w:rsid w:val="61D45648"/>
    <w:rsid w:val="624F6F55"/>
    <w:rsid w:val="66FE4F15"/>
    <w:rsid w:val="67281F92"/>
    <w:rsid w:val="67CE2B39"/>
    <w:rsid w:val="67FD51CC"/>
    <w:rsid w:val="687436E1"/>
    <w:rsid w:val="68B336C4"/>
    <w:rsid w:val="68F1328B"/>
    <w:rsid w:val="69107EE6"/>
    <w:rsid w:val="69B53FB1"/>
    <w:rsid w:val="6C3A079D"/>
    <w:rsid w:val="6C81461E"/>
    <w:rsid w:val="6CD7423E"/>
    <w:rsid w:val="6DA45C50"/>
    <w:rsid w:val="6E4E6782"/>
    <w:rsid w:val="6E9A7825"/>
    <w:rsid w:val="6F670F9B"/>
    <w:rsid w:val="6F6F4C02"/>
    <w:rsid w:val="717C3606"/>
    <w:rsid w:val="722515A8"/>
    <w:rsid w:val="72BD7A32"/>
    <w:rsid w:val="73025D8D"/>
    <w:rsid w:val="737450E0"/>
    <w:rsid w:val="74054476"/>
    <w:rsid w:val="741144D9"/>
    <w:rsid w:val="742F38C4"/>
    <w:rsid w:val="74AB66DC"/>
    <w:rsid w:val="74C4154C"/>
    <w:rsid w:val="7561323F"/>
    <w:rsid w:val="75956FFF"/>
    <w:rsid w:val="77AA2D01"/>
    <w:rsid w:val="78511DEA"/>
    <w:rsid w:val="787E7C64"/>
    <w:rsid w:val="79BF3236"/>
    <w:rsid w:val="79C45B4A"/>
    <w:rsid w:val="7B7B29CB"/>
    <w:rsid w:val="7BB165E1"/>
    <w:rsid w:val="7C036DFE"/>
    <w:rsid w:val="7CDE1DBD"/>
    <w:rsid w:val="7D943A85"/>
    <w:rsid w:val="7DB0448C"/>
    <w:rsid w:val="7E5F9AA4"/>
    <w:rsid w:val="7EB73ECF"/>
    <w:rsid w:val="7F345520"/>
    <w:rsid w:val="7F7B36F2"/>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customStyle="1" w:styleId="18">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4409</Words>
  <Characters>4922</Characters>
  <Lines>67</Lines>
  <Paragraphs>18</Paragraphs>
  <TotalTime>15</TotalTime>
  <ScaleCrop>false</ScaleCrop>
  <LinksUpToDate>false</LinksUpToDate>
  <CharactersWithSpaces>4996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知足常乐</cp:lastModifiedBy>
  <cp:lastPrinted>2023-08-03T00:58:00Z</cp:lastPrinted>
  <dcterms:modified xsi:type="dcterms:W3CDTF">2025-09-10T01:56:34Z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03AE7F14E2DC4BACB053764200FF950D_13</vt:lpwstr>
  </property>
  <property fmtid="{D5CDD505-2E9C-101B-9397-08002B2CF9AE}" pid="4" name="KSOTemplateDocerSaveRecord">
    <vt:lpwstr>eyJoZGlkIjoiOGE5M2VhMDdiODQ3YTdmOGNmYWY5YTY2NTM3MjQzMWQiLCJ1c2VySWQiOiI5MzA0MTkwNTUifQ==</vt:lpwstr>
  </property>
</Properties>
</file>