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黑体"/>
          <w:b/>
          <w:bCs/>
          <w:sz w:val="44"/>
          <w:szCs w:val="44"/>
        </w:rPr>
      </w:pPr>
      <w:r>
        <w:rPr>
          <w:rFonts w:hint="eastAsia" w:ascii="宋体" w:hAnsi="宋体" w:cs="黑体"/>
          <w:b/>
          <w:bCs/>
          <w:sz w:val="44"/>
          <w:szCs w:val="44"/>
          <w:lang w:eastAsia="zh-CN"/>
        </w:rPr>
        <w:t>2024</w:t>
      </w:r>
      <w:r>
        <w:rPr>
          <w:rFonts w:hint="eastAsia" w:ascii="宋体" w:hAnsi="宋体" w:cs="黑体"/>
          <w:b/>
          <w:bCs/>
          <w:sz w:val="44"/>
          <w:szCs w:val="44"/>
        </w:rPr>
        <w:t>年儋州市雅星镇转移支付</w:t>
      </w:r>
    </w:p>
    <w:p>
      <w:pPr>
        <w:jc w:val="center"/>
        <w:rPr>
          <w:rFonts w:hint="eastAsia" w:ascii="宋体" w:hAnsi="宋体" w:cs="黑体"/>
          <w:b/>
          <w:bCs/>
          <w:sz w:val="44"/>
          <w:szCs w:val="44"/>
        </w:rPr>
      </w:pPr>
      <w:r>
        <w:rPr>
          <w:rFonts w:hint="eastAsia" w:ascii="宋体" w:hAnsi="宋体" w:cs="黑体"/>
          <w:b/>
          <w:bCs/>
          <w:sz w:val="44"/>
          <w:szCs w:val="44"/>
          <w:lang w:eastAsia="zh-CN"/>
        </w:rPr>
        <w:t>执行</w:t>
      </w:r>
      <w:r>
        <w:rPr>
          <w:rFonts w:hint="eastAsia" w:ascii="宋体" w:hAnsi="宋体" w:cs="黑体"/>
          <w:b/>
          <w:bCs/>
          <w:sz w:val="44"/>
          <w:szCs w:val="44"/>
        </w:rPr>
        <w:t>情况说明</w:t>
      </w:r>
    </w:p>
    <w:p>
      <w:pPr>
        <w:ind w:firstLine="640"/>
        <w:rPr>
          <w:rFonts w:hint="eastAsia" w:ascii="黑体" w:hAnsi="黑体" w:eastAsia="黑体" w:cs="黑体"/>
          <w:b/>
          <w:bCs/>
          <w:sz w:val="44"/>
          <w:szCs w:val="44"/>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根据《儋州市财政局关于核定新分税制财政体制下市对乡镇体制补助的通知》（儋财预[2018]1318号）文件，镇级收入纳入市级统筹管理，核定镇级支出基数后由市级进行转移支付。</w:t>
      </w:r>
    </w:p>
    <w:p>
      <w:pPr>
        <w:ind w:firstLine="64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年儋州市对雅星镇转移支付一般性转移支付2602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4340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专项转移支付6503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1852万元，转移支付总计9105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6193万元。 一般性转移支付资金</w:t>
      </w:r>
      <w:r>
        <w:rPr>
          <w:rFonts w:hint="eastAsia" w:ascii="仿宋_GB2312" w:hAnsi="仿宋_GB2312" w:eastAsia="仿宋_GB2312" w:cs="仿宋_GB2312"/>
          <w:sz w:val="32"/>
          <w:szCs w:val="32"/>
        </w:rPr>
        <w:t>由镇本级统筹安排用于镇府在编人员工资及保险费、各居工作人员薪酬待遇保障经费、各村（社区）工作经费、村两委工作人员补贴、环境卫生整治、基础设施建设等</w:t>
      </w:r>
      <w:bookmarkStart w:id="0" w:name="_GoBack"/>
      <w:bookmarkEnd w:id="0"/>
      <w:r>
        <w:rPr>
          <w:rFonts w:hint="eastAsia" w:ascii="仿宋_GB2312" w:hAnsi="仿宋_GB2312" w:eastAsia="仿宋_GB2312" w:cs="仿宋_GB2312"/>
          <w:sz w:val="32"/>
          <w:szCs w:val="32"/>
        </w:rPr>
        <w:t>。专项转移支付</w:t>
      </w:r>
      <w:r>
        <w:rPr>
          <w:rFonts w:hint="eastAsia" w:ascii="仿宋_GB2312" w:hAnsi="仿宋_GB2312" w:eastAsia="仿宋_GB2312" w:cs="仿宋_GB2312"/>
          <w:sz w:val="32"/>
          <w:szCs w:val="32"/>
          <w:lang w:eastAsia="zh-CN"/>
        </w:rPr>
        <w:t>资金按专项指标文件规定用途支出，主要支出为财政衔接推进乡村振兴补助项目、公路养护项目、美丽乡村建设项目等。</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617FFF"/>
    <w:rsid w:val="2D617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那大镇</Company>
  <Pages>1</Pages>
  <Words>0</Words>
  <Characters>0</Characters>
  <Lines>0</Lines>
  <Paragraphs>0</Paragraphs>
  <TotalTime>4</TotalTime>
  <ScaleCrop>false</ScaleCrop>
  <LinksUpToDate>false</LinksUpToDate>
  <CharactersWithSpaces>0</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2025-11-25T08:13:00Z</dcterms:created>
  <dc:creator>Administrator</dc:creator>
  <cp:lastModifiedBy>Administrator</cp:lastModifiedBy>
  <dcterms:modified xsi:type="dcterms:W3CDTF">2025-11-25T08:18:32Z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