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b/>
          <w:bCs/>
          <w:sz w:val="44"/>
          <w:szCs w:val="44"/>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7</w:t>
      </w:r>
    </w:p>
    <w:p>
      <w:pPr>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纳税人延期申报</w:t>
      </w:r>
      <w:r>
        <w:rPr>
          <w:rFonts w:hint="eastAsia" w:ascii="方正小标宋_GBK" w:hAnsi="方正小标宋_GBK" w:eastAsia="方正小标宋_GBK" w:cs="方正小标宋_GBK"/>
          <w:b w:val="0"/>
          <w:bCs w:val="0"/>
          <w:sz w:val="44"/>
          <w:szCs w:val="44"/>
          <w:lang w:eastAsia="zh-CN"/>
        </w:rPr>
        <w:t>核准流程</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事项名称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对纳税人延期申报的核准</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二、申请条件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因人们无法预见、无法避免、无法克服的自然灾害，如水灾、火灾、风灾、地震等不可抗力，不能按期办理纳税申报或者报送代扣代缴、代收代缴税款报告表的，可以延期办理。但应当在不可抗力情形消除后立即向税务机关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因财务处理上的特殊原因，账务未处理完毕，不能计算应纳税额，按照规定的期限办理纳税申报或者报送代扣代缴、代收代缴税款报告表确有困难，需要延期的。</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设定依据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《中华人民共和国税收征收管理法》第二十七条第一款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《中华人民共和国税收征收管理法实施细则》第三十七条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p>
    <w:p>
      <w:pPr>
        <w:numPr>
          <w:ilvl w:val="0"/>
          <w:numId w:val="1"/>
        </w:numPr>
        <w:ind w:firstLine="640" w:firstLineChars="200"/>
        <w:rPr>
          <w:rFonts w:hint="eastAsia" w:ascii="黑体" w:hAnsi="黑体" w:eastAsia="黑体" w:cs="黑体"/>
          <w:sz w:val="32"/>
          <w:szCs w:val="32"/>
        </w:rPr>
      </w:pPr>
      <w:r>
        <w:rPr>
          <w:rFonts w:hint="eastAsia" w:ascii="黑体" w:hAnsi="黑体" w:eastAsia="黑体" w:cs="黑体"/>
          <w:sz w:val="32"/>
          <w:szCs w:val="32"/>
        </w:rPr>
        <w:t>办理材料</w:t>
      </w:r>
    </w:p>
    <w:tbl>
      <w:tblPr>
        <w:tblStyle w:val="5"/>
        <w:tblW w:w="8160"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5"/>
        <w:gridCol w:w="1725"/>
        <w:gridCol w:w="2820"/>
        <w:gridCol w:w="675"/>
        <w:gridCol w:w="226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855" w:hRule="atLeast"/>
          <w:jc w:val="center"/>
        </w:trPr>
        <w:tc>
          <w:tcPr>
            <w:tcW w:w="675"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序号</w:t>
            </w:r>
          </w:p>
        </w:tc>
        <w:tc>
          <w:tcPr>
            <w:tcW w:w="4545" w:type="dxa"/>
            <w:gridSpan w:val="2"/>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材料名称</w:t>
            </w:r>
          </w:p>
        </w:tc>
        <w:tc>
          <w:tcPr>
            <w:tcW w:w="675"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数量</w:t>
            </w:r>
          </w:p>
        </w:tc>
        <w:tc>
          <w:tcPr>
            <w:tcW w:w="2265"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675"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1</w:t>
            </w:r>
          </w:p>
        </w:tc>
        <w:tc>
          <w:tcPr>
            <w:tcW w:w="4545" w:type="dxa"/>
            <w:gridSpan w:val="2"/>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《税务行政许可申请表》</w:t>
            </w:r>
          </w:p>
        </w:tc>
        <w:tc>
          <w:tcPr>
            <w:tcW w:w="675"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1份</w:t>
            </w:r>
          </w:p>
        </w:tc>
        <w:tc>
          <w:tcPr>
            <w:tcW w:w="2265"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675"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2</w:t>
            </w:r>
          </w:p>
        </w:tc>
        <w:tc>
          <w:tcPr>
            <w:tcW w:w="4545" w:type="dxa"/>
            <w:gridSpan w:val="2"/>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经办人身份证件原件</w:t>
            </w:r>
          </w:p>
        </w:tc>
        <w:tc>
          <w:tcPr>
            <w:tcW w:w="675"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1份</w:t>
            </w:r>
          </w:p>
        </w:tc>
        <w:tc>
          <w:tcPr>
            <w:tcW w:w="2265"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查验后退回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8160" w:type="dxa"/>
            <w:gridSpan w:val="5"/>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有以下情形的，还应提供相应材料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5" w:hRule="atLeast"/>
          <w:jc w:val="center"/>
        </w:trPr>
        <w:tc>
          <w:tcPr>
            <w:tcW w:w="2400" w:type="dxa"/>
            <w:gridSpan w:val="2"/>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适用情形</w:t>
            </w:r>
          </w:p>
        </w:tc>
        <w:tc>
          <w:tcPr>
            <w:tcW w:w="2820"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材料名称</w:t>
            </w:r>
          </w:p>
        </w:tc>
        <w:tc>
          <w:tcPr>
            <w:tcW w:w="675"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数量</w:t>
            </w:r>
          </w:p>
        </w:tc>
        <w:tc>
          <w:tcPr>
            <w:tcW w:w="2265"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55" w:hRule="atLeast"/>
          <w:jc w:val="center"/>
        </w:trPr>
        <w:tc>
          <w:tcPr>
            <w:tcW w:w="2400" w:type="dxa"/>
            <w:gridSpan w:val="2"/>
            <w:vMerge w:val="restart"/>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委托代理人提出申请</w:t>
            </w:r>
          </w:p>
        </w:tc>
        <w:tc>
          <w:tcPr>
            <w:tcW w:w="2820"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代理委托书</w:t>
            </w:r>
          </w:p>
        </w:tc>
        <w:tc>
          <w:tcPr>
            <w:tcW w:w="675" w:type="dxa"/>
            <w:vMerge w:val="restart"/>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1份</w:t>
            </w:r>
          </w:p>
        </w:tc>
        <w:tc>
          <w:tcPr>
            <w:tcW w:w="2265"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25" w:hRule="atLeast"/>
          <w:jc w:val="center"/>
        </w:trPr>
        <w:tc>
          <w:tcPr>
            <w:tcW w:w="2400" w:type="dxa"/>
            <w:gridSpan w:val="2"/>
            <w:vMerge w:val="continue"/>
            <w:shd w:val="clear" w:color="auto" w:fill="auto"/>
            <w:vAlign w:val="center"/>
          </w:tcPr>
          <w:p>
            <w:pPr>
              <w:rPr>
                <w:rFonts w:hint="eastAsia" w:ascii="仿宋" w:hAnsi="仿宋" w:eastAsia="仿宋" w:cs="仿宋"/>
                <w:sz w:val="32"/>
                <w:szCs w:val="32"/>
              </w:rPr>
            </w:pPr>
          </w:p>
        </w:tc>
        <w:tc>
          <w:tcPr>
            <w:tcW w:w="2820"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代理人身份证件原件</w:t>
            </w:r>
          </w:p>
        </w:tc>
        <w:tc>
          <w:tcPr>
            <w:tcW w:w="675" w:type="dxa"/>
            <w:vMerge w:val="continue"/>
            <w:shd w:val="clear" w:color="auto" w:fill="auto"/>
            <w:vAlign w:val="center"/>
          </w:tcPr>
          <w:p>
            <w:pPr>
              <w:rPr>
                <w:rFonts w:hint="eastAsia" w:ascii="仿宋" w:hAnsi="仿宋" w:eastAsia="仿宋" w:cs="仿宋"/>
                <w:sz w:val="32"/>
                <w:szCs w:val="32"/>
              </w:rPr>
            </w:pPr>
          </w:p>
        </w:tc>
        <w:tc>
          <w:tcPr>
            <w:tcW w:w="2265" w:type="dxa"/>
            <w:shd w:val="clear" w:color="auto" w:fill="auto"/>
            <w:vAlign w:val="center"/>
          </w:tcPr>
          <w:p>
            <w:pPr>
              <w:pStyle w:val="4"/>
              <w:keepNext w:val="0"/>
              <w:keepLines w:val="0"/>
              <w:widowControl/>
              <w:suppressLineNumbers w:val="0"/>
              <w:spacing w:line="15" w:lineRule="atLeast"/>
              <w:rPr>
                <w:rFonts w:hint="eastAsia" w:ascii="仿宋" w:hAnsi="仿宋" w:eastAsia="仿宋" w:cs="仿宋"/>
                <w:sz w:val="32"/>
                <w:szCs w:val="32"/>
              </w:rPr>
            </w:pPr>
            <w:r>
              <w:rPr>
                <w:rFonts w:hint="eastAsia" w:ascii="仿宋" w:hAnsi="仿宋" w:eastAsia="仿宋" w:cs="仿宋"/>
                <w:sz w:val="32"/>
                <w:szCs w:val="32"/>
              </w:rPr>
              <w:t>查验后退回</w:t>
            </w:r>
          </w:p>
        </w:tc>
      </w:tr>
    </w:tbl>
    <w:p>
      <w:pPr>
        <w:ind w:firstLine="640" w:firstLineChars="200"/>
        <w:rPr>
          <w:rFonts w:hint="eastAsia" w:ascii="黑体" w:hAnsi="黑体" w:eastAsia="黑体" w:cs="黑体"/>
          <w:sz w:val="32"/>
          <w:szCs w:val="32"/>
          <w:lang w:eastAsia="zh-CN"/>
        </w:rPr>
      </w:pPr>
    </w:p>
    <w:p>
      <w:pPr>
        <w:ind w:firstLine="640" w:firstLineChars="200"/>
        <w:rPr>
          <w:rFonts w:hint="eastAsia" w:ascii="仿宋" w:hAnsi="仿宋" w:eastAsia="仿宋" w:cs="仿宋"/>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办理地点</w:t>
      </w:r>
      <w:r>
        <w:rPr>
          <w:rFonts w:hint="eastAsia" w:ascii="黑体" w:hAnsi="黑体" w:eastAsia="黑体" w:cs="黑体"/>
          <w:sz w:val="32"/>
          <w:szCs w:val="32"/>
          <w:lang w:eastAsia="zh-CN"/>
        </w:rPr>
        <w:t>及咨询电话</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可通过办税服务厅（场所）</w:t>
      </w:r>
      <w:r>
        <w:rPr>
          <w:rFonts w:hint="eastAsia" w:ascii="仿宋" w:hAnsi="仿宋" w:eastAsia="仿宋" w:cs="仿宋"/>
          <w:sz w:val="32"/>
          <w:szCs w:val="32"/>
          <w:lang w:eastAsia="zh-CN"/>
        </w:rPr>
        <w:t>和</w:t>
      </w:r>
      <w:r>
        <w:rPr>
          <w:rFonts w:hint="eastAsia" w:ascii="仿宋" w:hAnsi="仿宋" w:eastAsia="仿宋" w:cs="仿宋"/>
          <w:sz w:val="32"/>
          <w:szCs w:val="32"/>
        </w:rPr>
        <w:t>电子税务局办理</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办税服务厅办理：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（一）国家税务总局儋州市税务局西区办税服务厅（原国税大厦）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地址：儋州市那大镇中兴大道188号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联系电话：0898-23327222</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（二）国家税务总局儋州市税务局东区办税服务厅(原地税大厦）</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地址儋州市那大镇中兴大道50号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联系电话：0898-23885157</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（三）国家税务总局儋州市税务局白马井办税服务厅</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地址：儋州市白马井镇中六路</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联系电话：0898-23650372</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rPr>
        <w:t>电子税务局</w:t>
      </w:r>
      <w:r>
        <w:rPr>
          <w:rFonts w:hint="eastAsia" w:ascii="仿宋" w:hAnsi="仿宋" w:eastAsia="仿宋" w:cs="仿宋"/>
          <w:b/>
          <w:bCs/>
          <w:sz w:val="32"/>
          <w:szCs w:val="32"/>
          <w:lang w:eastAsia="zh-CN"/>
        </w:rPr>
        <w:t>办理：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网址可从海南省税务局网站“纳税服务”栏目查询。</w:t>
      </w:r>
      <w:r>
        <w:rPr>
          <w:rFonts w:hint="eastAsia" w:ascii="仿宋" w:hAnsi="仿宋" w:eastAsia="仿宋" w:cs="仿宋"/>
          <w:sz w:val="32"/>
          <w:szCs w:val="32"/>
          <w:lang w:eastAsia="zh-CN"/>
        </w:rPr>
        <w:t>也可以直接通过以下网址进入：</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http://etax.hainan.chinatax.gov.cn/</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办理时间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自受理行政许可申请之日起10个工作日内作出行政许可决定；10个工作日内不能作出决定的，经本税务机关负责人批准，可以延长5个工作日。</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办理流程</w:t>
      </w:r>
    </w:p>
    <w:p>
      <w:pPr>
        <w:rPr>
          <w:rFonts w:hint="eastAsia" w:ascii="仿宋" w:hAnsi="仿宋" w:eastAsia="仿宋" w:cs="仿宋"/>
          <w:sz w:val="32"/>
          <w:szCs w:val="32"/>
        </w:rPr>
      </w:pPr>
      <w:r>
        <w:rPr>
          <w:rFonts w:hint="eastAsia" w:ascii="仿宋" w:hAnsi="仿宋" w:eastAsia="仿宋" w:cs="仿宋"/>
          <w:sz w:val="32"/>
          <w:szCs w:val="32"/>
          <w:shd w:val="clear" w:fill="FFFFFF"/>
        </w:rPr>
        <w:fldChar w:fldCharType="begin"/>
      </w:r>
      <w:r>
        <w:rPr>
          <w:rFonts w:hint="eastAsia" w:ascii="仿宋" w:hAnsi="仿宋" w:eastAsia="仿宋" w:cs="仿宋"/>
          <w:sz w:val="32"/>
          <w:szCs w:val="32"/>
          <w:shd w:val="clear" w:fill="FFFFFF"/>
        </w:rPr>
        <w:instrText xml:space="preserve">INCLUDEPICTURE \d "http://hainan.chinatax.gov.cn/u/cms/www/201911/05180009y4cs.jpg" \* MERGEFORMATINET </w:instrText>
      </w:r>
      <w:r>
        <w:rPr>
          <w:rFonts w:hint="eastAsia" w:ascii="仿宋" w:hAnsi="仿宋" w:eastAsia="仿宋" w:cs="仿宋"/>
          <w:sz w:val="32"/>
          <w:szCs w:val="32"/>
          <w:shd w:val="clear" w:fill="FFFFFF"/>
        </w:rPr>
        <w:fldChar w:fldCharType="separate"/>
      </w:r>
      <w:r>
        <w:rPr>
          <w:rFonts w:hint="eastAsia" w:ascii="仿宋" w:hAnsi="仿宋" w:eastAsia="仿宋" w:cs="仿宋"/>
          <w:sz w:val="32"/>
          <w:szCs w:val="32"/>
          <w:shd w:val="clear" w:fill="FFFFFF"/>
        </w:rPr>
        <w:drawing>
          <wp:inline distT="0" distB="0" distL="114300" distR="114300">
            <wp:extent cx="5467350" cy="2000250"/>
            <wp:effectExtent l="0" t="0" r="0" b="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5"/>
                    <a:stretch>
                      <a:fillRect/>
                    </a:stretch>
                  </pic:blipFill>
                  <pic:spPr>
                    <a:xfrm>
                      <a:off x="0" y="0"/>
                      <a:ext cx="5467350" cy="2000250"/>
                    </a:xfrm>
                    <a:prstGeom prst="rect">
                      <a:avLst/>
                    </a:prstGeom>
                    <a:noFill/>
                    <a:ln>
                      <a:noFill/>
                    </a:ln>
                  </pic:spPr>
                </pic:pic>
              </a:graphicData>
            </a:graphic>
          </wp:inline>
        </w:drawing>
      </w:r>
      <w:r>
        <w:rPr>
          <w:rFonts w:hint="eastAsia" w:ascii="仿宋" w:hAnsi="仿宋" w:eastAsia="仿宋" w:cs="仿宋"/>
          <w:sz w:val="32"/>
          <w:szCs w:val="32"/>
          <w:shd w:val="clear" w:fill="FFFFFF"/>
        </w:rPr>
        <w:fldChar w:fldCharType="end"/>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纳税人注意事项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1.纳税人、扣缴义务人对报送材料的真实性和合法性承担责任。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2.文书表单可在海南省税务局网站“下载中心”栏目查询下载或到办税服务厅领取。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3.纳税人、扣缴义务人使用符合电子签名法规定条件的电子签名，与手写签名或者盖章具有同等法律效力。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纳税人、扣缴义务人因不可抗力，不能按期办理纳税申报或者报送代扣代缴、代收代缴税款报告表的，应当在不可抗力情形消除后立即向税务机关报告；因其他原因，按照规定的期限办理纳税申报或者报送代扣代缴、代收代缴税款报告表确有困难，需要延期的，在申报期限内申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5.经核准延期办理前款规定的申报、报送事项的，应当在纳税期内按照上期实际缴纳的税额或者税务机关核定的税额预缴税款，并在核准的延期内办理税款结算。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6.预缴税额大于实际应纳税额的，税务机关结算退税但不向纳税人计退利息，预缴税额小于应纳税额的，在结算补税时不加收滞纳金。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7.纳税人、扣缴义务人经核准延期办理纳税申报的，其随本期申报的财务会计报表报送期限可以顺延。</w:t>
      </w:r>
    </w:p>
    <w:p>
      <w:pPr>
        <w:rPr>
          <w:rFonts w:hint="eastAsia" w:ascii="仿宋" w:hAnsi="仿宋" w:eastAsia="仿宋" w:cs="仿宋"/>
          <w:sz w:val="32"/>
          <w:szCs w:val="32"/>
        </w:rPr>
      </w:pP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方正小标宋简体" w:hAnsi="方正小标宋简体" w:eastAsia="方正小标宋简体" w:cs="方正小标宋简体"/>
          <w:b w:val="0"/>
          <w:bCs w:val="0"/>
          <w:sz w:val="44"/>
          <w:szCs w:val="44"/>
        </w:rPr>
      </w:pPr>
    </w:p>
    <w:p>
      <w:pPr>
        <w:jc w:val="center"/>
        <w:rPr>
          <w:rFonts w:hint="eastAsia" w:ascii="方正小标宋简体" w:hAnsi="方正小标宋简体" w:eastAsia="方正小标宋简体" w:cs="方正小标宋简体"/>
          <w:b w:val="0"/>
          <w:bCs w:val="0"/>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纳税人延期缴纳税款核准</w:t>
      </w:r>
      <w:r>
        <w:rPr>
          <w:rFonts w:hint="eastAsia" w:ascii="方正小标宋简体" w:hAnsi="方正小标宋简体" w:eastAsia="方正小标宋简体" w:cs="方正小标宋简体"/>
          <w:b w:val="0"/>
          <w:bCs w:val="0"/>
          <w:sz w:val="44"/>
          <w:szCs w:val="44"/>
          <w:lang w:eastAsia="zh-CN"/>
        </w:rPr>
        <w:t>流程</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事项名称</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对纳税人延期缴纳税款的核准</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申请条件</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纳税人因有特殊困难，不能按期缴纳税款的，经省、自治区、直辖市、计划单列市税务局批准，可以延期缴纳税款，但是最长不得超过三个月。纳税人有下列情形之一的，属于特殊困难：</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因不可抗力，导致纳税人发生较大损失，正常生产经营活动受到较大影响的；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当期货币资金在扣除应付职工工资、社会保险费后，不足以缴纳税款的。</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设定依据</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《中华人民共和国税收征收管理法》第三十一条第二款</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《中华人民共和国税收征收管理法实施细则》第四十一条、第四十二条第一款</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办理材料</w:t>
      </w:r>
    </w:p>
    <w:tbl>
      <w:tblPr>
        <w:tblStyle w:val="5"/>
        <w:tblW w:w="8160" w:type="dxa"/>
        <w:jc w:val="center"/>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675"/>
        <w:gridCol w:w="1275"/>
        <w:gridCol w:w="3255"/>
        <w:gridCol w:w="675"/>
        <w:gridCol w:w="228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Ex>
        <w:trPr>
          <w:trHeight w:val="855" w:hRule="atLeast"/>
          <w:jc w:val="center"/>
        </w:trPr>
        <w:tc>
          <w:tcPr>
            <w:tcW w:w="675"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序号</w:t>
            </w:r>
          </w:p>
        </w:tc>
        <w:tc>
          <w:tcPr>
            <w:tcW w:w="4530" w:type="dxa"/>
            <w:gridSpan w:val="2"/>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材料名称</w:t>
            </w:r>
          </w:p>
        </w:tc>
        <w:tc>
          <w:tcPr>
            <w:tcW w:w="675"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数量</w:t>
            </w:r>
          </w:p>
        </w:tc>
        <w:tc>
          <w:tcPr>
            <w:tcW w:w="2280"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675"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1</w:t>
            </w:r>
          </w:p>
        </w:tc>
        <w:tc>
          <w:tcPr>
            <w:tcW w:w="4530" w:type="dxa"/>
            <w:gridSpan w:val="2"/>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《税务行政许可申请表》</w:t>
            </w:r>
          </w:p>
        </w:tc>
        <w:tc>
          <w:tcPr>
            <w:tcW w:w="675"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1份</w:t>
            </w:r>
          </w:p>
        </w:tc>
        <w:tc>
          <w:tcPr>
            <w:tcW w:w="2280"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675"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2</w:t>
            </w:r>
          </w:p>
        </w:tc>
        <w:tc>
          <w:tcPr>
            <w:tcW w:w="4530" w:type="dxa"/>
            <w:gridSpan w:val="2"/>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所有银行存款账户的对账单复印件</w:t>
            </w:r>
          </w:p>
        </w:tc>
        <w:tc>
          <w:tcPr>
            <w:tcW w:w="675"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1份</w:t>
            </w:r>
          </w:p>
        </w:tc>
        <w:tc>
          <w:tcPr>
            <w:tcW w:w="2280"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675"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3</w:t>
            </w:r>
          </w:p>
        </w:tc>
        <w:tc>
          <w:tcPr>
            <w:tcW w:w="4530" w:type="dxa"/>
            <w:gridSpan w:val="2"/>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经办人身份证件原件</w:t>
            </w:r>
          </w:p>
        </w:tc>
        <w:tc>
          <w:tcPr>
            <w:tcW w:w="675"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1份</w:t>
            </w:r>
          </w:p>
        </w:tc>
        <w:tc>
          <w:tcPr>
            <w:tcW w:w="2280"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查验后退回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8160" w:type="dxa"/>
            <w:gridSpan w:val="5"/>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有以下情形的，还应提供相应材料</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1950" w:type="dxa"/>
            <w:gridSpan w:val="2"/>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适用情形</w:t>
            </w:r>
          </w:p>
        </w:tc>
        <w:tc>
          <w:tcPr>
            <w:tcW w:w="3255"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材料名称</w:t>
            </w:r>
          </w:p>
        </w:tc>
        <w:tc>
          <w:tcPr>
            <w:tcW w:w="675"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数量</w:t>
            </w:r>
          </w:p>
        </w:tc>
        <w:tc>
          <w:tcPr>
            <w:tcW w:w="2280"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1950" w:type="dxa"/>
            <w:gridSpan w:val="2"/>
            <w:vMerge w:val="restart"/>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委托代理人提出申请</w:t>
            </w:r>
          </w:p>
        </w:tc>
        <w:tc>
          <w:tcPr>
            <w:tcW w:w="3255"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代理委托书</w:t>
            </w:r>
          </w:p>
        </w:tc>
        <w:tc>
          <w:tcPr>
            <w:tcW w:w="675" w:type="dxa"/>
            <w:vMerge w:val="restart"/>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1份</w:t>
            </w:r>
          </w:p>
        </w:tc>
        <w:tc>
          <w:tcPr>
            <w:tcW w:w="2280"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70" w:hRule="atLeast"/>
          <w:jc w:val="center"/>
        </w:trPr>
        <w:tc>
          <w:tcPr>
            <w:tcW w:w="1950" w:type="dxa"/>
            <w:gridSpan w:val="2"/>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p>
        </w:tc>
        <w:tc>
          <w:tcPr>
            <w:tcW w:w="3255"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代理人身份证件原件</w:t>
            </w:r>
          </w:p>
        </w:tc>
        <w:tc>
          <w:tcPr>
            <w:tcW w:w="675" w:type="dxa"/>
            <w:vMerge w:val="continue"/>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p>
        </w:tc>
        <w:tc>
          <w:tcPr>
            <w:tcW w:w="2280" w:type="dxa"/>
            <w:shd w:val="clear" w:color="auto" w:fill="auto"/>
            <w:vAlign w:val="center"/>
          </w:tcPr>
          <w:p>
            <w:pPr>
              <w:pStyle w:val="4"/>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r>
              <w:rPr>
                <w:rFonts w:hint="eastAsia" w:ascii="仿宋" w:hAnsi="仿宋" w:eastAsia="仿宋" w:cs="仿宋"/>
                <w:sz w:val="32"/>
                <w:szCs w:val="32"/>
              </w:rPr>
              <w:t>查验后退回</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0" w:hRule="atLeast"/>
          <w:jc w:val="center"/>
        </w:trPr>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p>
        </w:tc>
        <w:tc>
          <w:tcPr>
            <w:tcW w:w="12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p>
        </w:tc>
        <w:tc>
          <w:tcPr>
            <w:tcW w:w="325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p>
        </w:tc>
        <w:tc>
          <w:tcPr>
            <w:tcW w:w="67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p>
        </w:tc>
        <w:tc>
          <w:tcPr>
            <w:tcW w:w="2280"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jc w:val="center"/>
              <w:textAlignment w:val="auto"/>
              <w:rPr>
                <w:rFonts w:hint="eastAsia" w:ascii="仿宋" w:hAnsi="仿宋" w:eastAsia="仿宋" w:cs="仿宋"/>
                <w:sz w:val="32"/>
                <w:szCs w:val="32"/>
              </w:rPr>
            </w:pPr>
          </w:p>
        </w:tc>
      </w:tr>
    </w:tbl>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办理地点</w:t>
      </w:r>
      <w:r>
        <w:rPr>
          <w:rFonts w:hint="eastAsia" w:ascii="黑体" w:hAnsi="黑体" w:eastAsia="黑体" w:cs="黑体"/>
          <w:sz w:val="32"/>
          <w:szCs w:val="32"/>
          <w:lang w:eastAsia="zh-CN"/>
        </w:rPr>
        <w:t>及咨询电话</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可通过办税服务厅（场所）</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电子税务局办理</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（一）办税服务厅办理：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1.国家税务总局儋州市税务局西区办税服务厅（原国税大厦）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地址：儋州市那大镇中兴大道188号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联系电话：0898-23327222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2.国家税务总局儋州市税务局东区办税服务厅(原地税大厦）</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地址：儋州市那大镇中兴大道50号</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联系电话：0898-23885157</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3.国家税务总局儋州市税务局白马井办税服务厅</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地址：儋州市白马井镇中六路</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联系电话：0898-23650372</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（二）电子税务局办理：</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网址可从海南省税务局网站“纳税服务”栏目查询。</w:t>
      </w:r>
      <w:r>
        <w:rPr>
          <w:rFonts w:hint="eastAsia" w:ascii="仿宋_GB2312" w:hAnsi="仿宋_GB2312" w:eastAsia="仿宋_GB2312" w:cs="仿宋_GB2312"/>
          <w:sz w:val="32"/>
          <w:szCs w:val="32"/>
          <w:lang w:eastAsia="zh-CN"/>
        </w:rPr>
        <w:t>也可以直接通过以下网址进入：</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http://etax.hainan.chinatax.gov.cn/</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办理时间</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在20日内办结</w:t>
      </w:r>
    </w:p>
    <w:p>
      <w:pPr>
        <w:keepNext w:val="0"/>
        <w:keepLines w:val="0"/>
        <w:pageBreakBefore w:val="0"/>
        <w:kinsoku/>
        <w:wordWrap/>
        <w:overflowPunct/>
        <w:topLinePunct w:val="0"/>
        <w:autoSpaceDE/>
        <w:autoSpaceDN/>
        <w:bidi w:val="0"/>
        <w:adjustRightInd/>
        <w:snapToGrid/>
        <w:spacing w:beforeAutospacing="0" w:afterAutospacing="0"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七、</w:t>
      </w:r>
      <w:r>
        <w:rPr>
          <w:rFonts w:hint="eastAsia" w:ascii="黑体" w:hAnsi="黑体" w:eastAsia="黑体" w:cs="黑体"/>
          <w:sz w:val="32"/>
          <w:szCs w:val="32"/>
        </w:rPr>
        <w:t>办理流程</w:t>
      </w:r>
    </w:p>
    <w:p>
      <w:pPr>
        <w:rPr>
          <w:rFonts w:hint="eastAsia" w:ascii="仿宋" w:hAnsi="仿宋" w:eastAsia="仿宋" w:cs="仿宋"/>
          <w:sz w:val="32"/>
          <w:szCs w:val="32"/>
        </w:rPr>
      </w:pPr>
      <w:r>
        <w:rPr>
          <w:sz w:val="21"/>
          <w:szCs w:val="21"/>
          <w:shd w:val="clear" w:fill="FFFFFF"/>
        </w:rPr>
        <w:fldChar w:fldCharType="begin"/>
      </w:r>
      <w:r>
        <w:rPr>
          <w:sz w:val="21"/>
          <w:szCs w:val="21"/>
          <w:shd w:val="clear" w:fill="FFFFFF"/>
        </w:rPr>
        <w:instrText xml:space="preserve">INCLUDEPICTURE \d "http://hainan.chinatax.gov.cn/u/cms/www/201911/05180054k08t.jpg" \* MERGEFORMATINET </w:instrText>
      </w:r>
      <w:r>
        <w:rPr>
          <w:sz w:val="21"/>
          <w:szCs w:val="21"/>
          <w:shd w:val="clear" w:fill="FFFFFF"/>
        </w:rPr>
        <w:fldChar w:fldCharType="separate"/>
      </w:r>
      <w:r>
        <w:rPr>
          <w:sz w:val="21"/>
          <w:szCs w:val="21"/>
          <w:shd w:val="clear" w:fill="FFFFFF"/>
        </w:rPr>
        <w:drawing>
          <wp:inline distT="0" distB="0" distL="114300" distR="114300">
            <wp:extent cx="5467350" cy="200025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5467350" cy="2000250"/>
                    </a:xfrm>
                    <a:prstGeom prst="rect">
                      <a:avLst/>
                    </a:prstGeom>
                    <a:noFill/>
                    <a:ln w="9525">
                      <a:noFill/>
                    </a:ln>
                  </pic:spPr>
                </pic:pic>
              </a:graphicData>
            </a:graphic>
          </wp:inline>
        </w:drawing>
      </w:r>
      <w:r>
        <w:rPr>
          <w:sz w:val="21"/>
          <w:szCs w:val="21"/>
          <w:shd w:val="clear" w:fill="FFFFFF"/>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纳税人注意事项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纳税人对报送材料的真实性和合法性承担责任。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文书表单可在海南省税务局网站“下载中心”栏目查询下载或到办税服务厅领取。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纳税人使用符合电子签名法规定条件的电子签名，与手写签名或者盖章具有同等法律效力。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纳税人提供的各项资料为复印件的，均需注明“与原件一致”并签章。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“不可抗力”是指人们无法预见、无法避免、无法克服的自然灾害，如水灾、火灾、风灾、地震等。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纳税人需要延期缴纳税款的，应当在缴纳税款期限届满前提出申请。税务机关作出不予行政许可决定的，从缴纳税款期限届满之日起加收滞纳金。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bookmarkStart w:id="0" w:name="_GoBack"/>
      <w:bookmarkEnd w:id="0"/>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务行政许可实施机关与申请人不在同一县（市、区、旗）的，申请人可在规定的申请期限内，选择由其主管税务机关代为转报申请材料。主管税务机关在核对申请材料后向申请人出具材料接收清单，并向税务行政许可实施机关转报。代办转报一般应当在5个工作日内完成。</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方正粗黑宋简体">
    <w:panose1 w:val="02000000000000000000"/>
    <w:charset w:val="86"/>
    <w:family w:val="auto"/>
    <w:pitch w:val="default"/>
    <w:sig w:usb0="A00002BF" w:usb1="184F6CFA" w:usb2="00000012"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60C91"/>
    <w:multiLevelType w:val="singleLevel"/>
    <w:tmpl w:val="77D60C9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EB06FD"/>
    <w:rsid w:val="036016A6"/>
    <w:rsid w:val="0BEB06FD"/>
    <w:rsid w:val="24522860"/>
    <w:rsid w:val="2CFB6E9B"/>
    <w:rsid w:val="374A1C6E"/>
    <w:rsid w:val="5E063AC5"/>
    <w:rsid w:val="7A7144AA"/>
    <w:rsid w:val="7C715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2020-02-05T02:25:00Z</dcterms:created>
  <dc:creator>wl</dc:creator>
  <cp:lastModifiedBy>孙爱丽</cp:lastModifiedBy>
  <dcterms:modified xsi:type="dcterms:W3CDTF">2020-02-05T14:01:23Z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